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May 24, 2024</w:t>
      </w:r>
    </w:p>
    <w:p>
      <w:pPr>
        <w:ind w:left="8900"/>
        <w:spacing w:after="0" w:line="226" w:lineRule="auto"/>
        <w:rPr>
          <w:sz w:val="20"/>
          <w:szCs w:val="20"/>
          <w:color w:val="auto"/>
        </w:rPr>
      </w:pPr>
      <w:r>
        <w:rPr>
          <w:rFonts w:ascii="Times New Roman" w:cs="Times New Roman" w:eastAsia="Times New Roman" w:hAnsi="Times New Roman"/>
          <w:sz w:val="13"/>
          <w:szCs w:val="13"/>
          <w:b w:val="1"/>
          <w:bCs w:val="1"/>
          <w:color w:val="auto"/>
        </w:rPr>
        <w:t xml:space="preserve">Securities Act Registration No. 333-         </w:t>
      </w: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24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67310</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90805</wp:posOffset>
            </wp:positionV>
            <wp:extent cx="15043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N-2</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ectPr>
          <w:pgSz w:w="11900" w:h="16838" w:orient="portrait"/>
          <w:cols w:equalWidth="0" w:num="1">
            <w:col w:w="11260"/>
          </w:cols>
          <w:pgMar w:left="320" w:top="217" w:right="319" w:bottom="1440" w:gutter="0" w:footer="0" w:header="0"/>
        </w:sectPr>
      </w:pPr>
    </w:p>
    <w:p>
      <w:pPr>
        <w:spacing w:after="0" w:line="1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Pre-Effective Amendment No. </w:t>
      </w:r>
    </w:p>
    <w:p>
      <w:pPr>
        <w:spacing w:after="0" w:line="1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Post-Effective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111125</wp:posOffset>
            </wp:positionV>
            <wp:extent cx="15043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8"/>
          <w:szCs w:val="18"/>
          <w:color w:val="auto"/>
        </w:rPr>
        <w:t>☒</w:t>
      </w:r>
    </w:p>
    <w:p>
      <w:pPr>
        <w:spacing w:after="0" w:line="4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80" w:lineRule="exact"/>
        <w:rPr>
          <w:sz w:val="24"/>
          <w:szCs w:val="24"/>
          <w:color w:val="auto"/>
        </w:rPr>
      </w:pPr>
    </w:p>
    <w:p>
      <w:pPr>
        <w:sectPr>
          <w:pgSz w:w="11900" w:h="16838" w:orient="portrait"/>
          <w:cols w:equalWidth="0" w:num="2">
            <w:col w:w="10360" w:space="720"/>
            <w:col w:w="180"/>
          </w:cols>
          <w:pgMar w:left="320" w:top="217"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PennantPark Floating Rate Capital Ltd.</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88900</wp:posOffset>
            </wp:positionV>
            <wp:extent cx="15043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1691 Michigan Avenue</w:t>
      </w:r>
    </w:p>
    <w:p>
      <w:pPr>
        <w:jc w:val="center"/>
        <w:ind w:right="20"/>
        <w:spacing w:after="0" w:line="229" w:lineRule="auto"/>
        <w:rPr>
          <w:sz w:val="20"/>
          <w:szCs w:val="20"/>
          <w:color w:val="auto"/>
        </w:rPr>
      </w:pPr>
      <w:r>
        <w:rPr>
          <w:rFonts w:ascii="Times New Roman" w:cs="Times New Roman" w:eastAsia="Times New Roman" w:hAnsi="Times New Roman"/>
          <w:sz w:val="13"/>
          <w:szCs w:val="13"/>
          <w:b w:val="1"/>
          <w:bCs w:val="1"/>
          <w:color w:val="auto"/>
        </w:rPr>
        <w:t>Miami Beach, Florida 33139</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(786) 297-9500</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Arthur H. Penn</w:t>
      </w:r>
    </w:p>
    <w:p>
      <w:pPr>
        <w:jc w:val="center"/>
        <w:ind w:right="20"/>
        <w:spacing w:after="0" w:line="226" w:lineRule="auto"/>
        <w:rPr>
          <w:sz w:val="20"/>
          <w:szCs w:val="20"/>
          <w:color w:val="auto"/>
        </w:rPr>
      </w:pPr>
      <w:r>
        <w:rPr>
          <w:rFonts w:ascii="Times New Roman" w:cs="Times New Roman" w:eastAsia="Times New Roman" w:hAnsi="Times New Roman"/>
          <w:sz w:val="13"/>
          <w:szCs w:val="13"/>
          <w:b w:val="1"/>
          <w:bCs w:val="1"/>
          <w:color w:val="auto"/>
        </w:rPr>
        <w:t>c/o PennantPark Floating Rate Capital Ltd.</w:t>
      </w:r>
    </w:p>
    <w:p>
      <w:pPr>
        <w:jc w:val="center"/>
        <w:ind w:right="20"/>
        <w:spacing w:after="0" w:line="220" w:lineRule="auto"/>
        <w:rPr>
          <w:sz w:val="20"/>
          <w:szCs w:val="20"/>
          <w:color w:val="auto"/>
        </w:rPr>
      </w:pPr>
      <w:r>
        <w:rPr>
          <w:rFonts w:ascii="Times New Roman" w:cs="Times New Roman" w:eastAsia="Times New Roman" w:hAnsi="Times New Roman"/>
          <w:sz w:val="13"/>
          <w:szCs w:val="13"/>
          <w:b w:val="1"/>
          <w:bCs w:val="1"/>
          <w:color w:val="auto"/>
        </w:rPr>
        <w:t>1691 Michigan Avenue</w:t>
      </w:r>
    </w:p>
    <w:p>
      <w:pPr>
        <w:jc w:val="center"/>
        <w:ind w:right="20"/>
        <w:spacing w:after="0" w:line="224" w:lineRule="auto"/>
        <w:rPr>
          <w:sz w:val="20"/>
          <w:szCs w:val="20"/>
          <w:color w:val="auto"/>
        </w:rPr>
      </w:pPr>
      <w:r>
        <w:rPr>
          <w:rFonts w:ascii="Times New Roman" w:cs="Times New Roman" w:eastAsia="Times New Roman" w:hAnsi="Times New Roman"/>
          <w:sz w:val="13"/>
          <w:szCs w:val="13"/>
          <w:b w:val="1"/>
          <w:bCs w:val="1"/>
          <w:color w:val="auto"/>
        </w:rPr>
        <w:t>Miami Beach, FL 33139</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81280</wp:posOffset>
            </wp:positionV>
            <wp:extent cx="15043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jc w:val="center"/>
        <w:ind w:right="20"/>
        <w:spacing w:after="0" w:line="229" w:lineRule="auto"/>
        <w:rPr>
          <w:sz w:val="20"/>
          <w:szCs w:val="20"/>
          <w:color w:val="auto"/>
        </w:rPr>
      </w:pPr>
      <w:r>
        <w:rPr>
          <w:rFonts w:ascii="Times New Roman" w:cs="Times New Roman" w:eastAsia="Times New Roman" w:hAnsi="Times New Roman"/>
          <w:sz w:val="13"/>
          <w:szCs w:val="13"/>
          <w:b w:val="1"/>
          <w:bCs w:val="1"/>
          <w:color w:val="auto"/>
        </w:rPr>
        <w:t>Thomas Friedmann</w:t>
      </w:r>
    </w:p>
    <w:p>
      <w:pPr>
        <w:jc w:val="center"/>
        <w:ind w:right="20"/>
        <w:spacing w:after="0" w:line="220" w:lineRule="auto"/>
        <w:rPr>
          <w:sz w:val="20"/>
          <w:szCs w:val="20"/>
          <w:color w:val="auto"/>
        </w:rPr>
      </w:pPr>
      <w:r>
        <w:rPr>
          <w:rFonts w:ascii="Times New Roman" w:cs="Times New Roman" w:eastAsia="Times New Roman" w:hAnsi="Times New Roman"/>
          <w:sz w:val="13"/>
          <w:szCs w:val="13"/>
          <w:b w:val="1"/>
          <w:bCs w:val="1"/>
          <w:color w:val="auto"/>
        </w:rPr>
        <w:t>Stephen Pratt</w:t>
      </w:r>
    </w:p>
    <w:p>
      <w:pPr>
        <w:jc w:val="center"/>
        <w:ind w:right="20"/>
        <w:spacing w:after="0" w:line="220" w:lineRule="auto"/>
        <w:rPr>
          <w:sz w:val="20"/>
          <w:szCs w:val="20"/>
          <w:color w:val="auto"/>
        </w:rPr>
      </w:pPr>
      <w:r>
        <w:rPr>
          <w:rFonts w:ascii="Times New Roman" w:cs="Times New Roman" w:eastAsia="Times New Roman" w:hAnsi="Times New Roman"/>
          <w:sz w:val="13"/>
          <w:szCs w:val="13"/>
          <w:b w:val="1"/>
          <w:bCs w:val="1"/>
          <w:color w:val="auto"/>
        </w:rPr>
        <w:t>Dechert LLP</w:t>
      </w:r>
    </w:p>
    <w:p>
      <w:pPr>
        <w:jc w:val="center"/>
        <w:ind w:right="20"/>
        <w:spacing w:after="0" w:line="221" w:lineRule="auto"/>
        <w:rPr>
          <w:sz w:val="20"/>
          <w:szCs w:val="20"/>
          <w:color w:val="auto"/>
        </w:rPr>
      </w:pPr>
      <w:r>
        <w:rPr>
          <w:rFonts w:ascii="Times New Roman" w:cs="Times New Roman" w:eastAsia="Times New Roman" w:hAnsi="Times New Roman"/>
          <w:sz w:val="13"/>
          <w:szCs w:val="13"/>
          <w:b w:val="1"/>
          <w:bCs w:val="1"/>
          <w:color w:val="auto"/>
        </w:rPr>
        <w:t>One International Place</w:t>
      </w:r>
    </w:p>
    <w:p>
      <w:pPr>
        <w:jc w:val="center"/>
        <w:ind w:right="20"/>
        <w:spacing w:after="0" w:line="220" w:lineRule="auto"/>
        <w:rPr>
          <w:sz w:val="20"/>
          <w:szCs w:val="20"/>
          <w:color w:val="auto"/>
        </w:rPr>
      </w:pPr>
      <w:r>
        <w:rPr>
          <w:rFonts w:ascii="Times New Roman" w:cs="Times New Roman" w:eastAsia="Times New Roman" w:hAnsi="Times New Roman"/>
          <w:sz w:val="13"/>
          <w:szCs w:val="13"/>
          <w:b w:val="1"/>
          <w:bCs w:val="1"/>
          <w:color w:val="auto"/>
        </w:rPr>
        <w:t>40th Floor</w:t>
      </w:r>
    </w:p>
    <w:p>
      <w:pPr>
        <w:jc w:val="center"/>
        <w:ind w:right="20"/>
        <w:spacing w:after="0" w:line="220" w:lineRule="auto"/>
        <w:rPr>
          <w:sz w:val="20"/>
          <w:szCs w:val="20"/>
          <w:color w:val="auto"/>
        </w:rPr>
      </w:pPr>
      <w:r>
        <w:rPr>
          <w:rFonts w:ascii="Times New Roman" w:cs="Times New Roman" w:eastAsia="Times New Roman" w:hAnsi="Times New Roman"/>
          <w:sz w:val="13"/>
          <w:szCs w:val="13"/>
          <w:b w:val="1"/>
          <w:bCs w:val="1"/>
          <w:color w:val="auto"/>
        </w:rPr>
        <w:t>100 Oliver Street</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Boston, MA 02110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83185</wp:posOffset>
            </wp:positionV>
            <wp:extent cx="15043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PROPOSED PUBLIC OFFERING: </w:t>
      </w:r>
      <w:r>
        <w:rPr>
          <w:rFonts w:ascii="Times New Roman" w:cs="Times New Roman" w:eastAsia="Times New Roman" w:hAnsi="Times New Roman"/>
          <w:sz w:val="12"/>
          <w:szCs w:val="12"/>
          <w:color w:val="auto"/>
        </w:rPr>
        <w:t>As soon as practicable after the effective date of this Registration Statement.</w:t>
      </w:r>
    </w:p>
    <w:p>
      <w:pPr>
        <w:spacing w:after="0" w:line="27"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Check box if the only securities being registered on this Form are being offered pursuant to dividend or interest reinvestment plans.</w:t>
      </w:r>
    </w:p>
    <w:p>
      <w:pPr>
        <w:spacing w:after="0" w:line="45" w:lineRule="exact"/>
        <w:rPr>
          <w:sz w:val="24"/>
          <w:szCs w:val="24"/>
          <w:color w:val="auto"/>
        </w:rPr>
      </w:pPr>
    </w:p>
    <w:p>
      <w:pPr>
        <w:ind w:right="460"/>
        <w:spacing w:after="0" w:line="145"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1"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Check box if this Form is a registration statement pursuant to General Instruction A.2 or a post-effective amendment thereto.</w:t>
      </w:r>
    </w:p>
    <w:p>
      <w:pPr>
        <w:spacing w:after="0" w:line="55" w:lineRule="exact"/>
        <w:rPr>
          <w:sz w:val="24"/>
          <w:szCs w:val="24"/>
          <w:color w:val="auto"/>
        </w:rPr>
      </w:pPr>
    </w:p>
    <w:p>
      <w:pPr>
        <w:ind w:right="280"/>
        <w:spacing w:after="0" w:line="147"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Check box if this Form is a registration statement pursuant to General Instruction B or a post-effective amendment thereto that will become effective upon filing with the Commission pursuant to Rule 462(e) under the Securities Act.</w:t>
      </w:r>
    </w:p>
    <w:p>
      <w:pPr>
        <w:spacing w:after="0" w:line="1" w:lineRule="exact"/>
        <w:rPr>
          <w:sz w:val="24"/>
          <w:szCs w:val="24"/>
          <w:color w:val="auto"/>
        </w:rPr>
      </w:pPr>
    </w:p>
    <w:p>
      <w:pPr>
        <w:ind w:right="160"/>
        <w:spacing w:after="0" w:line="150"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Check box if this Form is a post-effective amendment to a registration statement filed pursuant to General Instruction B to register additional securities or additional classes of securities pursuant to Rule 413(b) under the Securities Act.</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 is proposed that this filing will become effective (check appropriate box):</w:t>
      </w:r>
    </w:p>
    <w:p>
      <w:pPr>
        <w:spacing w:after="0" w:line="27"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when declared effective pursuant to Section 8(c) of the Securities Act.</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If appropriate, check the following box:</w:t>
      </w:r>
    </w:p>
    <w:p>
      <w:pPr>
        <w:spacing w:after="0" w:line="11"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This post-effective amendment designates a new effective date for a previously filed post-effective amendment registration statement.</w:t>
      </w:r>
    </w:p>
    <w:p>
      <w:pPr>
        <w:spacing w:after="0" w:line="45" w:lineRule="exact"/>
        <w:rPr>
          <w:sz w:val="24"/>
          <w:szCs w:val="24"/>
          <w:color w:val="auto"/>
        </w:rPr>
      </w:pPr>
    </w:p>
    <w:p>
      <w:pPr>
        <w:ind w:right="140"/>
        <w:spacing w:after="0" w:line="145"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This Form is filed to register additional securities for an offering pursuant to Rule 462(b) under the Securities Act, and the Securities Act registration statement number of the earlier effective registration statement for the same offering is:        .</w:t>
      </w:r>
    </w:p>
    <w:p>
      <w:pPr>
        <w:spacing w:after="0" w:line="1" w:lineRule="exact"/>
        <w:rPr>
          <w:sz w:val="24"/>
          <w:szCs w:val="24"/>
          <w:color w:val="auto"/>
        </w:rPr>
      </w:pPr>
    </w:p>
    <w:p>
      <w:pPr>
        <w:ind w:right="340"/>
        <w:spacing w:after="0" w:line="156"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This Form is a post-effective amendment filed pursuant to Rule 462(c) under the Securities Act, and the Securities Act registration statement number of the earlier effective registration statement for the same offering is:        .</w:t>
      </w:r>
    </w:p>
    <w:p>
      <w:pPr>
        <w:ind w:right="320"/>
        <w:spacing w:after="0" w:line="156"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This Form is a post-effective amendment filed pursuant to Rule 462(d) under the Securities Act, and the Securities Act registration statement number of the earlier effective registration statement for the same offering is:        .</w:t>
      </w:r>
    </w:p>
    <w:p>
      <w:pPr>
        <w:spacing w:after="0"/>
        <w:rPr>
          <w:sz w:val="20"/>
          <w:szCs w:val="20"/>
          <w:color w:val="auto"/>
        </w:rPr>
      </w:pPr>
      <w:r>
        <w:rPr>
          <w:rFonts w:ascii="Times New Roman" w:cs="Times New Roman" w:eastAsia="Times New Roman" w:hAnsi="Times New Roman"/>
          <w:sz w:val="12"/>
          <w:szCs w:val="12"/>
          <w:b w:val="1"/>
          <w:bCs w:val="1"/>
          <w:color w:val="auto"/>
        </w:rPr>
        <w:t>Check each box that appropriately characterizes the Registrant:</w:t>
      </w:r>
    </w:p>
    <w:p>
      <w:pPr>
        <w:spacing w:after="0" w:line="24"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Registered Closed-End Fund (closed-end company that is registered under the Investment Company Act of 1940 (“Investment Company Act”)).</w:t>
      </w:r>
    </w:p>
    <w:p>
      <w:pPr>
        <w:spacing w:after="0" w:line="55"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Business Development Company (closed-end company that intends or has elected to be regulated as a business development company under the Investment Company Act).</w:t>
      </w:r>
    </w:p>
    <w:p>
      <w:pPr>
        <w:spacing w:after="0" w:line="3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Interval Fund (Registered Closed-End Fund or a Business Development Company that makes periodic repurchase offers under Rule 23c-3 under the Investment Company Act).</w:t>
      </w:r>
    </w:p>
    <w:p>
      <w:pPr>
        <w:spacing w:after="0" w:line="29"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A.2 Qualified (qualified to register securities pursuant to General Instruction A.2 of this Form).</w:t>
      </w:r>
    </w:p>
    <w:p>
      <w:pPr>
        <w:spacing w:after="0" w:line="37"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Well-Known Seasoned Issuer (as defined by Rule 405 under the Securities Act).</w:t>
      </w:r>
    </w:p>
    <w:p>
      <w:pPr>
        <w:spacing w:after="0" w:line="27"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Emerging Growth Company (as defined by Rule 12b-2 under the Securities Exchange Act of 1934 (“Exchange Act”).</w:t>
      </w:r>
    </w:p>
    <w:p>
      <w:pPr>
        <w:spacing w:after="0" w:line="34" w:lineRule="exact"/>
        <w:rPr>
          <w:sz w:val="24"/>
          <w:szCs w:val="24"/>
          <w:color w:val="auto"/>
        </w:rPr>
      </w:pPr>
    </w:p>
    <w:p>
      <w:pPr>
        <w:ind w:right="160"/>
        <w:spacing w:after="0" w:line="147"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1"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New Registrant (registered or regulated under the Investment Company Act for less than 12 calendar months preceding this filing).</w:t>
      </w:r>
    </w:p>
    <w:p>
      <w:pPr>
        <w:spacing w:after="0" w:line="50" w:lineRule="exact"/>
        <w:rPr>
          <w:sz w:val="24"/>
          <w:szCs w:val="24"/>
          <w:color w:val="auto"/>
        </w:rPr>
      </w:pPr>
    </w:p>
    <w:p>
      <w:pPr>
        <w:ind w:right="60"/>
        <w:spacing w:after="0" w:line="248"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71424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type w:val="continuous"/>
        </w:sectPr>
      </w:pPr>
    </w:p>
    <w:bookmarkStart w:id="1" w:name="page2"/>
    <w:bookmarkEnd w:id="1"/>
    <w:p>
      <w:pPr>
        <w:ind w:right="200"/>
        <w:spacing w:after="0" w:line="260" w:lineRule="auto"/>
        <w:rPr>
          <w:sz w:val="20"/>
          <w:szCs w:val="20"/>
          <w:color w:val="auto"/>
        </w:rPr>
      </w:pPr>
      <w:r>
        <w:rPr>
          <w:rFonts w:ascii="Times New Roman" w:cs="Times New Roman" w:eastAsia="Times New Roman" w:hAnsi="Times New Roman"/>
          <w:sz w:val="17"/>
          <w:szCs w:val="17"/>
          <w:b w:val="1"/>
          <w:bCs w:val="1"/>
          <w:color w:val="FF4338"/>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FF4338"/>
        </w:rPr>
        <w:t>Subject to Completion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2652395</wp:posOffset>
            </wp:positionH>
            <wp:positionV relativeFrom="paragraph">
              <wp:posOffset>94615</wp:posOffset>
            </wp:positionV>
            <wp:extent cx="1837055" cy="435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7055" cy="43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Preferred Stock</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Warrants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Subscription Rights</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133350</wp:posOffset>
            </wp:positionV>
            <wp:extent cx="15043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247"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14"/>
          <w:szCs w:val="14"/>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29" w:lineRule="exact"/>
        <w:rPr>
          <w:sz w:val="20"/>
          <w:szCs w:val="20"/>
          <w:color w:val="auto"/>
        </w:rPr>
      </w:pPr>
    </w:p>
    <w:p>
      <w:pPr>
        <w:jc w:val="both"/>
        <w:ind w:right="100" w:firstLine="450"/>
        <w:spacing w:after="0" w:line="235" w:lineRule="auto"/>
        <w:rPr>
          <w:sz w:val="20"/>
          <w:szCs w:val="20"/>
          <w:color w:val="auto"/>
        </w:rPr>
      </w:pPr>
      <w:r>
        <w:rPr>
          <w:rFonts w:ascii="Times New Roman" w:cs="Times New Roman" w:eastAsia="Times New Roman" w:hAnsi="Times New Roman"/>
          <w:sz w:val="14"/>
          <w:szCs w:val="14"/>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the Secured Overnight Financing Rate, or SOFR, with or without a floor, plus a fixed spread. We can offer no assurances that we will achieve our investment objectives.</w:t>
      </w:r>
    </w:p>
    <w:p>
      <w:pPr>
        <w:spacing w:after="0" w:line="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120" w:firstLine="450"/>
        <w:spacing w:after="0" w:line="229" w:lineRule="auto"/>
        <w:rPr>
          <w:sz w:val="20"/>
          <w:szCs w:val="20"/>
          <w:color w:val="auto"/>
        </w:rPr>
      </w:pPr>
      <w:r>
        <w:rPr>
          <w:rFonts w:ascii="Times New Roman" w:cs="Times New Roman" w:eastAsia="Times New Roman" w:hAnsi="Times New Roman"/>
          <w:sz w:val="14"/>
          <w:szCs w:val="14"/>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Times New Roman" w:cs="Times New Roman" w:eastAsia="Times New Roman" w:hAnsi="Times New Roman"/>
          <w:sz w:val="14"/>
          <w:szCs w:val="14"/>
          <w:u w:val="single" w:color="auto"/>
          <w:color w:val="0000EE"/>
        </w:rPr>
        <w:t>Risk Factors</w:t>
      </w:r>
      <w:r>
        <w:rPr>
          <w:rFonts w:ascii="Times New Roman" w:cs="Times New Roman" w:eastAsia="Times New Roman" w:hAnsi="Times New Roman"/>
          <w:sz w:val="14"/>
          <w:szCs w:val="14"/>
          <w:color w:val="auto"/>
        </w:rPr>
        <w:t>” on page 11 and “</w:t>
      </w:r>
      <w:r>
        <w:rPr>
          <w:rFonts w:ascii="Times New Roman" w:cs="Times New Roman" w:eastAsia="Times New Roman" w:hAnsi="Times New Roman"/>
          <w:sz w:val="14"/>
          <w:szCs w:val="14"/>
          <w:u w:val="single" w:color="auto"/>
          <w:color w:val="0000EE"/>
        </w:rPr>
        <w:t>Sales of Common Stock Below Net Asset Value</w:t>
      </w:r>
      <w:r>
        <w:rPr>
          <w:rFonts w:ascii="Times New Roman" w:cs="Times New Roman" w:eastAsia="Times New Roman" w:hAnsi="Times New Roman"/>
          <w:sz w:val="14"/>
          <w:szCs w:val="14"/>
          <w:color w:val="auto"/>
        </w:rPr>
        <w:t>” on page 17 of this prospectus for more information.</w:t>
      </w:r>
    </w:p>
    <w:p>
      <w:pPr>
        <w:spacing w:after="0" w:line="43" w:lineRule="exact"/>
        <w:rPr>
          <w:sz w:val="20"/>
          <w:szCs w:val="20"/>
          <w:color w:val="auto"/>
        </w:rPr>
      </w:pPr>
    </w:p>
    <w:p>
      <w:pPr>
        <w:ind w:right="80" w:firstLine="450"/>
        <w:spacing w:after="0" w:line="257" w:lineRule="auto"/>
        <w:rPr>
          <w:sz w:val="20"/>
          <w:szCs w:val="20"/>
          <w:color w:val="auto"/>
        </w:rPr>
      </w:pPr>
      <w:r>
        <w:rPr>
          <w:rFonts w:ascii="Times New Roman" w:cs="Times New Roman" w:eastAsia="Times New Roman" w:hAnsi="Times New Roman"/>
          <w:sz w:val="14"/>
          <w:szCs w:val="14"/>
          <w:color w:val="auto"/>
        </w:rPr>
        <w:t>Our common stock is traded on The New York Stock Exchange under the symbol “PFLT.” Prior to April 14, 2022, our common stock was traded on The Nasdaq Global Select Market under the same symbol. The last reported closing price for our common stock on May 23, 2024 was $11.26 per share, and our NAV on March 31, 2024 was $11.40 per share.</w:t>
      </w:r>
    </w:p>
    <w:p>
      <w:pPr>
        <w:spacing w:after="0" w:line="17" w:lineRule="exact"/>
        <w:rPr>
          <w:sz w:val="20"/>
          <w:szCs w:val="20"/>
          <w:color w:val="auto"/>
        </w:rPr>
      </w:pPr>
    </w:p>
    <w:p>
      <w:pPr>
        <w:ind w:right="40" w:firstLine="450"/>
        <w:spacing w:after="0" w:line="231" w:lineRule="auto"/>
        <w:rPr>
          <w:sz w:val="20"/>
          <w:szCs w:val="20"/>
          <w:color w:val="auto"/>
        </w:rPr>
      </w:pPr>
      <w:r>
        <w:rPr>
          <w:rFonts w:ascii="Times New Roman" w:cs="Times New Roman" w:eastAsia="Times New Roman" w:hAnsi="Times New Roman"/>
          <w:sz w:val="14"/>
          <w:szCs w:val="14"/>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101600</wp:posOffset>
            </wp:positionV>
            <wp:extent cx="15043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207" w:lineRule="exact"/>
        <w:rPr>
          <w:sz w:val="20"/>
          <w:szCs w:val="20"/>
          <w:color w:val="auto"/>
        </w:rPr>
      </w:pPr>
    </w:p>
    <w:p>
      <w:pPr>
        <w:ind w:right="200" w:firstLine="450"/>
        <w:spacing w:after="0" w:line="275"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11 of this prospectus.</w:t>
      </w:r>
    </w:p>
    <w:p>
      <w:pPr>
        <w:spacing w:after="0" w:line="15" w:lineRule="exact"/>
        <w:rPr>
          <w:sz w:val="20"/>
          <w:szCs w:val="20"/>
          <w:color w:val="auto"/>
        </w:rPr>
      </w:pPr>
    </w:p>
    <w:p>
      <w:pPr>
        <w:ind w:firstLine="450"/>
        <w:spacing w:after="0" w:line="260"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91440</wp:posOffset>
            </wp:positionV>
            <wp:extent cx="15043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sales of securities unless accompanied by a prospectus supplement.</w:t>
      </w:r>
    </w:p>
    <w:p>
      <w:pPr>
        <w:spacing w:after="0" w:line="5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Prospectus dated May    , 2024</w:t>
      </w:r>
    </w:p>
    <w:p>
      <w:pPr>
        <w:sectPr>
          <w:pgSz w:w="11900" w:h="16838" w:orient="portrait"/>
          <w:cols w:equalWidth="0" w:num="1">
            <w:col w:w="11220"/>
          </w:cols>
          <w:pgMar w:left="320" w:top="281" w:right="359" w:bottom="1440" w:gutter="0" w:footer="0" w:header="0"/>
        </w:sectPr>
      </w:pPr>
    </w:p>
    <w:bookmarkStart w:id="2" w:name="page3"/>
    <w:bookmarkEnd w:id="2"/>
    <w:p>
      <w:pPr>
        <w:ind w:right="80" w:firstLine="450"/>
        <w:spacing w:after="0" w:line="24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755" cy="52070"/>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10920" w:type="dxa"/>
            <w:vAlign w:val="bottom"/>
            <w:gridSpan w:val="26"/>
            <w:vMerge w:val="restart"/>
          </w:tcPr>
          <w:p>
            <w:pPr>
              <w:spacing w:after="0"/>
              <w:rPr>
                <w:sz w:val="20"/>
                <w:szCs w:val="20"/>
                <w:color w:val="auto"/>
              </w:rPr>
            </w:pPr>
            <w:r>
              <w:rPr>
                <w:rFonts w:ascii="Times New Roman" w:cs="Times New Roman" w:eastAsia="Times New Roman" w:hAnsi="Times New Roman"/>
                <w:sz w:val="17"/>
                <w:szCs w:val="17"/>
                <w:color w:val="0000EE"/>
              </w:rPr>
              <w:t>PROSPECTUS SUMMARY</w:t>
            </w: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5"/>
        </w:trPr>
        <w:tc>
          <w:tcPr>
            <w:tcW w:w="10920" w:type="dxa"/>
            <w:vAlign w:val="bottom"/>
            <w:gridSpan w:val="26"/>
            <w:vMerge w:val="continue"/>
          </w:tcPr>
          <w:p>
            <w:pPr>
              <w:spacing w:after="0"/>
              <w:rPr>
                <w:sz w:val="13"/>
                <w:szCs w:val="13"/>
                <w:color w:val="auto"/>
              </w:rPr>
            </w:pPr>
          </w:p>
        </w:tc>
        <w:tc>
          <w:tcPr>
            <w:tcW w:w="2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60" w:type="dxa"/>
            <w:vAlign w:val="bottom"/>
            <w:tcBorders>
              <w:top w:val="single" w:sz="8" w:color="0000EE"/>
              <w:bottom w:val="single" w:sz="8" w:color="0000EE"/>
            </w:tcBorders>
            <w:gridSpan w:val="6"/>
          </w:tcPr>
          <w:p>
            <w:pPr>
              <w:spacing w:after="0" w:line="180" w:lineRule="exact"/>
              <w:rPr>
                <w:sz w:val="20"/>
                <w:szCs w:val="20"/>
                <w:color w:val="auto"/>
              </w:rPr>
            </w:pPr>
            <w:r>
              <w:rPr>
                <w:rFonts w:ascii="Times New Roman" w:cs="Times New Roman" w:eastAsia="Times New Roman" w:hAnsi="Times New Roman"/>
                <w:sz w:val="17"/>
                <w:szCs w:val="17"/>
                <w:color w:val="0000EE"/>
                <w:w w:val="96"/>
              </w:rPr>
              <w:t>FEES AND EXPENSES</w:t>
            </w:r>
          </w:p>
        </w:tc>
        <w:tc>
          <w:tcPr>
            <w:tcW w:w="260" w:type="dxa"/>
            <w:vAlign w:val="bottom"/>
            <w:tcBorders>
              <w:top w:val="single" w:sz="8" w:color="0000EE"/>
            </w:tcBorders>
            <w:gridSpan w:val="2"/>
          </w:tcPr>
          <w:p>
            <w:pPr>
              <w:spacing w:after="0"/>
              <w:rPr>
                <w:sz w:val="15"/>
                <w:szCs w:val="15"/>
                <w:color w:val="auto"/>
              </w:rPr>
            </w:pPr>
          </w:p>
        </w:tc>
        <w:tc>
          <w:tcPr>
            <w:tcW w:w="9000" w:type="dxa"/>
            <w:vAlign w:val="bottom"/>
            <w:gridSpan w:val="18"/>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80"/>
        </w:trPr>
        <w:tc>
          <w:tcPr>
            <w:tcW w:w="10920" w:type="dxa"/>
            <w:vAlign w:val="bottom"/>
            <w:gridSpan w:val="26"/>
          </w:tcPr>
          <w:p>
            <w:pPr>
              <w:spacing w:after="0" w:line="180" w:lineRule="exact"/>
              <w:rPr>
                <w:sz w:val="20"/>
                <w:szCs w:val="20"/>
                <w:color w:val="auto"/>
              </w:rPr>
            </w:pPr>
            <w:r>
              <w:rPr>
                <w:rFonts w:ascii="Times New Roman" w:cs="Times New Roman" w:eastAsia="Times New Roman" w:hAnsi="Times New Roman"/>
                <w:sz w:val="17"/>
                <w:szCs w:val="17"/>
                <w:color w:val="0000EE"/>
              </w:rPr>
              <w:t>FINANCIAL HIGHLIGHTS</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80"/>
        </w:trPr>
        <w:tc>
          <w:tcPr>
            <w:tcW w:w="1160" w:type="dxa"/>
            <w:vAlign w:val="bottom"/>
            <w:tcBorders>
              <w:top w:val="single" w:sz="8" w:color="0000EE"/>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5"/>
              </w:rPr>
              <w:t>RISK FACTORS</w:t>
            </w:r>
          </w:p>
        </w:tc>
        <w:tc>
          <w:tcPr>
            <w:tcW w:w="780" w:type="dxa"/>
            <w:vAlign w:val="bottom"/>
            <w:tcBorders>
              <w:top w:val="single" w:sz="8" w:color="0000EE"/>
            </w:tcBorders>
            <w:gridSpan w:val="8"/>
          </w:tcPr>
          <w:p>
            <w:pPr>
              <w:spacing w:after="0"/>
              <w:rPr>
                <w:sz w:val="15"/>
                <w:szCs w:val="15"/>
                <w:color w:val="auto"/>
              </w:rPr>
            </w:pPr>
          </w:p>
        </w:tc>
        <w:tc>
          <w:tcPr>
            <w:tcW w:w="8980" w:type="dxa"/>
            <w:vAlign w:val="bottom"/>
            <w:gridSpan w:val="17"/>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80"/>
        </w:trPr>
        <w:tc>
          <w:tcPr>
            <w:tcW w:w="10920" w:type="dxa"/>
            <w:vAlign w:val="bottom"/>
            <w:gridSpan w:val="26"/>
          </w:tcPr>
          <w:p>
            <w:pPr>
              <w:spacing w:after="0" w:line="180" w:lineRule="exact"/>
              <w:rPr>
                <w:sz w:val="20"/>
                <w:szCs w:val="20"/>
                <w:color w:val="auto"/>
              </w:rPr>
            </w:pPr>
            <w:r>
              <w:rPr>
                <w:rFonts w:ascii="Times New Roman" w:cs="Times New Roman" w:eastAsia="Times New Roman" w:hAnsi="Times New Roman"/>
                <w:sz w:val="17"/>
                <w:szCs w:val="17"/>
                <w:color w:val="0000EE"/>
              </w:rPr>
              <w:t>FORWARD-LOOKING STATEMENTS</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80"/>
        </w:trPr>
        <w:tc>
          <w:tcPr>
            <w:tcW w:w="1460" w:type="dxa"/>
            <w:vAlign w:val="bottom"/>
            <w:tcBorders>
              <w:top w:val="single" w:sz="8" w:color="0000EE"/>
              <w:bottom w:val="single" w:sz="8" w:color="0000EE"/>
            </w:tcBorders>
            <w:gridSpan w:val="4"/>
          </w:tcPr>
          <w:p>
            <w:pPr>
              <w:spacing w:after="0" w:line="180" w:lineRule="exact"/>
              <w:rPr>
                <w:sz w:val="20"/>
                <w:szCs w:val="20"/>
                <w:color w:val="auto"/>
              </w:rPr>
            </w:pPr>
            <w:r>
              <w:rPr>
                <w:rFonts w:ascii="Times New Roman" w:cs="Times New Roman" w:eastAsia="Times New Roman" w:hAnsi="Times New Roman"/>
                <w:sz w:val="17"/>
                <w:szCs w:val="17"/>
                <w:color w:val="0000EE"/>
                <w:w w:val="96"/>
              </w:rPr>
              <w:t>USE OF PROCEEDS</w:t>
            </w:r>
          </w:p>
        </w:tc>
        <w:tc>
          <w:tcPr>
            <w:tcW w:w="1240" w:type="dxa"/>
            <w:vAlign w:val="bottom"/>
            <w:tcBorders>
              <w:top w:val="single" w:sz="8" w:color="0000EE"/>
            </w:tcBorders>
            <w:gridSpan w:val="10"/>
          </w:tcPr>
          <w:p>
            <w:pPr>
              <w:spacing w:after="0"/>
              <w:rPr>
                <w:sz w:val="15"/>
                <w:szCs w:val="15"/>
                <w:color w:val="auto"/>
              </w:rPr>
            </w:pPr>
          </w:p>
        </w:tc>
        <w:tc>
          <w:tcPr>
            <w:tcW w:w="8220" w:type="dxa"/>
            <w:vAlign w:val="bottom"/>
            <w:gridSpan w:val="12"/>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80"/>
        </w:trPr>
        <w:tc>
          <w:tcPr>
            <w:tcW w:w="10920" w:type="dxa"/>
            <w:vAlign w:val="bottom"/>
            <w:gridSpan w:val="26"/>
          </w:tcPr>
          <w:p>
            <w:pPr>
              <w:spacing w:after="0" w:line="180" w:lineRule="exact"/>
              <w:rPr>
                <w:sz w:val="20"/>
                <w:szCs w:val="20"/>
                <w:color w:val="auto"/>
              </w:rPr>
            </w:pPr>
            <w:r>
              <w:rPr>
                <w:rFonts w:ascii="Times New Roman" w:cs="Times New Roman" w:eastAsia="Times New Roman" w:hAnsi="Times New Roman"/>
                <w:sz w:val="17"/>
                <w:szCs w:val="17"/>
                <w:color w:val="0000EE"/>
              </w:rPr>
              <w:t>SENIOR SECURITIES</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740" w:type="dxa"/>
            <w:vAlign w:val="bottom"/>
            <w:tcBorders>
              <w:bottom w:val="single" w:sz="8" w:color="0000EE"/>
            </w:tcBorders>
            <w:gridSpan w:val="15"/>
          </w:tcPr>
          <w:p>
            <w:pPr>
              <w:spacing w:after="0" w:line="180" w:lineRule="exact"/>
              <w:rPr>
                <w:sz w:val="20"/>
                <w:szCs w:val="20"/>
                <w:color w:val="auto"/>
              </w:rPr>
            </w:pPr>
            <w:r>
              <w:rPr>
                <w:rFonts w:ascii="Times New Roman" w:cs="Times New Roman" w:eastAsia="Times New Roman" w:hAnsi="Times New Roman"/>
                <w:sz w:val="17"/>
                <w:szCs w:val="17"/>
                <w:color w:val="0000EE"/>
                <w:w w:val="97"/>
              </w:rPr>
              <w:t>PRICE RANGE OF COMMON STOCK</w:t>
            </w:r>
          </w:p>
        </w:tc>
        <w:tc>
          <w:tcPr>
            <w:tcW w:w="8180" w:type="dxa"/>
            <w:vAlign w:val="bottom"/>
            <w:gridSpan w:val="11"/>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80"/>
        </w:trPr>
        <w:tc>
          <w:tcPr>
            <w:tcW w:w="10920" w:type="dxa"/>
            <w:vAlign w:val="bottom"/>
            <w:gridSpan w:val="26"/>
          </w:tcPr>
          <w:p>
            <w:pPr>
              <w:spacing w:after="0" w:line="180" w:lineRule="exact"/>
              <w:rPr>
                <w:sz w:val="20"/>
                <w:szCs w:val="20"/>
                <w:color w:val="auto"/>
              </w:rPr>
            </w:pPr>
            <w:r>
              <w:rPr>
                <w:rFonts w:ascii="Times New Roman" w:cs="Times New Roman" w:eastAsia="Times New Roman" w:hAnsi="Times New Roman"/>
                <w:sz w:val="17"/>
                <w:szCs w:val="17"/>
                <w:color w:val="0000EE"/>
              </w:rPr>
              <w:t>SALES OF COMMON STOCK BELOW NET ASSET VALUE</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80"/>
        </w:trPr>
        <w:tc>
          <w:tcPr>
            <w:tcW w:w="1260" w:type="dxa"/>
            <w:vAlign w:val="bottom"/>
            <w:tcBorders>
              <w:top w:val="single" w:sz="8" w:color="0000EE"/>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6"/>
              </w:rPr>
              <w:t>DISTRIBUTIONS</w:t>
            </w:r>
          </w:p>
        </w:tc>
        <w:tc>
          <w:tcPr>
            <w:tcW w:w="3020" w:type="dxa"/>
            <w:vAlign w:val="bottom"/>
            <w:tcBorders>
              <w:top w:val="single" w:sz="8" w:color="0000EE"/>
            </w:tcBorders>
            <w:gridSpan w:val="20"/>
          </w:tcPr>
          <w:p>
            <w:pPr>
              <w:spacing w:after="0"/>
              <w:rPr>
                <w:sz w:val="15"/>
                <w:szCs w:val="15"/>
                <w:color w:val="auto"/>
              </w:rPr>
            </w:pPr>
          </w:p>
        </w:tc>
        <w:tc>
          <w:tcPr>
            <w:tcW w:w="6640" w:type="dxa"/>
            <w:vAlign w:val="bottom"/>
            <w:gridSpan w:val="4"/>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180"/>
        </w:trPr>
        <w:tc>
          <w:tcPr>
            <w:tcW w:w="1900" w:type="dxa"/>
            <w:vAlign w:val="bottom"/>
            <w:tcBorders>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5"/>
              </w:rPr>
              <w:t>PORTFOLIO COMPANIES</w:t>
            </w:r>
          </w:p>
        </w:tc>
        <w:tc>
          <w:tcPr>
            <w:tcW w:w="9020" w:type="dxa"/>
            <w:vAlign w:val="bottom"/>
            <w:gridSpan w:val="19"/>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180"/>
        </w:trPr>
        <w:tc>
          <w:tcPr>
            <w:tcW w:w="10920" w:type="dxa"/>
            <w:vAlign w:val="bottom"/>
            <w:gridSpan w:val="26"/>
          </w:tcPr>
          <w:p>
            <w:pPr>
              <w:spacing w:after="0" w:line="180" w:lineRule="exact"/>
              <w:rPr>
                <w:sz w:val="20"/>
                <w:szCs w:val="20"/>
                <w:color w:val="auto"/>
              </w:rPr>
            </w:pPr>
            <w:r>
              <w:rPr>
                <w:rFonts w:ascii="Times New Roman" w:cs="Times New Roman" w:eastAsia="Times New Roman" w:hAnsi="Times New Roman"/>
                <w:sz w:val="17"/>
                <w:szCs w:val="17"/>
                <w:color w:val="0000EE"/>
              </w:rPr>
              <w:t>PORTFOLIO MANAGEMENT</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
        </w:trPr>
        <w:tc>
          <w:tcPr>
            <w:tcW w:w="134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920" w:type="dxa"/>
            <w:vAlign w:val="bottom"/>
            <w:gridSpan w:val="26"/>
          </w:tcPr>
          <w:p>
            <w:pPr>
              <w:spacing w:after="0" w:line="180" w:lineRule="exact"/>
              <w:rPr>
                <w:sz w:val="20"/>
                <w:szCs w:val="20"/>
                <w:color w:val="auto"/>
              </w:rPr>
            </w:pPr>
            <w:r>
              <w:rPr>
                <w:rFonts w:ascii="Times New Roman" w:cs="Times New Roman" w:eastAsia="Times New Roman" w:hAnsi="Times New Roman"/>
                <w:sz w:val="17"/>
                <w:szCs w:val="17"/>
                <w:color w:val="0000EE"/>
              </w:rPr>
              <w:t>DETERMINATION OF NET ASSET VALUE</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80"/>
        </w:trPr>
        <w:tc>
          <w:tcPr>
            <w:tcW w:w="3100" w:type="dxa"/>
            <w:vAlign w:val="bottom"/>
            <w:tcBorders>
              <w:top w:val="single" w:sz="8" w:color="0000EE"/>
            </w:tcBorders>
            <w:gridSpan w:val="17"/>
          </w:tcPr>
          <w:p>
            <w:pPr>
              <w:spacing w:after="0" w:line="180" w:lineRule="exact"/>
              <w:rPr>
                <w:sz w:val="20"/>
                <w:szCs w:val="20"/>
                <w:color w:val="auto"/>
              </w:rPr>
            </w:pPr>
            <w:r>
              <w:rPr>
                <w:rFonts w:ascii="Times New Roman" w:cs="Times New Roman" w:eastAsia="Times New Roman" w:hAnsi="Times New Roman"/>
                <w:sz w:val="17"/>
                <w:szCs w:val="17"/>
                <w:color w:val="0000EE"/>
                <w:w w:val="98"/>
              </w:rPr>
              <w:t>DESCRIPTION OF OUR CAPITAL STOCK</w:t>
            </w:r>
          </w:p>
        </w:tc>
        <w:tc>
          <w:tcPr>
            <w:tcW w:w="7820" w:type="dxa"/>
            <w:vAlign w:val="bottom"/>
            <w:gridSpan w:val="9"/>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
        </w:trPr>
        <w:tc>
          <w:tcPr>
            <w:tcW w:w="134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00" w:type="dxa"/>
            <w:vAlign w:val="bottom"/>
            <w:tcBorders>
              <w:bottom w:val="single" w:sz="8" w:color="0000EE"/>
            </w:tcBorders>
            <w:gridSpan w:val="19"/>
          </w:tcPr>
          <w:p>
            <w:pPr>
              <w:spacing w:after="0" w:line="180" w:lineRule="exact"/>
              <w:rPr>
                <w:sz w:val="20"/>
                <w:szCs w:val="20"/>
                <w:color w:val="auto"/>
              </w:rPr>
            </w:pPr>
            <w:r>
              <w:rPr>
                <w:rFonts w:ascii="Times New Roman" w:cs="Times New Roman" w:eastAsia="Times New Roman" w:hAnsi="Times New Roman"/>
                <w:sz w:val="17"/>
                <w:szCs w:val="17"/>
                <w:color w:val="0000EE"/>
                <w:w w:val="97"/>
              </w:rPr>
              <w:t>DESCRIPTION OF OUR PREFERRED STOCK</w:t>
            </w:r>
          </w:p>
        </w:tc>
        <w:tc>
          <w:tcPr>
            <w:tcW w:w="7620" w:type="dxa"/>
            <w:vAlign w:val="bottom"/>
            <w:gridSpan w:val="7"/>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180"/>
        </w:trPr>
        <w:tc>
          <w:tcPr>
            <w:tcW w:w="10920" w:type="dxa"/>
            <w:vAlign w:val="bottom"/>
            <w:gridSpan w:val="26"/>
          </w:tcPr>
          <w:p>
            <w:pPr>
              <w:spacing w:after="0" w:line="180" w:lineRule="exact"/>
              <w:rPr>
                <w:sz w:val="20"/>
                <w:szCs w:val="20"/>
                <w:color w:val="auto"/>
              </w:rPr>
            </w:pPr>
            <w:r>
              <w:rPr>
                <w:rFonts w:ascii="Times New Roman" w:cs="Times New Roman" w:eastAsia="Times New Roman" w:hAnsi="Times New Roman"/>
                <w:sz w:val="17"/>
                <w:szCs w:val="17"/>
                <w:color w:val="0000EE"/>
              </w:rPr>
              <w:t>DESCRIPTION OF OUR WARRANTS</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
        </w:trPr>
        <w:tc>
          <w:tcPr>
            <w:tcW w:w="134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00" w:type="dxa"/>
            <w:vAlign w:val="bottom"/>
            <w:tcBorders>
              <w:bottom w:val="single" w:sz="8" w:color="0000EE"/>
            </w:tcBorders>
            <w:gridSpan w:val="20"/>
          </w:tcPr>
          <w:p>
            <w:pPr>
              <w:spacing w:after="0" w:line="180" w:lineRule="exact"/>
              <w:rPr>
                <w:sz w:val="20"/>
                <w:szCs w:val="20"/>
                <w:color w:val="auto"/>
              </w:rPr>
            </w:pPr>
            <w:r>
              <w:rPr>
                <w:rFonts w:ascii="Times New Roman" w:cs="Times New Roman" w:eastAsia="Times New Roman" w:hAnsi="Times New Roman"/>
                <w:sz w:val="17"/>
                <w:szCs w:val="17"/>
                <w:color w:val="0000EE"/>
                <w:w w:val="97"/>
              </w:rPr>
              <w:t>DESCRIPTION OF OUR SUBSCRIPTION RIGHTS</w:t>
            </w:r>
          </w:p>
        </w:tc>
        <w:tc>
          <w:tcPr>
            <w:tcW w:w="7320" w:type="dxa"/>
            <w:vAlign w:val="bottom"/>
            <w:gridSpan w:val="6"/>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180"/>
        </w:trPr>
        <w:tc>
          <w:tcPr>
            <w:tcW w:w="10920" w:type="dxa"/>
            <w:vAlign w:val="bottom"/>
            <w:gridSpan w:val="26"/>
          </w:tcPr>
          <w:p>
            <w:pPr>
              <w:spacing w:after="0" w:line="180" w:lineRule="exact"/>
              <w:rPr>
                <w:sz w:val="20"/>
                <w:szCs w:val="20"/>
                <w:color w:val="auto"/>
              </w:rPr>
            </w:pPr>
            <w:r>
              <w:rPr>
                <w:rFonts w:ascii="Times New Roman" w:cs="Times New Roman" w:eastAsia="Times New Roman" w:hAnsi="Times New Roman"/>
                <w:sz w:val="17"/>
                <w:szCs w:val="17"/>
                <w:color w:val="0000EE"/>
              </w:rPr>
              <w:t>DESCRIPTION OF OUR DEBT SECURITIES</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
        </w:trPr>
        <w:tc>
          <w:tcPr>
            <w:tcW w:w="134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40" w:type="dxa"/>
            <w:vAlign w:val="bottom"/>
            <w:tcBorders>
              <w:bottom w:val="single" w:sz="8" w:color="0000EE"/>
            </w:tcBorders>
            <w:gridSpan w:val="21"/>
          </w:tcPr>
          <w:p>
            <w:pPr>
              <w:spacing w:after="0" w:line="180" w:lineRule="exact"/>
              <w:rPr>
                <w:sz w:val="20"/>
                <w:szCs w:val="20"/>
                <w:color w:val="auto"/>
              </w:rPr>
            </w:pPr>
            <w:r>
              <w:rPr>
                <w:rFonts w:ascii="Times New Roman" w:cs="Times New Roman" w:eastAsia="Times New Roman" w:hAnsi="Times New Roman"/>
                <w:sz w:val="17"/>
                <w:szCs w:val="17"/>
                <w:color w:val="0000EE"/>
                <w:w w:val="96"/>
              </w:rPr>
              <w:t>BROKERAGE ALLOCATIONS AND OTHER PRACTICES</w:t>
            </w:r>
          </w:p>
        </w:tc>
        <w:tc>
          <w:tcPr>
            <w:tcW w:w="6780" w:type="dxa"/>
            <w:vAlign w:val="bottom"/>
            <w:gridSpan w:val="5"/>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0000EE"/>
            </w:tcBorders>
            <w:gridSpan w:val="24"/>
          </w:tcPr>
          <w:p>
            <w:pPr>
              <w:spacing w:after="0" w:line="180" w:lineRule="exact"/>
              <w:rPr>
                <w:sz w:val="20"/>
                <w:szCs w:val="20"/>
                <w:color w:val="auto"/>
              </w:rPr>
            </w:pPr>
            <w:r>
              <w:rPr>
                <w:rFonts w:ascii="Times New Roman" w:cs="Times New Roman" w:eastAsia="Times New Roman" w:hAnsi="Times New Roman"/>
                <w:sz w:val="17"/>
                <w:szCs w:val="17"/>
                <w:color w:val="0000EE"/>
                <w:w w:val="96"/>
              </w:rPr>
              <w:t>MATERIAL U.S. FEDERAL INCOME TAX CONSIDERATIONS</w:t>
            </w:r>
          </w:p>
        </w:tc>
        <w:tc>
          <w:tcPr>
            <w:tcW w:w="6420" w:type="dxa"/>
            <w:vAlign w:val="bottom"/>
            <w:gridSpan w:val="2"/>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180"/>
        </w:trPr>
        <w:tc>
          <w:tcPr>
            <w:tcW w:w="1900" w:type="dxa"/>
            <w:vAlign w:val="bottom"/>
            <w:tcBorders>
              <w:bottom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w w:val="97"/>
              </w:rPr>
              <w:t>PLAN OF DISTRIBUTION</w:t>
            </w:r>
          </w:p>
        </w:tc>
        <w:tc>
          <w:tcPr>
            <w:tcW w:w="9020" w:type="dxa"/>
            <w:vAlign w:val="bottom"/>
            <w:gridSpan w:val="19"/>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180"/>
        </w:trPr>
        <w:tc>
          <w:tcPr>
            <w:tcW w:w="10920" w:type="dxa"/>
            <w:vAlign w:val="bottom"/>
            <w:gridSpan w:val="26"/>
          </w:tcPr>
          <w:p>
            <w:pPr>
              <w:spacing w:after="0" w:line="180" w:lineRule="exact"/>
              <w:rPr>
                <w:sz w:val="20"/>
                <w:szCs w:val="20"/>
                <w:color w:val="auto"/>
              </w:rPr>
            </w:pPr>
            <w:r>
              <w:rPr>
                <w:rFonts w:ascii="Times New Roman" w:cs="Times New Roman" w:eastAsia="Times New Roman" w:hAnsi="Times New Roman"/>
                <w:sz w:val="17"/>
                <w:szCs w:val="17"/>
                <w:color w:val="0000EE"/>
              </w:rPr>
              <w:t>SUB-ADMINISTRATOR, CUSTODIAN, TRANSFER AGENT AND TRUSTEE</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180"/>
        </w:trPr>
        <w:tc>
          <w:tcPr>
            <w:tcW w:w="5480" w:type="dxa"/>
            <w:vAlign w:val="bottom"/>
            <w:tcBorders>
              <w:top w:val="single" w:sz="8" w:color="0000EE"/>
            </w:tcBorders>
            <w:gridSpan w:val="25"/>
          </w:tcPr>
          <w:p>
            <w:pPr>
              <w:spacing w:after="0" w:line="180" w:lineRule="exact"/>
              <w:rPr>
                <w:sz w:val="20"/>
                <w:szCs w:val="20"/>
                <w:color w:val="auto"/>
              </w:rPr>
            </w:pPr>
            <w:r>
              <w:rPr>
                <w:rFonts w:ascii="Times New Roman" w:cs="Times New Roman" w:eastAsia="Times New Roman" w:hAnsi="Times New Roman"/>
                <w:sz w:val="17"/>
                <w:szCs w:val="17"/>
                <w:color w:val="0000EE"/>
              </w:rPr>
              <w:t>LEGAL MATTERS</w:t>
            </w:r>
          </w:p>
        </w:tc>
        <w:tc>
          <w:tcPr>
            <w:tcW w:w="5440" w:type="dxa"/>
            <w:vAlign w:val="bottom"/>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0"/>
        </w:trPr>
        <w:tc>
          <w:tcPr>
            <w:tcW w:w="1340" w:type="dxa"/>
            <w:vAlign w:val="bottom"/>
            <w:gridSpan w:val="3"/>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11"/>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40" w:type="dxa"/>
            <w:vAlign w:val="bottom"/>
            <w:tcBorders>
              <w:bottom w:val="single" w:sz="8" w:color="0000EE"/>
            </w:tcBorders>
            <w:gridSpan w:val="23"/>
          </w:tcPr>
          <w:p>
            <w:pPr>
              <w:spacing w:after="0" w:line="180" w:lineRule="exact"/>
              <w:rPr>
                <w:sz w:val="20"/>
                <w:szCs w:val="20"/>
                <w:color w:val="auto"/>
              </w:rPr>
            </w:pPr>
            <w:r>
              <w:rPr>
                <w:rFonts w:ascii="Times New Roman" w:cs="Times New Roman" w:eastAsia="Times New Roman" w:hAnsi="Times New Roman"/>
                <w:sz w:val="17"/>
                <w:szCs w:val="17"/>
                <w:color w:val="0000EE"/>
                <w:w w:val="97"/>
              </w:rPr>
              <w:t>INDEPENDENT REGISTERED PUBLIC ACCOUNTING FIRM</w:t>
            </w:r>
          </w:p>
        </w:tc>
        <w:tc>
          <w:tcPr>
            <w:tcW w:w="6480" w:type="dxa"/>
            <w:vAlign w:val="bottom"/>
            <w:gridSpan w:val="3"/>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180"/>
        </w:trPr>
        <w:tc>
          <w:tcPr>
            <w:tcW w:w="2040" w:type="dxa"/>
            <w:vAlign w:val="bottom"/>
            <w:tcBorders>
              <w:bottom w:val="single" w:sz="8" w:color="0000EE"/>
            </w:tcBorders>
            <w:gridSpan w:val="10"/>
          </w:tcPr>
          <w:p>
            <w:pPr>
              <w:spacing w:after="0" w:line="180" w:lineRule="exact"/>
              <w:rPr>
                <w:sz w:val="20"/>
                <w:szCs w:val="20"/>
                <w:color w:val="auto"/>
              </w:rPr>
            </w:pPr>
            <w:r>
              <w:rPr>
                <w:rFonts w:ascii="Times New Roman" w:cs="Times New Roman" w:eastAsia="Times New Roman" w:hAnsi="Times New Roman"/>
                <w:sz w:val="17"/>
                <w:szCs w:val="17"/>
                <w:color w:val="0000EE"/>
                <w:w w:val="96"/>
              </w:rPr>
              <w:t>INDEPENDENT AUDITORS</w:t>
            </w:r>
          </w:p>
        </w:tc>
        <w:tc>
          <w:tcPr>
            <w:tcW w:w="8880" w:type="dxa"/>
            <w:vAlign w:val="bottom"/>
            <w:gridSpan w:val="16"/>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180"/>
        </w:trPr>
        <w:tc>
          <w:tcPr>
            <w:tcW w:w="10920" w:type="dxa"/>
            <w:vAlign w:val="bottom"/>
            <w:gridSpan w:val="26"/>
          </w:tcPr>
          <w:p>
            <w:pPr>
              <w:spacing w:after="0" w:line="180" w:lineRule="exact"/>
              <w:rPr>
                <w:sz w:val="20"/>
                <w:szCs w:val="20"/>
                <w:color w:val="auto"/>
              </w:rPr>
            </w:pPr>
            <w:r>
              <w:rPr>
                <w:rFonts w:ascii="Times New Roman" w:cs="Times New Roman" w:eastAsia="Times New Roman" w:hAnsi="Times New Roman"/>
                <w:sz w:val="17"/>
                <w:szCs w:val="17"/>
                <w:color w:val="0000EE"/>
              </w:rPr>
              <w:t>INCORPORATION BY REFERENCE</w:t>
            </w: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180"/>
        </w:trPr>
        <w:tc>
          <w:tcPr>
            <w:tcW w:w="2140" w:type="dxa"/>
            <w:vAlign w:val="bottom"/>
            <w:tcBorders>
              <w:top w:val="single" w:sz="8" w:color="0000EE"/>
              <w:bottom w:val="single" w:sz="8" w:color="0000EE"/>
            </w:tcBorders>
            <w:gridSpan w:val="11"/>
          </w:tcPr>
          <w:p>
            <w:pPr>
              <w:spacing w:after="0" w:line="180" w:lineRule="exact"/>
              <w:rPr>
                <w:sz w:val="20"/>
                <w:szCs w:val="20"/>
                <w:color w:val="auto"/>
              </w:rPr>
            </w:pPr>
            <w:r>
              <w:rPr>
                <w:rFonts w:ascii="Times New Roman" w:cs="Times New Roman" w:eastAsia="Times New Roman" w:hAnsi="Times New Roman"/>
                <w:sz w:val="17"/>
                <w:szCs w:val="17"/>
                <w:color w:val="0000EE"/>
                <w:w w:val="95"/>
              </w:rPr>
              <w:t>AVAILABLE INFORMATION</w:t>
            </w:r>
          </w:p>
        </w:tc>
        <w:tc>
          <w:tcPr>
            <w:tcW w:w="460" w:type="dxa"/>
            <w:vAlign w:val="bottom"/>
            <w:tcBorders>
              <w:top w:val="single" w:sz="8" w:color="0000EE"/>
            </w:tcBorders>
          </w:tcPr>
          <w:p>
            <w:pPr>
              <w:spacing w:after="0"/>
              <w:rPr>
                <w:sz w:val="15"/>
                <w:szCs w:val="15"/>
                <w:color w:val="auto"/>
              </w:rPr>
            </w:pPr>
          </w:p>
        </w:tc>
        <w:tc>
          <w:tcPr>
            <w:tcW w:w="8320" w:type="dxa"/>
            <w:vAlign w:val="bottom"/>
            <w:gridSpan w:val="14"/>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00"/>
          </w:cols>
          <w:pgMar w:left="320" w:top="285"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52070"/>
                    </a:xfrm>
                    <a:prstGeom prst="rect">
                      <a:avLst/>
                    </a:prstGeom>
                    <a:noFill/>
                  </pic:spPr>
                </pic:pic>
              </a:graphicData>
            </a:graphic>
          </wp:anchor>
        </w:drawing>
        <w:t>ABOUT THIS PROSPECTUS</w:t>
      </w:r>
    </w:p>
    <w:p>
      <w:pPr>
        <w:spacing w:after="0" w:line="208" w:lineRule="exact"/>
        <w:rPr>
          <w:sz w:val="20"/>
          <w:szCs w:val="20"/>
          <w:color w:val="auto"/>
        </w:rPr>
      </w:pPr>
    </w:p>
    <w:p>
      <w:pPr>
        <w:ind w:firstLine="450"/>
        <w:spacing w:after="0" w:line="264"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2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031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755" cy="5031105"/>
                    </a:xfrm>
                    <a:prstGeom prst="rect">
                      <a:avLst/>
                    </a:prstGeom>
                    <a:noFill/>
                  </pic:spPr>
                </pic:pic>
              </a:graphicData>
            </a:graphic>
          </wp:anchor>
        </w:drawing>
        <w:t>PROSPECTUS SUMMARY</w:t>
      </w:r>
    </w:p>
    <w:p>
      <w:pPr>
        <w:spacing w:after="0" w:line="206" w:lineRule="exact"/>
        <w:rPr>
          <w:sz w:val="20"/>
          <w:szCs w:val="20"/>
          <w:color w:val="auto"/>
        </w:rPr>
      </w:pPr>
    </w:p>
    <w:p>
      <w:pPr>
        <w:ind w:firstLine="435"/>
        <w:spacing w:after="0" w:line="262" w:lineRule="auto"/>
        <w:rPr>
          <w:sz w:val="20"/>
          <w:szCs w:val="20"/>
          <w:color w:val="auto"/>
        </w:rPr>
      </w:pPr>
      <w:r>
        <w:rPr>
          <w:rFonts w:ascii="Times New Roman" w:cs="Times New Roman" w:eastAsia="Times New Roman" w:hAnsi="Times New Roman"/>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collectively PFLT Investment Holdings, LLC and PFLT Investment Holdings II, LLC; “PSSL” refers to PennantPark Senior Secured Loan Fund I LLC, an unconsolidated joint venture; “PennantPark Investment Advisers” and “Investment Adviser” refer to PennantPark Investment Advisers, LLC; “PennantPark Investment Administration” and “Administrator” refer to PennantPark Investment Administration, LLC;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 “2036 Securitization Issuer” refers to PennantPark CLO VIII, LLC; “2036-Debt Securitization” refers to the $350.6 million term debt securitization completed by the 2036 Securitization Issuer; “2036 Asset-Backed Debt” refers to the issuance of the AAA(sf) Class A-1 Notes, AAA(sf) Class A-2 Notes, AA(sf) Class B Notes, A(sf) Class C Notes, BBB-(sf) Class D Notes, and the borrowing issuance of AAA(sf) Class A-1 floating rate loans.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Business of PennantPark Floating Rate Capital Ltd.</w:t>
      </w:r>
    </w:p>
    <w:p>
      <w:pPr>
        <w:spacing w:after="0" w:line="108" w:lineRule="exact"/>
        <w:rPr>
          <w:sz w:val="20"/>
          <w:szCs w:val="20"/>
          <w:color w:val="auto"/>
        </w:rPr>
      </w:pPr>
    </w:p>
    <w:p>
      <w:pPr>
        <w:ind w:right="220" w:firstLine="435"/>
        <w:spacing w:after="0" w:line="270" w:lineRule="auto"/>
        <w:rPr>
          <w:sz w:val="20"/>
          <w:szCs w:val="20"/>
          <w:color w:val="auto"/>
        </w:rPr>
      </w:pPr>
      <w:r>
        <w:rPr>
          <w:rFonts w:ascii="Times New Roman" w:cs="Times New Roman" w:eastAsia="Times New Roman" w:hAnsi="Times New Roman"/>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59" w:lineRule="exact"/>
        <w:rPr>
          <w:sz w:val="20"/>
          <w:szCs w:val="20"/>
          <w:color w:val="auto"/>
        </w:rPr>
      </w:pPr>
    </w:p>
    <w:p>
      <w:pPr>
        <w:ind w:right="80" w:firstLine="435"/>
        <w:spacing w:after="0" w:line="253" w:lineRule="auto"/>
        <w:rPr>
          <w:sz w:val="20"/>
          <w:szCs w:val="20"/>
          <w:color w:val="auto"/>
        </w:rPr>
      </w:pPr>
      <w:r>
        <w:rPr>
          <w:rFonts w:ascii="Times New Roman" w:cs="Times New Roman" w:eastAsia="Times New Roman" w:hAnsi="Times New Roman"/>
          <w:sz w:val="17"/>
          <w:szCs w:val="17"/>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880"/>
          </w:cols>
          <w:pgMar w:left="500" w:top="468" w:right="519" w:bottom="1440" w:gutter="0" w:footer="0" w:header="0"/>
        </w:sectPr>
      </w:pPr>
    </w:p>
    <w:bookmarkStart w:id="5" w:name="page6"/>
    <w:bookmarkEnd w:id="5"/>
    <w:p>
      <w:pPr>
        <w:ind w:right="6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410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755" cy="5410835"/>
                    </a:xfrm>
                    <a:prstGeom prst="rect">
                      <a:avLst/>
                    </a:prstGeom>
                    <a:noFill/>
                  </pic:spPr>
                </pic:pic>
              </a:graphicData>
            </a:graphic>
          </wp:anchor>
        </w:drawing>
        <w:t>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5" w:lineRule="exact"/>
        <w:rPr>
          <w:sz w:val="20"/>
          <w:szCs w:val="20"/>
          <w:color w:val="auto"/>
        </w:rPr>
      </w:pPr>
    </w:p>
    <w:p>
      <w:pPr>
        <w:ind w:right="160" w:firstLine="435"/>
        <w:spacing w:after="0" w:line="251" w:lineRule="auto"/>
        <w:rPr>
          <w:sz w:val="20"/>
          <w:szCs w:val="20"/>
          <w:color w:val="auto"/>
        </w:rPr>
      </w:pPr>
      <w:r>
        <w:rPr>
          <w:rFonts w:ascii="Times New Roman" w:cs="Times New Roman" w:eastAsia="Times New Roman" w:hAnsi="Times New Roman"/>
          <w:sz w:val="17"/>
          <w:szCs w:val="17"/>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75" w:lineRule="exact"/>
        <w:rPr>
          <w:sz w:val="20"/>
          <w:szCs w:val="20"/>
          <w:color w:val="auto"/>
        </w:rPr>
      </w:pPr>
    </w:p>
    <w:p>
      <w:pPr>
        <w:ind w:firstLine="435"/>
        <w:spacing w:after="0" w:line="253" w:lineRule="auto"/>
        <w:rPr>
          <w:sz w:val="20"/>
          <w:szCs w:val="20"/>
          <w:color w:val="auto"/>
        </w:rPr>
      </w:pPr>
      <w:r>
        <w:rPr>
          <w:rFonts w:ascii="Times New Roman" w:cs="Times New Roman" w:eastAsia="Times New Roman" w:hAnsi="Times New Roman"/>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 and Structure of PennantPark Floating Rate Capital Ltd.</w:t>
      </w:r>
    </w:p>
    <w:p>
      <w:pPr>
        <w:spacing w:after="0" w:line="108" w:lineRule="exact"/>
        <w:rPr>
          <w:sz w:val="20"/>
          <w:szCs w:val="20"/>
          <w:color w:val="auto"/>
        </w:rPr>
      </w:pPr>
    </w:p>
    <w:p>
      <w:pPr>
        <w:ind w:firstLine="435"/>
        <w:spacing w:after="0" w:line="257" w:lineRule="auto"/>
        <w:rPr>
          <w:sz w:val="20"/>
          <w:szCs w:val="20"/>
          <w:color w:val="auto"/>
        </w:rPr>
      </w:pPr>
      <w:r>
        <w:rPr>
          <w:rFonts w:ascii="Times New Roman" w:cs="Times New Roman" w:eastAsia="Times New Roman" w:hAnsi="Times New Roman"/>
          <w:sz w:val="17"/>
          <w:szCs w:val="17"/>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70" w:lineRule="exact"/>
        <w:rPr>
          <w:sz w:val="20"/>
          <w:szCs w:val="20"/>
          <w:color w:val="auto"/>
        </w:rPr>
      </w:pPr>
    </w:p>
    <w:p>
      <w:pPr>
        <w:ind w:right="20" w:firstLine="435"/>
        <w:spacing w:after="0" w:line="257" w:lineRule="auto"/>
        <w:rPr>
          <w:sz w:val="20"/>
          <w:szCs w:val="20"/>
          <w:color w:val="auto"/>
        </w:rPr>
      </w:pPr>
      <w:r>
        <w:rPr>
          <w:rFonts w:ascii="Times New Roman" w:cs="Times New Roman" w:eastAsia="Times New Roman" w:hAnsi="Times New Roman"/>
          <w:sz w:val="17"/>
          <w:szCs w:val="17"/>
          <w:color w:val="auto"/>
        </w:rPr>
        <w:t>Funding I, our wholly-owned subsidiary and a special purpose entity, was organized in Delaware as a limited liability company in May 2011. On August 12, 2021, Funding I, as borrower, entered into the Credit Facility, which provides the ability for Funding I to borrow up to $436 million (increased from $386 million on April 9, 2024). The Credit Facility is secured by all of the assets of Funding I.</w:t>
      </w:r>
    </w:p>
    <w:p>
      <w:pPr>
        <w:spacing w:after="0" w:line="170" w:lineRule="exact"/>
        <w:rPr>
          <w:sz w:val="20"/>
          <w:szCs w:val="20"/>
          <w:color w:val="auto"/>
        </w:rPr>
      </w:pPr>
    </w:p>
    <w:p>
      <w:pPr>
        <w:ind w:right="380" w:firstLine="435"/>
        <w:spacing w:after="0" w:line="257" w:lineRule="auto"/>
        <w:rPr>
          <w:sz w:val="20"/>
          <w:szCs w:val="20"/>
          <w:color w:val="auto"/>
        </w:rPr>
      </w:pPr>
      <w:r>
        <w:rPr>
          <w:rFonts w:ascii="Times New Roman" w:cs="Times New Roman" w:eastAsia="Times New Roman" w:hAnsi="Times New Roman"/>
          <w:sz w:val="17"/>
          <w:szCs w:val="17"/>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70" w:lineRule="exact"/>
        <w:rPr>
          <w:sz w:val="20"/>
          <w:szCs w:val="20"/>
          <w:color w:val="auto"/>
        </w:rPr>
      </w:pPr>
    </w:p>
    <w:p>
      <w:pPr>
        <w:ind w:right="500" w:firstLine="435"/>
        <w:spacing w:after="0" w:line="270" w:lineRule="auto"/>
        <w:rPr>
          <w:sz w:val="20"/>
          <w:szCs w:val="20"/>
          <w:color w:val="auto"/>
        </w:rPr>
      </w:pPr>
      <w:r>
        <w:rPr>
          <w:rFonts w:ascii="Times New Roman" w:cs="Times New Roman" w:eastAsia="Times New Roman" w:hAnsi="Times New Roman"/>
          <w:sz w:val="17"/>
          <w:szCs w:val="17"/>
          <w:color w:val="auto"/>
        </w:rPr>
        <w:t>In April 2019, our wholly-owned subsidiary, the Securitization Issuer, was incorporated in the Cayman Islands as an exempted company with limited liability. We formed the Securitization Issuer in order to complete the Debt Securitization.</w:t>
      </w:r>
    </w:p>
    <w:p>
      <w:pPr>
        <w:spacing w:after="0" w:line="159" w:lineRule="exact"/>
        <w:rPr>
          <w:sz w:val="20"/>
          <w:szCs w:val="20"/>
          <w:color w:val="auto"/>
        </w:rPr>
      </w:pPr>
    </w:p>
    <w:p>
      <w:pPr>
        <w:ind w:right="120" w:firstLine="435"/>
        <w:spacing w:after="0" w:line="270" w:lineRule="auto"/>
        <w:rPr>
          <w:sz w:val="20"/>
          <w:szCs w:val="20"/>
          <w:color w:val="auto"/>
        </w:rPr>
      </w:pPr>
      <w:r>
        <w:rPr>
          <w:rFonts w:ascii="Times New Roman" w:cs="Times New Roman" w:eastAsia="Times New Roman" w:hAnsi="Times New Roman"/>
          <w:sz w:val="17"/>
          <w:szCs w:val="17"/>
          <w:color w:val="auto"/>
        </w:rPr>
        <w:t>In January 2024, our wholly-owned subsidiary, the 2036 Securitization Issuer, was incorporated in Delaware as a limited liability company. We formed the 2036 Securitization Issuer in order to complete the 2036-Debt Securitization.</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On February 4, 2022, we formed PFLT Investment Holdings II, LLC, a Delaware limited liability company (“Holdings II”), as a wholly owned subsidiary.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December 31, 2022, we contributed 100% of our interests in PFLT Investment Holdings, LLC (“Holdings”) to Holdings II. Effective as of January 1,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Holdings II made an election to be treated as a corporation for U.S. federal income tax purposes. On January 3, 2024, we purchased</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860"/>
          </w:cols>
          <w:pgMar w:left="500" w:top="472" w:right="539" w:bottom="1440" w:gutter="0" w:footer="0" w:header="0"/>
        </w:sectPr>
      </w:pPr>
    </w:p>
    <w:bookmarkStart w:id="6" w:name="page7"/>
    <w:bookmarkEnd w:id="6"/>
    <w:p>
      <w:pPr>
        <w:ind w:right="26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37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755" cy="5371465"/>
                    </a:xfrm>
                    <a:prstGeom prst="rect">
                      <a:avLst/>
                    </a:prstGeom>
                    <a:noFill/>
                  </pic:spPr>
                </pic:pic>
              </a:graphicData>
            </a:graphic>
          </wp:anchor>
        </w:drawing>
        <w:t>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Investment Adviser and Administrator</w:t>
      </w:r>
    </w:p>
    <w:p>
      <w:pPr>
        <w:spacing w:after="0" w:line="108" w:lineRule="exact"/>
        <w:rPr>
          <w:sz w:val="20"/>
          <w:szCs w:val="20"/>
          <w:color w:val="auto"/>
        </w:rPr>
      </w:pPr>
    </w:p>
    <w:p>
      <w:pPr>
        <w:ind w:right="120" w:firstLine="435"/>
        <w:spacing w:after="0" w:line="248" w:lineRule="auto"/>
        <w:rPr>
          <w:sz w:val="20"/>
          <w:szCs w:val="20"/>
          <w:color w:val="auto"/>
        </w:rPr>
      </w:pPr>
      <w:r>
        <w:rPr>
          <w:rFonts w:ascii="Times New Roman" w:cs="Times New Roman" w:eastAsia="Times New Roman" w:hAnsi="Times New Roman"/>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$20.3 billion in 674 companies with more than 200 different financial sponsors through its managed funds, which includes investments by the Company totaling $5.9 billion in 492 companies.</w:t>
      </w:r>
    </w:p>
    <w:p>
      <w:pPr>
        <w:spacing w:after="0" w:line="177"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108" w:lineRule="exact"/>
        <w:rPr>
          <w:sz w:val="20"/>
          <w:szCs w:val="20"/>
          <w:color w:val="auto"/>
        </w:rPr>
      </w:pPr>
    </w:p>
    <w:p>
      <w:pPr>
        <w:ind w:right="420" w:firstLine="435"/>
        <w:spacing w:after="0" w:line="270" w:lineRule="auto"/>
        <w:rPr>
          <w:sz w:val="20"/>
          <w:szCs w:val="20"/>
          <w:color w:val="auto"/>
        </w:rPr>
      </w:pPr>
      <w:r>
        <w:rPr>
          <w:rFonts w:ascii="Times New Roman" w:cs="Times New Roman" w:eastAsia="Times New Roman" w:hAnsi="Times New Roman"/>
          <w:sz w:val="17"/>
          <w:szCs w:val="17"/>
          <w:color w:val="auto"/>
        </w:rPr>
        <w:t>We believe that the limited amount of capital available to middle-market companies, coupled with the desire of these companies for flexible sources of capital, creates an attractive investment environment for us.</w:t>
      </w:r>
    </w:p>
    <w:p>
      <w:pPr>
        <w:spacing w:after="0" w:line="67" w:lineRule="exact"/>
        <w:rPr>
          <w:sz w:val="20"/>
          <w:szCs w:val="20"/>
          <w:color w:val="auto"/>
        </w:rPr>
      </w:pPr>
    </w:p>
    <w:p>
      <w:pPr>
        <w:ind w:left="960" w:right="160" w:hanging="419"/>
        <w:spacing w:after="0" w:line="260"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We believe middle-market companies have faced difficulty raising debt in private markets. </w:t>
      </w:r>
      <w:r>
        <w:rPr>
          <w:rFonts w:ascii="Times New Roman" w:cs="Times New Roman" w:eastAsia="Times New Roman" w:hAnsi="Times New Roman"/>
          <w:sz w:val="17"/>
          <w:szCs w:val="17"/>
          <w:color w:val="auto"/>
        </w:rPr>
        <w:t>From time to time, banks, finance companies,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hedge funds and collateralized loan obligation, or CLO, funds have withdrawn, and may again withdraw, capital from the middle-market, resulting in opportunities for alternative funding sources.</w:t>
      </w:r>
    </w:p>
    <w:p>
      <w:pPr>
        <w:spacing w:after="0" w:line="75" w:lineRule="exact"/>
        <w:rPr>
          <w:rFonts w:ascii="Times New Roman" w:cs="Times New Roman" w:eastAsia="Times New Roman" w:hAnsi="Times New Roman"/>
          <w:sz w:val="17"/>
          <w:szCs w:val="17"/>
          <w:color w:val="auto"/>
        </w:rPr>
      </w:pPr>
    </w:p>
    <w:p>
      <w:pPr>
        <w:ind w:left="960" w:right="120" w:hanging="419"/>
        <w:spacing w:after="0" w:line="255"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7"/>
          <w:szCs w:val="17"/>
          <w:color w:val="auto"/>
        </w:rPr>
        <w:t>Many middle-market companies look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79" w:lineRule="exact"/>
        <w:rPr>
          <w:rFonts w:ascii="Times New Roman" w:cs="Times New Roman" w:eastAsia="Times New Roman" w:hAnsi="Times New Roman"/>
          <w:sz w:val="17"/>
          <w:szCs w:val="17"/>
          <w:color w:val="auto"/>
        </w:rPr>
      </w:pPr>
    </w:p>
    <w:p>
      <w:pPr>
        <w:ind w:left="960" w:right="80" w:hanging="419"/>
        <w:spacing w:after="0" w:line="260"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7"/>
          <w:szCs w:val="17"/>
          <w:color w:val="auto"/>
        </w:rPr>
        <w:t>From time to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participants have reduced lending to middle-market and non-investment grade borrowers. As a result, we believe there is less competition in our market, more conservative capital structures, higher yields and stronger covenants.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880"/>
          </w:cols>
          <w:pgMar w:left="500" w:top="472" w:right="519" w:bottom="1440" w:gutter="0" w:footer="0" w:header="0"/>
        </w:sectPr>
      </w:pPr>
    </w:p>
    <w:bookmarkStart w:id="7" w:name="page8"/>
    <w:bookmarkEnd w:id="7"/>
    <w:p>
      <w:pPr>
        <w:ind w:left="960" w:hanging="419"/>
        <w:spacing w:after="0" w:line="255"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355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755" cy="5355590"/>
                    </a:xfrm>
                    <a:prstGeom prst="rect">
                      <a:avLst/>
                    </a:prstGeom>
                    <a:noFill/>
                  </pic:spPr>
                </pic:pic>
              </a:graphicData>
            </a:graphic>
          </wp:anchor>
        </w:drawing>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7"/>
          <w:szCs w:val="17"/>
          <w:color w:val="auto"/>
        </w:rPr>
        <w:t>We expect that private equity firms will continue to be active investors in middle-market companies. These private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equity funds generally seek to leverage their investments by combining their capital with loans provided by other sources, and we believe that we are well-positioned to partner with such equity investors.</w:t>
      </w:r>
    </w:p>
    <w:p>
      <w:pPr>
        <w:spacing w:after="0" w:line="79" w:lineRule="exact"/>
        <w:rPr>
          <w:rFonts w:ascii="Times New Roman" w:cs="Times New Roman" w:eastAsia="Times New Roman" w:hAnsi="Times New Roman"/>
          <w:sz w:val="17"/>
          <w:szCs w:val="17"/>
          <w:color w:val="auto"/>
        </w:rPr>
      </w:pPr>
    </w:p>
    <w:p>
      <w:pPr>
        <w:ind w:left="960" w:right="80" w:hanging="419"/>
        <w:spacing w:after="0" w:line="272" w:lineRule="auto"/>
        <w:tabs>
          <w:tab w:leader="none" w:pos="9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6"/>
          <w:szCs w:val="16"/>
          <w:color w:val="auto"/>
        </w:rPr>
        <w:t>A high volume of financings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08" w:lineRule="exact"/>
        <w:rPr>
          <w:sz w:val="20"/>
          <w:szCs w:val="20"/>
          <w:color w:val="auto"/>
        </w:rPr>
      </w:pPr>
    </w:p>
    <w:p>
      <w:pPr>
        <w:jc w:val="both"/>
        <w:ind w:right="140" w:firstLine="435"/>
        <w:spacing w:after="0" w:line="257" w:lineRule="auto"/>
        <w:rPr>
          <w:sz w:val="20"/>
          <w:szCs w:val="20"/>
          <w:color w:val="auto"/>
        </w:rPr>
      </w:pPr>
      <w:r>
        <w:rPr>
          <w:rFonts w:ascii="Times New Roman" w:cs="Times New Roman" w:eastAsia="Times New Roman" w:hAnsi="Times New Roman"/>
          <w:sz w:val="17"/>
          <w:szCs w:val="17"/>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Distributions on Common Stock</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intend to continue our monthly distributions to our stockholders. Our monthly distributions, if any, are determined by our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Distributions may include a return of capital. See “Distributions” for more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 on Preferred Stock</w:t>
      </w:r>
    </w:p>
    <w:p>
      <w:pPr>
        <w:spacing w:after="0" w:line="108" w:lineRule="exact"/>
        <w:rPr>
          <w:sz w:val="20"/>
          <w:szCs w:val="20"/>
          <w:color w:val="auto"/>
        </w:rPr>
      </w:pPr>
    </w:p>
    <w:p>
      <w:pPr>
        <w:ind w:firstLine="435"/>
        <w:spacing w:after="0" w:line="251" w:lineRule="auto"/>
        <w:rPr>
          <w:sz w:val="20"/>
          <w:szCs w:val="20"/>
          <w:color w:val="auto"/>
        </w:rPr>
      </w:pPr>
      <w:r>
        <w:rPr>
          <w:rFonts w:ascii="Times New Roman" w:cs="Times New Roman" w:eastAsia="Times New Roman" w:hAnsi="Times New Roman"/>
          <w:sz w:val="17"/>
          <w:szCs w:val="17"/>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are subject to extension. The dividend rate could be variable and determined for each dividend period. See “Description of our Preferred Stock” for more information.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08" w:lineRule="exact"/>
        <w:rPr>
          <w:sz w:val="20"/>
          <w:szCs w:val="20"/>
          <w:color w:val="auto"/>
        </w:rPr>
      </w:pPr>
    </w:p>
    <w:p>
      <w:pPr>
        <w:ind w:right="520" w:firstLine="435"/>
        <w:spacing w:after="0" w:line="270" w:lineRule="auto"/>
        <w:rPr>
          <w:sz w:val="20"/>
          <w:szCs w:val="20"/>
          <w:color w:val="auto"/>
        </w:rPr>
      </w:pPr>
      <w:r>
        <w:rPr>
          <w:rFonts w:ascii="Times New Roman" w:cs="Times New Roman" w:eastAsia="Times New Roman" w:hAnsi="Times New Roman"/>
          <w:sz w:val="17"/>
          <w:szCs w:val="17"/>
          <w:color w:val="auto"/>
        </w:rPr>
        <w:t>We may offer, from time to time, up to $1,000,000,000 of our securities, on terms to be determined at the time of each such offering and set forth in a supplement to this prospectus.</w:t>
      </w:r>
    </w:p>
    <w:p>
      <w:pPr>
        <w:spacing w:after="0" w:line="159" w:lineRule="exact"/>
        <w:rPr>
          <w:sz w:val="20"/>
          <w:szCs w:val="20"/>
          <w:color w:val="auto"/>
        </w:rPr>
      </w:pPr>
    </w:p>
    <w:p>
      <w:pPr>
        <w:ind w:right="20" w:firstLine="435"/>
        <w:spacing w:after="0" w:line="251" w:lineRule="auto"/>
        <w:rPr>
          <w:sz w:val="20"/>
          <w:szCs w:val="20"/>
          <w:color w:val="auto"/>
        </w:rPr>
      </w:pPr>
      <w:r>
        <w:rPr>
          <w:rFonts w:ascii="Times New Roman" w:cs="Times New Roman" w:eastAsia="Times New Roman" w:hAnsi="Times New Roman"/>
          <w:sz w:val="17"/>
          <w:szCs w:val="17"/>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A supplement to this prospectus relating to any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880"/>
          </w:cols>
          <w:pgMar w:left="500" w:top="468" w:right="519" w:bottom="1440" w:gutter="0" w:footer="0" w:header="0"/>
        </w:sectPr>
      </w:pPr>
    </w:p>
    <w:bookmarkStart w:id="8" w:name="page9"/>
    <w:bookmarkEnd w:id="8"/>
    <w:p>
      <w:pPr>
        <w:ind w:right="3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2750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755" cy="2750185"/>
                    </a:xfrm>
                    <a:prstGeom prst="rect">
                      <a:avLst/>
                    </a:prstGeom>
                    <a:noFill/>
                  </pic:spPr>
                </pic:pic>
              </a:graphicData>
            </a:graphic>
          </wp:anchor>
        </w:drawing>
        <w:t>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59" w:lineRule="exact"/>
        <w:rPr>
          <w:sz w:val="20"/>
          <w:szCs w:val="20"/>
          <w:color w:val="auto"/>
        </w:rPr>
      </w:pPr>
    </w:p>
    <w:p>
      <w:pPr>
        <w:ind w:right="360" w:firstLine="435"/>
        <w:spacing w:after="0" w:line="270" w:lineRule="auto"/>
        <w:rPr>
          <w:sz w:val="20"/>
          <w:szCs w:val="20"/>
          <w:color w:val="auto"/>
        </w:rPr>
      </w:pPr>
      <w:r>
        <w:rPr>
          <w:rFonts w:ascii="Times New Roman" w:cs="Times New Roman" w:eastAsia="Times New Roman" w:hAnsi="Times New Roman"/>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Associated with Our Business</w:t>
      </w:r>
    </w:p>
    <w:p>
      <w:pPr>
        <w:spacing w:after="0" w:line="108" w:lineRule="exact"/>
        <w:rPr>
          <w:sz w:val="20"/>
          <w:szCs w:val="20"/>
          <w:color w:val="auto"/>
        </w:rPr>
      </w:pPr>
    </w:p>
    <w:p>
      <w:pPr>
        <w:ind w:right="80" w:firstLine="435"/>
        <w:spacing w:after="0" w:line="253" w:lineRule="auto"/>
        <w:rPr>
          <w:sz w:val="20"/>
          <w:szCs w:val="20"/>
          <w:color w:val="auto"/>
        </w:rPr>
      </w:pPr>
      <w:r>
        <w:rPr>
          <w:rFonts w:ascii="Times New Roman" w:cs="Times New Roman" w:eastAsia="Times New Roman" w:hAnsi="Times New Roman"/>
          <w:sz w:val="17"/>
          <w:szCs w:val="17"/>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Corporate Information</w:t>
      </w:r>
    </w:p>
    <w:p>
      <w:pPr>
        <w:spacing w:after="0" w:line="108" w:lineRule="exact"/>
        <w:rPr>
          <w:sz w:val="20"/>
          <w:szCs w:val="20"/>
          <w:color w:val="auto"/>
        </w:rPr>
      </w:pPr>
    </w:p>
    <w:p>
      <w:pPr>
        <w:ind w:firstLine="435"/>
        <w:spacing w:after="0" w:line="253" w:lineRule="auto"/>
        <w:rPr>
          <w:sz w:val="20"/>
          <w:szCs w:val="20"/>
          <w:color w:val="auto"/>
        </w:rPr>
      </w:pPr>
      <w:r>
        <w:rPr>
          <w:rFonts w:ascii="Times New Roman" w:cs="Times New Roman" w:eastAsia="Times New Roman" w:hAnsi="Times New Roman"/>
          <w:sz w:val="17"/>
          <w:szCs w:val="17"/>
          <w:color w:val="auto"/>
        </w:rPr>
        <w:t xml:space="preserve">Our administrative and principal executive offices are located at 1691 Michigan Avenue, Miami Beach, Florida 33139. Our phone number is (786) 297-9500, and our internet website address is </w:t>
      </w:r>
      <w:r>
        <w:rPr>
          <w:rFonts w:ascii="Times New Roman" w:cs="Times New Roman" w:eastAsia="Times New Roman" w:hAnsi="Times New Roman"/>
          <w:sz w:val="17"/>
          <w:szCs w:val="17"/>
          <w:i w:val="1"/>
          <w:iCs w:val="1"/>
          <w:u w:val="single" w:color="auto"/>
          <w:color w:val="auto"/>
        </w:rPr>
        <w:t>www.pennantpark.com</w:t>
      </w:r>
      <w:r>
        <w:rPr>
          <w:rFonts w:ascii="Times New Roman" w:cs="Times New Roman" w:eastAsia="Times New Roman" w:hAnsi="Times New Roman"/>
          <w:sz w:val="17"/>
          <w:szCs w:val="17"/>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840"/>
          </w:cols>
          <w:pgMar w:left="500" w:top="472" w:right="5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52070"/>
                    </a:xfrm>
                    <a:prstGeom prst="rect">
                      <a:avLst/>
                    </a:prstGeom>
                    <a:noFill/>
                  </pic:spPr>
                </pic:pic>
              </a:graphicData>
            </a:graphic>
          </wp:anchor>
        </w:drawing>
        <w:t>FEES AND EXPENSES</w:t>
      </w:r>
    </w:p>
    <w:p>
      <w:pPr>
        <w:spacing w:after="0" w:line="208" w:lineRule="exact"/>
        <w:rPr>
          <w:sz w:val="20"/>
          <w:szCs w:val="20"/>
          <w:color w:val="auto"/>
        </w:rPr>
      </w:pPr>
    </w:p>
    <w:p>
      <w:pPr>
        <w:ind w:firstLine="450"/>
        <w:spacing w:after="0" w:line="274" w:lineRule="auto"/>
        <w:rPr>
          <w:sz w:val="20"/>
          <w:szCs w:val="20"/>
          <w:color w:val="auto"/>
        </w:rPr>
      </w:pPr>
      <w:r>
        <w:rPr>
          <w:rFonts w:ascii="Times New Roman" w:cs="Times New Roman" w:eastAsia="Times New Roman" w:hAnsi="Times New Roman"/>
          <w:sz w:val="16"/>
          <w:szCs w:val="16"/>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199" w:lineRule="exact"/>
        <w:rPr>
          <w:sz w:val="20"/>
          <w:szCs w:val="20"/>
          <w:color w:val="auto"/>
        </w:rPr>
      </w:pPr>
    </w:p>
    <w:tbl>
      <w:tblPr>
        <w:tblLayout w:type="fixed"/>
        <w:tblInd w:w="1800" w:type="dxa"/>
        <w:tblCellMar>
          <w:top w:w="0" w:type="dxa"/>
          <w:left w:w="0" w:type="dxa"/>
          <w:bottom w:w="0" w:type="dxa"/>
          <w:right w:w="0" w:type="dxa"/>
        </w:tblCellMar>
      </w:tblPr>
      <w:tr>
        <w:trPr>
          <w:trHeight w:val="20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 transaction expenses</w:t>
            </w:r>
          </w:p>
        </w:tc>
        <w:tc>
          <w:tcPr>
            <w:tcW w:w="1360" w:type="dxa"/>
            <w:vAlign w:val="bottom"/>
            <w:shd w:val="clear" w:color="auto" w:fill="CCEEFF"/>
          </w:tcPr>
          <w:p>
            <w:pPr>
              <w:spacing w:after="0"/>
              <w:rPr>
                <w:sz w:val="17"/>
                <w:szCs w:val="17"/>
                <w:color w:val="auto"/>
              </w:rPr>
            </w:pPr>
          </w:p>
        </w:tc>
      </w:tr>
      <w:tr>
        <w:trPr>
          <w:trHeight w:val="200"/>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Sales load (as a percentage of offering price)</w:t>
            </w:r>
          </w:p>
        </w:tc>
        <w:tc>
          <w:tcPr>
            <w:tcW w:w="1360" w:type="dxa"/>
            <w:vAlign w:val="bottom"/>
          </w:tcPr>
          <w:p>
            <w:pPr>
              <w:ind w:left="78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9"/>
                <w:szCs w:val="9"/>
                <w:color w:val="auto"/>
              </w:rPr>
              <w:t>(1)</w:t>
            </w:r>
          </w:p>
        </w:tc>
      </w:tr>
      <w:tr>
        <w:trPr>
          <w:trHeight w:val="20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Offering expenses (as a percentage of offering price)</w:t>
            </w:r>
          </w:p>
        </w:tc>
        <w:tc>
          <w:tcPr>
            <w:tcW w:w="1360" w:type="dxa"/>
            <w:vAlign w:val="bottom"/>
            <w:shd w:val="clear" w:color="auto" w:fill="CCEEFF"/>
          </w:tcPr>
          <w:p>
            <w:pPr>
              <w:ind w:left="780"/>
              <w:spacing w:after="0" w:line="200"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9"/>
                <w:szCs w:val="9"/>
                <w:color w:val="auto"/>
              </w:rPr>
              <w:t xml:space="preserve"> (2)</w:t>
            </w:r>
          </w:p>
        </w:tc>
      </w:tr>
      <w:tr>
        <w:trPr>
          <w:trHeight w:val="220"/>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 expenses (as a percentage of offering price)</w:t>
            </w:r>
          </w:p>
        </w:tc>
        <w:tc>
          <w:tcPr>
            <w:tcW w:w="1360" w:type="dxa"/>
            <w:vAlign w:val="bottom"/>
          </w:tcPr>
          <w:p>
            <w:pPr>
              <w:jc w:val="right"/>
              <w:ind w:right="286"/>
              <w:spacing w:after="0"/>
              <w:rPr>
                <w:sz w:val="20"/>
                <w:szCs w:val="20"/>
                <w:color w:val="auto"/>
              </w:rPr>
            </w:pPr>
            <w:r>
              <w:rPr>
                <w:rFonts w:ascii="Times New Roman" w:cs="Times New Roman" w:eastAsia="Times New Roman" w:hAnsi="Times New Roman"/>
                <w:sz w:val="17"/>
                <w:szCs w:val="17"/>
                <w:color w:val="auto"/>
              </w:rPr>
              <w:t>— </w:t>
            </w:r>
          </w:p>
        </w:tc>
      </w:tr>
      <w:tr>
        <w:trPr>
          <w:trHeight w:val="19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annual expenses (as a percentage of average net assets attributable to</w:t>
            </w:r>
          </w:p>
        </w:tc>
        <w:tc>
          <w:tcPr>
            <w:tcW w:w="1360" w:type="dxa"/>
            <w:vAlign w:val="bottom"/>
            <w:shd w:val="clear" w:color="auto" w:fill="CCEEFF"/>
          </w:tcPr>
          <w:p>
            <w:pPr>
              <w:spacing w:after="0"/>
              <w:rPr>
                <w:sz w:val="17"/>
                <w:szCs w:val="17"/>
                <w:color w:val="auto"/>
              </w:rPr>
            </w:pPr>
          </w:p>
        </w:tc>
      </w:tr>
      <w:tr>
        <w:trPr>
          <w:trHeight w:val="232"/>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20"/>
                <w:szCs w:val="20"/>
                <w:b w:val="1"/>
                <w:bCs w:val="1"/>
                <w:color w:val="auto"/>
                <w:vertAlign w:val="superscript"/>
              </w:rPr>
              <w:t>(3)</w:t>
            </w:r>
          </w:p>
        </w:tc>
        <w:tc>
          <w:tcPr>
            <w:tcW w:w="1360" w:type="dxa"/>
            <w:vAlign w:val="bottom"/>
            <w:shd w:val="clear" w:color="auto" w:fill="CCEEFF"/>
          </w:tcPr>
          <w:p>
            <w:pPr>
              <w:spacing w:after="0"/>
              <w:rPr>
                <w:sz w:val="20"/>
                <w:szCs w:val="20"/>
                <w:color w:val="auto"/>
              </w:rPr>
            </w:pPr>
          </w:p>
        </w:tc>
      </w:tr>
      <w:tr>
        <w:trPr>
          <w:trHeight w:val="224"/>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fees</w:t>
            </w:r>
          </w:p>
        </w:tc>
        <w:tc>
          <w:tcPr>
            <w:tcW w:w="1360" w:type="dxa"/>
            <w:vAlign w:val="bottom"/>
          </w:tcPr>
          <w:p>
            <w:pPr>
              <w:jc w:val="right"/>
              <w:ind w:right="6"/>
              <w:spacing w:after="0" w:line="225" w:lineRule="exact"/>
              <w:rPr>
                <w:sz w:val="20"/>
                <w:szCs w:val="20"/>
                <w:color w:val="auto"/>
              </w:rPr>
            </w:pPr>
            <w:r>
              <w:rPr>
                <w:rFonts w:ascii="Times New Roman" w:cs="Times New Roman" w:eastAsia="Times New Roman" w:hAnsi="Times New Roman"/>
                <w:sz w:val="17"/>
                <w:szCs w:val="17"/>
                <w:color w:val="auto"/>
              </w:rPr>
              <w:t>1.98 %</w:t>
            </w:r>
            <w:r>
              <w:rPr>
                <w:rFonts w:ascii="Times New Roman" w:cs="Times New Roman" w:eastAsia="Times New Roman" w:hAnsi="Times New Roman"/>
                <w:sz w:val="20"/>
                <w:szCs w:val="20"/>
                <w:color w:val="auto"/>
                <w:vertAlign w:val="superscript"/>
              </w:rPr>
              <w:t>(4)</w:t>
            </w:r>
          </w:p>
        </w:tc>
      </w:tr>
      <w:tr>
        <w:trPr>
          <w:trHeight w:val="22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Incentive fees</w:t>
            </w:r>
          </w:p>
        </w:tc>
        <w:tc>
          <w:tcPr>
            <w:tcW w:w="1360" w:type="dxa"/>
            <w:vAlign w:val="bottom"/>
            <w:shd w:val="clear" w:color="auto" w:fill="CCEEFF"/>
          </w:tcPr>
          <w:p>
            <w:pPr>
              <w:jc w:val="right"/>
              <w:ind w:right="6"/>
              <w:spacing w:after="0" w:line="225" w:lineRule="exact"/>
              <w:rPr>
                <w:sz w:val="20"/>
                <w:szCs w:val="20"/>
                <w:color w:val="auto"/>
              </w:rPr>
            </w:pPr>
            <w:r>
              <w:rPr>
                <w:rFonts w:ascii="Times New Roman" w:cs="Times New Roman" w:eastAsia="Times New Roman" w:hAnsi="Times New Roman"/>
                <w:sz w:val="17"/>
                <w:szCs w:val="17"/>
                <w:color w:val="auto"/>
              </w:rPr>
              <w:t>2.76 %</w:t>
            </w:r>
            <w:r>
              <w:rPr>
                <w:rFonts w:ascii="Times New Roman" w:cs="Times New Roman" w:eastAsia="Times New Roman" w:hAnsi="Times New Roman"/>
                <w:sz w:val="20"/>
                <w:szCs w:val="20"/>
                <w:color w:val="auto"/>
                <w:vertAlign w:val="superscript"/>
              </w:rPr>
              <w:t>(5)</w:t>
            </w:r>
          </w:p>
        </w:tc>
      </w:tr>
      <w:tr>
        <w:trPr>
          <w:trHeight w:val="224"/>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on borrowed funds</w:t>
            </w:r>
          </w:p>
        </w:tc>
        <w:tc>
          <w:tcPr>
            <w:tcW w:w="1360" w:type="dxa"/>
            <w:vAlign w:val="bottom"/>
          </w:tcPr>
          <w:p>
            <w:pPr>
              <w:jc w:val="right"/>
              <w:ind w:right="6"/>
              <w:spacing w:after="0" w:line="225" w:lineRule="exact"/>
              <w:rPr>
                <w:sz w:val="20"/>
                <w:szCs w:val="20"/>
                <w:color w:val="auto"/>
              </w:rPr>
            </w:pPr>
            <w:r>
              <w:rPr>
                <w:rFonts w:ascii="Times New Roman" w:cs="Times New Roman" w:eastAsia="Times New Roman" w:hAnsi="Times New Roman"/>
                <w:sz w:val="17"/>
                <w:szCs w:val="17"/>
                <w:color w:val="auto"/>
              </w:rPr>
              <w:t>8.50 %</w:t>
            </w:r>
            <w:r>
              <w:rPr>
                <w:rFonts w:ascii="Times New Roman" w:cs="Times New Roman" w:eastAsia="Times New Roman" w:hAnsi="Times New Roman"/>
                <w:sz w:val="20"/>
                <w:szCs w:val="20"/>
                <w:color w:val="auto"/>
                <w:vertAlign w:val="superscript"/>
              </w:rPr>
              <w:t>(6)</w:t>
            </w:r>
          </w:p>
        </w:tc>
      </w:tr>
      <w:tr>
        <w:trPr>
          <w:trHeight w:val="22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Acquired fund fees and expenses</w:t>
            </w:r>
          </w:p>
        </w:tc>
        <w:tc>
          <w:tcPr>
            <w:tcW w:w="1360" w:type="dxa"/>
            <w:vAlign w:val="bottom"/>
            <w:shd w:val="clear" w:color="auto" w:fill="CCEEFF"/>
          </w:tcPr>
          <w:p>
            <w:pPr>
              <w:jc w:val="right"/>
              <w:ind w:right="6"/>
              <w:spacing w:after="0" w:line="225" w:lineRule="exact"/>
              <w:rPr>
                <w:sz w:val="20"/>
                <w:szCs w:val="20"/>
                <w:color w:val="auto"/>
              </w:rPr>
            </w:pPr>
            <w:r>
              <w:rPr>
                <w:rFonts w:ascii="Times New Roman" w:cs="Times New Roman" w:eastAsia="Times New Roman" w:hAnsi="Times New Roman"/>
                <w:sz w:val="17"/>
                <w:szCs w:val="17"/>
                <w:color w:val="auto"/>
              </w:rPr>
              <w:t>12.26 %</w:t>
            </w:r>
            <w:r>
              <w:rPr>
                <w:rFonts w:ascii="Times New Roman" w:cs="Times New Roman" w:eastAsia="Times New Roman" w:hAnsi="Times New Roman"/>
                <w:sz w:val="20"/>
                <w:szCs w:val="20"/>
                <w:color w:val="auto"/>
                <w:vertAlign w:val="superscript"/>
              </w:rPr>
              <w:t>(7)</w:t>
            </w:r>
          </w:p>
        </w:tc>
      </w:tr>
      <w:tr>
        <w:trPr>
          <w:trHeight w:val="224"/>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expenses</w:t>
            </w:r>
          </w:p>
        </w:tc>
        <w:tc>
          <w:tcPr>
            <w:tcW w:w="1360" w:type="dxa"/>
            <w:vAlign w:val="bottom"/>
          </w:tcPr>
          <w:p>
            <w:pPr>
              <w:jc w:val="right"/>
              <w:ind w:right="6"/>
              <w:spacing w:after="0" w:line="225" w:lineRule="exact"/>
              <w:rPr>
                <w:sz w:val="20"/>
                <w:szCs w:val="20"/>
                <w:color w:val="auto"/>
              </w:rPr>
            </w:pPr>
            <w:r>
              <w:rPr>
                <w:rFonts w:ascii="Times New Roman" w:cs="Times New Roman" w:eastAsia="Times New Roman" w:hAnsi="Times New Roman"/>
                <w:sz w:val="17"/>
                <w:szCs w:val="17"/>
                <w:color w:val="auto"/>
              </w:rPr>
              <w:t>1.38 %</w:t>
            </w:r>
            <w:r>
              <w:rPr>
                <w:rFonts w:ascii="Times New Roman" w:cs="Times New Roman" w:eastAsia="Times New Roman" w:hAnsi="Times New Roman"/>
                <w:sz w:val="20"/>
                <w:szCs w:val="20"/>
                <w:color w:val="auto"/>
                <w:vertAlign w:val="superscript"/>
              </w:rPr>
              <w:t>(8)</w:t>
            </w:r>
          </w:p>
        </w:tc>
      </w:tr>
      <w:tr>
        <w:trPr>
          <w:trHeight w:val="22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estimated annual expenses</w:t>
            </w:r>
          </w:p>
        </w:tc>
        <w:tc>
          <w:tcPr>
            <w:tcW w:w="1360" w:type="dxa"/>
            <w:vAlign w:val="bottom"/>
            <w:shd w:val="clear" w:color="auto" w:fill="CCEEFF"/>
          </w:tcPr>
          <w:p>
            <w:pPr>
              <w:jc w:val="right"/>
              <w:ind w:right="6"/>
              <w:spacing w:after="0" w:line="225" w:lineRule="exact"/>
              <w:rPr>
                <w:sz w:val="20"/>
                <w:szCs w:val="20"/>
                <w:color w:val="auto"/>
              </w:rPr>
            </w:pPr>
            <w:r>
              <w:rPr>
                <w:rFonts w:ascii="Times New Roman" w:cs="Times New Roman" w:eastAsia="Times New Roman" w:hAnsi="Times New Roman"/>
                <w:sz w:val="17"/>
                <w:szCs w:val="17"/>
                <w:color w:val="auto"/>
              </w:rPr>
              <w:t>26.88 %</w:t>
            </w:r>
            <w:r>
              <w:rPr>
                <w:rFonts w:ascii="Times New Roman" w:cs="Times New Roman" w:eastAsia="Times New Roman" w:hAnsi="Times New Roman"/>
                <w:sz w:val="20"/>
                <w:szCs w:val="20"/>
                <w:color w:val="auto"/>
                <w:vertAlign w:val="superscript"/>
              </w:rPr>
              <w:t>(9)</w:t>
            </w:r>
          </w:p>
        </w:tc>
      </w:tr>
    </w:tbl>
    <w:p>
      <w:pPr>
        <w:spacing w:after="0" w:line="133" w:lineRule="exact"/>
        <w:rPr>
          <w:sz w:val="20"/>
          <w:szCs w:val="20"/>
          <w:color w:val="auto"/>
        </w:rPr>
      </w:pPr>
    </w:p>
    <w:p>
      <w:pPr>
        <w:ind w:left="440" w:right="200" w:hanging="440"/>
        <w:spacing w:after="0" w:line="255" w:lineRule="auto"/>
        <w:tabs>
          <w:tab w:leader="none" w:pos="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securities to which any applicable prospectus relates are sold to or through underwriters or agents, a corresponding prospectus supplement will disclose the applicable sales load.</w:t>
      </w:r>
    </w:p>
    <w:p>
      <w:pPr>
        <w:ind w:left="440" w:right="260" w:hanging="440"/>
        <w:spacing w:after="0" w:line="244" w:lineRule="auto"/>
        <w:tabs>
          <w:tab w:leader="none" w:pos="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spacing w:after="0" w:line="1"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assets attributable to common shares equals average net assets for the fiscal quarter ended March 31, 2024.</w:t>
      </w:r>
    </w:p>
    <w:p>
      <w:pPr>
        <w:spacing w:after="0" w:line="4"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management fee is calculated at an annual rate of 1.00% of our average adjusted gross assets on March 31, 2024.</w:t>
      </w:r>
    </w:p>
    <w:p>
      <w:pPr>
        <w:spacing w:after="0" w:line="4" w:lineRule="exact"/>
        <w:rPr>
          <w:rFonts w:ascii="Times New Roman" w:cs="Times New Roman" w:eastAsia="Times New Roman" w:hAnsi="Times New Roman"/>
          <w:sz w:val="17"/>
          <w:szCs w:val="17"/>
          <w:color w:val="auto"/>
        </w:rPr>
      </w:pPr>
    </w:p>
    <w:p>
      <w:pPr>
        <w:ind w:left="440" w:right="20" w:hanging="440"/>
        <w:spacing w:after="0" w:line="260" w:lineRule="auto"/>
        <w:tabs>
          <w:tab w:leader="none" w:pos="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incentive fees paid with respect to net investment income and capital gains, if any, is based on actual amounts incurred during the fiscal quarter ended March 31, 2024.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quarter ended March 31, 2024. For more detailed information about the incentive fee, please see “Item 1. Business—Investment Management Agreement” and “Item 1. Business—Investment Advisory Fees” in our most recent Annual Report on Form 10-K.</w:t>
      </w:r>
    </w:p>
    <w:p>
      <w:pPr>
        <w:spacing w:after="0" w:line="2" w:lineRule="exact"/>
        <w:rPr>
          <w:rFonts w:ascii="Times New Roman" w:cs="Times New Roman" w:eastAsia="Times New Roman" w:hAnsi="Times New Roman"/>
          <w:sz w:val="16"/>
          <w:szCs w:val="16"/>
          <w:color w:val="auto"/>
        </w:rPr>
      </w:pPr>
    </w:p>
    <w:p>
      <w:pPr>
        <w:ind w:left="440" w:hanging="440"/>
        <w:spacing w:after="0"/>
        <w:tabs>
          <w:tab w:leader="none" w:pos="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2024, we had $168.9 million in borrowings outstanding under the Credit Facility, $185.0 million outstanding under of 2026 Notes,</w:t>
      </w:r>
    </w:p>
    <w:p>
      <w:pPr>
        <w:spacing w:after="0" w:line="4" w:lineRule="exact"/>
        <w:rPr>
          <w:rFonts w:ascii="Times New Roman" w:cs="Times New Roman" w:eastAsia="Times New Roman" w:hAnsi="Times New Roman"/>
          <w:sz w:val="17"/>
          <w:szCs w:val="17"/>
          <w:color w:val="auto"/>
        </w:rPr>
      </w:pPr>
    </w:p>
    <w:p>
      <w:pPr>
        <w:ind w:left="440" w:right="20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$226.3 million outstanding under the 2031 Asset-Backed Debt and $287.0 million outstanding under the 2036 Asset-Backed Debt. We may use proceeds of an offering of securities under any applicable registration statement to repay outstanding obligations under our existing financing arrangements or other indebtedness. After completing any such offering, we may continue to borrow under our existing financing arrangements to finance our investment objectives.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-2670175</wp:posOffset>
            </wp:positionV>
            <wp:extent cx="7842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4225" cy="7620"/>
                    </a:xfrm>
                    <a:prstGeom prst="rect">
                      <a:avLst/>
                    </a:prstGeom>
                    <a:noFill/>
                  </pic:spPr>
                </pic:pic>
              </a:graphicData>
            </a:graphic>
          </wp:anchor>
        </w:drawing>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00"/>
          </w:cols>
          <w:pgMar w:left="320" w:top="281" w:right="379" w:bottom="1440" w:gutter="0" w:footer="0" w:header="0"/>
        </w:sectPr>
      </w:pPr>
    </w:p>
    <w:bookmarkStart w:id="10" w:name="page11"/>
    <w:bookmarkEnd w:id="10"/>
    <w:p>
      <w:pPr>
        <w:ind w:left="440" w:right="80"/>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52070"/>
                    </a:xfrm>
                    <a:prstGeom prst="rect">
                      <a:avLst/>
                    </a:prstGeom>
                    <a:noFill/>
                  </pic:spPr>
                </pic:pic>
              </a:graphicData>
            </a:graphic>
          </wp:anchor>
        </w:drawing>
        <w:t>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ind w:left="440" w:right="40" w:hanging="440"/>
        <w:spacing w:after="0" w:line="244" w:lineRule="auto"/>
        <w:tabs>
          <w:tab w:leader="none" w:pos="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March 31, 2024, annualized for a full year. Expenses for PSSL may fluctuate over time and may be substantially higher or lower in the future. Our stockholders indirectly bear 23.08% of the expenses of our investment in PTSF. A management fee equal to 0.30% per annum of the gross assets of PTSF and its subsidiaries is charged by PennantPark Investment Advisers in connection with PTSF. For this chart, PTSF fees and operating expenses are based on our share of the actual fees and operating expenses of PTSF for the fiscal quarter ended March 31, 2024, annualized for a full year. Expenses for PTSF may fluctuate over time and may be substantially higher or lower in the future.</w:t>
      </w:r>
    </w:p>
    <w:p>
      <w:pPr>
        <w:spacing w:after="0" w:line="6" w:lineRule="exact"/>
        <w:rPr>
          <w:rFonts w:ascii="Times New Roman" w:cs="Times New Roman" w:eastAsia="Times New Roman" w:hAnsi="Times New Roman"/>
          <w:sz w:val="17"/>
          <w:szCs w:val="17"/>
          <w:color w:val="auto"/>
        </w:rPr>
      </w:pPr>
    </w:p>
    <w:p>
      <w:pPr>
        <w:ind w:left="440" w:right="20" w:hanging="440"/>
        <w:spacing w:after="0" w:line="244" w:lineRule="auto"/>
        <w:tabs>
          <w:tab w:leader="none" w:pos="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quarter ended March 31, 2024, annualized for a full year.</w:t>
      </w:r>
    </w:p>
    <w:p>
      <w:pPr>
        <w:spacing w:after="0" w:line="2" w:lineRule="exact"/>
        <w:rPr>
          <w:rFonts w:ascii="Times New Roman" w:cs="Times New Roman" w:eastAsia="Times New Roman" w:hAnsi="Times New Roman"/>
          <w:sz w:val="17"/>
          <w:szCs w:val="17"/>
          <w:color w:val="auto"/>
        </w:rPr>
      </w:pPr>
    </w:p>
    <w:p>
      <w:pPr>
        <w:ind w:left="440" w:right="60" w:hanging="440"/>
        <w:spacing w:after="0" w:line="265" w:lineRule="auto"/>
        <w:tabs>
          <w:tab w:leader="none" w:pos="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12.21% of average total assets.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Example</w:t>
      </w:r>
    </w:p>
    <w:p>
      <w:pPr>
        <w:spacing w:after="0" w:line="108" w:lineRule="exact"/>
        <w:rPr>
          <w:sz w:val="20"/>
          <w:szCs w:val="20"/>
          <w:color w:val="auto"/>
        </w:rPr>
      </w:pPr>
    </w:p>
    <w:p>
      <w:pPr>
        <w:ind w:right="140" w:firstLine="450"/>
        <w:spacing w:after="0" w:line="281" w:lineRule="auto"/>
        <w:rPr>
          <w:sz w:val="20"/>
          <w:szCs w:val="20"/>
          <w:color w:val="auto"/>
        </w:rPr>
      </w:pPr>
      <w:r>
        <w:rPr>
          <w:rFonts w:ascii="Times New Roman" w:cs="Times New Roman" w:eastAsia="Times New Roman" w:hAnsi="Times New Roman"/>
          <w:sz w:val="16"/>
          <w:szCs w:val="16"/>
          <w:color w:val="auto"/>
        </w:rPr>
        <w:t>The following example illustrates the projected dollar amount of total cumulative expenses that you would pay on a $1,000 hypothetical investment in common shares, assuming (1) a 3.0% sales load (underwriting discounts and commissions) and offering expenses totaling 0.50%, (2) total net estimated annual expenses of 24.12% of average net assets attributable to common shares as set forth in the table above (other than performance-based incentive fees) and (3) a 5% annual return.</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6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You would pay the following expenses on a $1,000 common stock investment</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1 Years</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3 Years</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7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10 Years</w:t>
            </w:r>
          </w:p>
        </w:tc>
      </w:tr>
      <w:tr>
        <w:trPr>
          <w:trHeight w:val="183"/>
        </w:trPr>
        <w:tc>
          <w:tcPr>
            <w:tcW w:w="69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Assuming a 5% annual return (assumes no return from net realized capital gains or net unrealized</w:t>
            </w: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16"/>
        </w:trPr>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 appreciation)</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246</w:t>
            </w: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553</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755</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$ 1,004</w:t>
            </w:r>
          </w:p>
        </w:tc>
      </w:tr>
      <w:tr>
        <w:trPr>
          <w:trHeight w:val="183"/>
        </w:trPr>
        <w:tc>
          <w:tcPr>
            <w:tcW w:w="696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Assuming a 5% annual return (assumes return only from realized capital gains and thus subject to the</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6"/>
        </w:trPr>
        <w:tc>
          <w:tcPr>
            <w:tcW w:w="6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 gains incentive fee)</w:t>
            </w:r>
          </w:p>
        </w:tc>
        <w:tc>
          <w:tcPr>
            <w:tcW w:w="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253</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566</w:t>
            </w:r>
          </w:p>
        </w:tc>
        <w:tc>
          <w:tcPr>
            <w:tcW w:w="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766</w:t>
            </w:r>
          </w:p>
        </w:tc>
        <w:tc>
          <w:tcPr>
            <w:tcW w:w="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$ 1,004</w:t>
            </w:r>
          </w:p>
        </w:tc>
      </w:tr>
    </w:tbl>
    <w:p>
      <w:pPr>
        <w:spacing w:after="0" w:line="183"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7"/>
          <w:szCs w:val="17"/>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 —Distributions” for more information in our most recent Annual Report on Form 10-K.</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20"/>
          </w:cols>
          <w:pgMar w:left="320" w:top="285"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52070"/>
                    </a:xfrm>
                    <a:prstGeom prst="rect">
                      <a:avLst/>
                    </a:prstGeom>
                    <a:noFill/>
                  </pic:spPr>
                </pic:pic>
              </a:graphicData>
            </a:graphic>
          </wp:anchor>
        </w:drawing>
        <w:t>FINANCIAL HIGHLIGHTS</w:t>
      </w:r>
    </w:p>
    <w:p>
      <w:pPr>
        <w:spacing w:after="0" w:line="208"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7"/>
          <w:szCs w:val="17"/>
          <w:color w:val="auto"/>
        </w:rPr>
        <w:t>The financial data set forth in the following table as of and for the years ended September 30, 2023, 2022, 2021, 2020, 2019, 2018, 2017, 2016, 2015 and 2014 are derived from our consolidated financial statements, which have been audited by an independent registered public accounting firm for those periods. The financial data set forth in the following table as of and for the six months ended March 31, 2024 is derived from our unaudited consolidated financial statements, but in the opinion of management, reflects all adjustments (consisting only of normal recurring adjustments) that are necessary to present fairly the results of such interim period. Interim results as of and for the six months ended March 31, 2024 are not necessarily indicative of the results that may be expected for the year ending September 30, 2024. This financial data should be read in conjunction with our Consolidated Financial Statements and related notes thereto and “Management’s Discussion and Analysis of Financial Condition and Results of Operations” included in our most recent Annual Report on Form 10-K and our most recent Quarterly Report on Form 10-Q.</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For the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840" w:type="dxa"/>
            <w:vAlign w:val="bottom"/>
            <w:gridSpan w:val="3"/>
          </w:tcPr>
          <w:p>
            <w:pPr>
              <w:jc w:val="center"/>
              <w:ind w:right="160"/>
              <w:spacing w:after="0" w:line="13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rPr>
              <w:t>ended 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840" w:type="dxa"/>
            <w:vAlign w:val="bottom"/>
            <w:gridSpan w:val="3"/>
          </w:tcPr>
          <w:p>
            <w:pPr>
              <w:jc w:val="center"/>
              <w:ind w:right="140"/>
              <w:spacing w:after="0" w:line="13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2017</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4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Per Share Data:</w:t>
            </w: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Net asset value,</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11.13</w:t>
            </w: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11.62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12.62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12.97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13.82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14.10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14.06</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13.95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14.40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14.10</w:t>
            </w:r>
          </w:p>
        </w:tc>
        <w:tc>
          <w:tcPr>
            <w:tcW w:w="0" w:type="dxa"/>
            <w:vAlign w:val="bottom"/>
          </w:tcPr>
          <w:p>
            <w:pPr>
              <w:spacing w:after="0"/>
              <w:rPr>
                <w:sz w:val="1"/>
                <w:szCs w:val="1"/>
                <w:color w:val="auto"/>
              </w:rPr>
            </w:pPr>
          </w:p>
        </w:tc>
      </w:tr>
      <w:tr>
        <w:trPr>
          <w:trHeight w:val="157"/>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beginning of period</w:t>
            </w:r>
          </w:p>
        </w:tc>
        <w:tc>
          <w:tcPr>
            <w:tcW w:w="8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Net investment income</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1.33</w:t>
            </w: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0.81</w:t>
            </w: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Net realized and</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44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auto"/>
              </w:rPr>
              <w:t>unrealized (loss)</w:t>
            </w:r>
          </w:p>
        </w:tc>
        <w:tc>
          <w:tcPr>
            <w:tcW w:w="8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0.25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(0.56)</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tcPr>
          <w:p>
            <w:pPr>
              <w:spacing w:after="0"/>
              <w:rPr>
                <w:sz w:val="11"/>
                <w:szCs w:val="11"/>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0.44</w:t>
            </w:r>
          </w:p>
        </w:tc>
        <w:tc>
          <w:tcPr>
            <w:tcW w:w="8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(0.65)</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(0.88)</w:t>
            </w:r>
          </w:p>
        </w:tc>
        <w:tc>
          <w:tcPr>
            <w:tcW w:w="120" w:type="dxa"/>
            <w:vAlign w:val="bottom"/>
          </w:tcPr>
          <w:p>
            <w:pPr>
              <w:spacing w:after="0"/>
              <w:rPr>
                <w:sz w:val="11"/>
                <w:szCs w:val="11"/>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0.06</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0.10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(0.31)</w:t>
            </w:r>
          </w:p>
        </w:tc>
        <w:tc>
          <w:tcPr>
            <w:tcW w:w="8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0.26</w:t>
            </w:r>
          </w:p>
        </w:tc>
        <w:tc>
          <w:tcPr>
            <w:tcW w:w="0" w:type="dxa"/>
            <w:vAlign w:val="bottom"/>
          </w:tcPr>
          <w:p>
            <w:pPr>
              <w:spacing w:after="0"/>
              <w:rPr>
                <w:sz w:val="1"/>
                <w:szCs w:val="1"/>
                <w:color w:val="auto"/>
              </w:rPr>
            </w:pPr>
          </w:p>
        </w:tc>
      </w:tr>
      <w:tr>
        <w:trPr>
          <w:trHeight w:val="162"/>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(1)</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4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Net increase in net assets</w:t>
            </w: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44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3"/>
                <w:szCs w:val="13"/>
                <w:color w:val="auto"/>
              </w:rPr>
              <w:t>resulting from</w:t>
            </w: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0.89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0.77</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0.08</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0.47</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0.29</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0.87</w:t>
            </w:r>
          </w:p>
        </w:tc>
        <w:tc>
          <w:tcPr>
            <w:tcW w:w="12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0.77</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operations (1)</w:t>
            </w: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Distribution of net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(0.62)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(0.98)</w:t>
            </w:r>
          </w:p>
        </w:tc>
        <w:tc>
          <w:tcPr>
            <w:tcW w:w="8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(0.84)</w:t>
            </w:r>
          </w:p>
        </w:tc>
        <w:tc>
          <w:tcPr>
            <w:tcW w:w="0" w:type="dxa"/>
            <w:vAlign w:val="bottom"/>
          </w:tcPr>
          <w:p>
            <w:pPr>
              <w:spacing w:after="0"/>
              <w:rPr>
                <w:sz w:val="1"/>
                <w:szCs w:val="1"/>
                <w:color w:val="auto"/>
              </w:rPr>
            </w:pPr>
          </w:p>
        </w:tc>
      </w:tr>
      <w:tr>
        <w:trPr>
          <w:trHeight w:val="157"/>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income</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Distribution of realized</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vMerge w:val="restart"/>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vMerge w:val="restart"/>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vMerge w:val="restart"/>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vMerge w:val="restart"/>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(0.11)</w:t>
            </w: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(0.24)</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gains</w:t>
            </w: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auto"/>
              </w:rPr>
              <w:t>Total distributions to</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(0.62)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62"/>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stockholders (1),(2)</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4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Accretive (dilutive) effect</w:t>
            </w: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44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3"/>
                <w:szCs w:val="13"/>
                <w:color w:val="auto"/>
              </w:rPr>
              <w:t>of common stock</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44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3"/>
                <w:szCs w:val="13"/>
                <w:color w:val="auto"/>
              </w:rPr>
              <w:t>issuance and</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vMerge w:val="restart"/>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(0.08)</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0.06</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(0.01)</w:t>
            </w:r>
          </w:p>
        </w:tc>
        <w:tc>
          <w:tcPr>
            <w:tcW w:w="12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(0.06)</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 of MCG (1)</w:t>
            </w: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auto"/>
              </w:rPr>
              <w:t>Net asset value, end of</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6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140" w:type="dxa"/>
            <w:vAlign w:val="bottom"/>
            <w:vMerge w:val="restart"/>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11.62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12.62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12.31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12.97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13.82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14.10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14.06</w:t>
            </w:r>
          </w:p>
        </w:tc>
        <w:tc>
          <w:tcPr>
            <w:tcW w:w="8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13.95</w:t>
            </w: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14.40</w:t>
            </w:r>
          </w:p>
        </w:tc>
        <w:tc>
          <w:tcPr>
            <w:tcW w:w="0" w:type="dxa"/>
            <w:vAlign w:val="bottom"/>
          </w:tcPr>
          <w:p>
            <w:pPr>
              <w:spacing w:after="0"/>
              <w:rPr>
                <w:sz w:val="1"/>
                <w:szCs w:val="1"/>
                <w:color w:val="auto"/>
              </w:rPr>
            </w:pPr>
          </w:p>
        </w:tc>
      </w:tr>
      <w:tr>
        <w:trPr>
          <w:trHeight w:val="157"/>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period</w:t>
            </w: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4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Per share market value,</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6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40" w:type="dxa"/>
            <w:vAlign w:val="bottom"/>
            <w:vMerge w:val="restart"/>
            <w:shd w:val="clear" w:color="auto" w:fill="CCEEFF"/>
          </w:tcPr>
          <w:p>
            <w:pPr>
              <w:spacing w:after="0"/>
              <w:rPr>
                <w:sz w:val="10"/>
                <w:szCs w:val="10"/>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9.60</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12.79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8.44</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13.15</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14.48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13.23</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13.78</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end of period</w:t>
            </w: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return*(3)</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12.76%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23.84%</w:t>
            </w: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(17.76)%</w:t>
            </w: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3"/>
                <w:szCs w:val="13"/>
                <w:color w:val="auto"/>
              </w:rPr>
              <w:t>66.47%</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(17.15)%</w:t>
            </w: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(3.20)%</w:t>
            </w: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(1.29)%</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18.71%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3"/>
                <w:szCs w:val="13"/>
                <w:color w:val="auto"/>
              </w:rPr>
              <w:t>21.77%</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3"/>
                <w:szCs w:val="13"/>
                <w:color w:val="auto"/>
              </w:rPr>
              <w:t>(6.01)%</w:t>
            </w: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3"/>
                <w:szCs w:val="13"/>
                <w:color w:val="auto"/>
              </w:rPr>
              <w:t>8.05%</w:t>
            </w:r>
          </w:p>
        </w:tc>
        <w:tc>
          <w:tcPr>
            <w:tcW w:w="0" w:type="dxa"/>
            <w:vAlign w:val="bottom"/>
          </w:tcPr>
          <w:p>
            <w:pPr>
              <w:spacing w:after="0"/>
              <w:rPr>
                <w:sz w:val="1"/>
                <w:szCs w:val="1"/>
                <w:color w:val="auto"/>
              </w:rPr>
            </w:pPr>
          </w:p>
        </w:tc>
      </w:tr>
      <w:tr>
        <w:trPr>
          <w:trHeight w:val="25"/>
        </w:trPr>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4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Shares outstanding at end</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63,228,138</w:t>
            </w:r>
          </w:p>
        </w:tc>
        <w:tc>
          <w:tcPr>
            <w:tcW w:w="16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58,734,702</w:t>
            </w:r>
          </w:p>
        </w:tc>
        <w:tc>
          <w:tcPr>
            <w:tcW w:w="140" w:type="dxa"/>
            <w:vAlign w:val="bottom"/>
            <w:vMerge w:val="restart"/>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45,345,638</w:t>
            </w: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38,880,728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38,772,074</w:t>
            </w: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38,772,074</w:t>
            </w: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38,772,074</w:t>
            </w: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32,480,074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26,730,074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9"/>
              </w:rPr>
              <w:t>26,730,074</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9"/>
              </w:rPr>
              <w:t>14,898,056</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 period</w:t>
            </w: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Ratios**/ Supplemental</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Data: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Ratio of operating</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44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3"/>
                <w:szCs w:val="13"/>
                <w:color w:val="auto"/>
              </w:rPr>
              <w:t>expenses to average net</w:t>
            </w: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5.97%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5.90%</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5.34%</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5.19%</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3.94%</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3.01%</w:t>
            </w:r>
          </w:p>
        </w:tc>
        <w:tc>
          <w:tcPr>
            <w:tcW w:w="12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3.56%</w:t>
            </w: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3.01%</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4.45%</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assets (4)</w:t>
            </w: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Ratio of debt related</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44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auto"/>
              </w:rPr>
              <w:t>expenses to average net</w:t>
            </w:r>
          </w:p>
        </w:tc>
        <w:tc>
          <w:tcPr>
            <w:tcW w:w="8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6.68%</w:t>
            </w:r>
          </w:p>
        </w:tc>
        <w:tc>
          <w:tcPr>
            <w:tcW w:w="1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5.85%</w:t>
            </w:r>
          </w:p>
        </w:tc>
        <w:tc>
          <w:tcPr>
            <w:tcW w:w="1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5.63%</w:t>
            </w:r>
          </w:p>
        </w:tc>
        <w:tc>
          <w:tcPr>
            <w:tcW w:w="1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5.21%</w:t>
            </w:r>
          </w:p>
        </w:tc>
        <w:tc>
          <w:tcPr>
            <w:tcW w:w="1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4.73%</w:t>
            </w:r>
          </w:p>
        </w:tc>
        <w:tc>
          <w:tcPr>
            <w:tcW w:w="12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57"/>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assets (5)</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4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Ratio of total expenses to</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12.97%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12.58%</w:t>
            </w: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11.19%</w:t>
            </w: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8.77%</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10.82%</w:t>
            </w: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9.15%</w:t>
            </w: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7.74%</w:t>
            </w:r>
          </w:p>
        </w:tc>
        <w:tc>
          <w:tcPr>
            <w:tcW w:w="12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5.14%</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6.40%</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average net assets (5)</w:t>
            </w: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Ratio of net investment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44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auto"/>
              </w:rPr>
              <w:t>income to average net</w:t>
            </w:r>
          </w:p>
        </w:tc>
        <w:tc>
          <w:tcPr>
            <w:tcW w:w="8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11.42%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11.82%</w:t>
            </w:r>
          </w:p>
        </w:tc>
        <w:tc>
          <w:tcPr>
            <w:tcW w:w="1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9.55%</w:t>
            </w:r>
          </w:p>
        </w:tc>
        <w:tc>
          <w:tcPr>
            <w:tcW w:w="1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8.07%</w:t>
            </w:r>
          </w:p>
        </w:tc>
        <w:tc>
          <w:tcPr>
            <w:tcW w:w="8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1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8.76%</w:t>
            </w:r>
          </w:p>
        </w:tc>
        <w:tc>
          <w:tcPr>
            <w:tcW w:w="1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5.81%</w:t>
            </w:r>
          </w:p>
        </w:tc>
        <w:tc>
          <w:tcPr>
            <w:tcW w:w="12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7.85%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7.43%</w:t>
            </w:r>
          </w:p>
        </w:tc>
        <w:tc>
          <w:tcPr>
            <w:tcW w:w="8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7.77%</w:t>
            </w:r>
          </w:p>
        </w:tc>
        <w:tc>
          <w:tcPr>
            <w:tcW w:w="0" w:type="dxa"/>
            <w:vAlign w:val="bottom"/>
          </w:tcPr>
          <w:p>
            <w:pPr>
              <w:spacing w:after="0"/>
              <w:rPr>
                <w:sz w:val="1"/>
                <w:szCs w:val="1"/>
                <w:color w:val="auto"/>
              </w:rPr>
            </w:pPr>
          </w:p>
        </w:tc>
      </w:tr>
      <w:tr>
        <w:trPr>
          <w:trHeight w:val="157"/>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assets (5)</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4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Net assets at end of</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720,711</w:t>
            </w:r>
          </w:p>
        </w:tc>
        <w:tc>
          <w:tcPr>
            <w:tcW w:w="160" w:type="dxa"/>
            <w:vAlign w:val="bottom"/>
            <w:vMerge w:val="restart"/>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653,605</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527,092</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490,611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477,270</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503,057</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535,842</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457,906</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375,907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372,890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214,528</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period (in thousands)</w:t>
            </w:r>
          </w:p>
        </w:tc>
        <w:tc>
          <w:tcPr>
            <w:tcW w:w="8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Weighted average debt</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44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auto"/>
              </w:rPr>
              <w:t>outstanding (in</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667,111</w:t>
            </w:r>
          </w:p>
        </w:tc>
        <w:tc>
          <w:tcPr>
            <w:tcW w:w="160" w:type="dxa"/>
            <w:vAlign w:val="bottom"/>
            <w:vMerge w:val="restart"/>
          </w:tcPr>
          <w:p>
            <w:pPr>
              <w:spacing w:after="0"/>
              <w:rPr>
                <w:sz w:val="11"/>
                <w:szCs w:val="11"/>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615,068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698,765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622,739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737,209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512,135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354,322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269,320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140,218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123,924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147,599</w:t>
            </w:r>
          </w:p>
        </w:tc>
        <w:tc>
          <w:tcPr>
            <w:tcW w:w="0" w:type="dxa"/>
            <w:vAlign w:val="bottom"/>
          </w:tcPr>
          <w:p>
            <w:pPr>
              <w:spacing w:after="0"/>
              <w:rPr>
                <w:sz w:val="1"/>
                <w:szCs w:val="1"/>
                <w:color w:val="auto"/>
              </w:rPr>
            </w:pPr>
          </w:p>
        </w:tc>
      </w:tr>
      <w:tr>
        <w:trPr>
          <w:trHeight w:val="157"/>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thousands)</w:t>
            </w:r>
          </w:p>
        </w:tc>
        <w:tc>
          <w:tcPr>
            <w:tcW w:w="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4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Weighted average debt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160" w:type="dxa"/>
            <w:vAlign w:val="bottom"/>
            <w:vMerge w:val="restart"/>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12.10</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17.06</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16.06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19.01</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13.21</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9.25</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8.90</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7.61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9.91</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per share (1)</w:t>
            </w:r>
          </w:p>
        </w:tc>
        <w:tc>
          <w:tcPr>
            <w:tcW w:w="8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Asset coverage per unit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1,825</w:t>
            </w: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2,304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1,784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1,746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1,677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1,786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2,122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2,780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2,601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13,598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2,469</w:t>
            </w:r>
          </w:p>
        </w:tc>
        <w:tc>
          <w:tcPr>
            <w:tcW w:w="0" w:type="dxa"/>
            <w:vAlign w:val="bottom"/>
          </w:tcPr>
          <w:p>
            <w:pPr>
              <w:spacing w:after="0"/>
              <w:rPr>
                <w:sz w:val="1"/>
                <w:szCs w:val="1"/>
                <w:color w:val="auto"/>
              </w:rPr>
            </w:pPr>
          </w:p>
        </w:tc>
      </w:tr>
      <w:tr>
        <w:trPr>
          <w:trHeight w:val="157"/>
        </w:trPr>
        <w:tc>
          <w:tcPr>
            <w:tcW w:w="1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4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Portfolio turnover ratio</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17.58%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28.64%</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45.03%</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62.58%</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35.08%</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52.64%</w:t>
            </w:r>
          </w:p>
        </w:tc>
        <w:tc>
          <w:tcPr>
            <w:tcW w:w="12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47.15%</w:t>
            </w:r>
          </w:p>
        </w:tc>
        <w:tc>
          <w:tcPr>
            <w:tcW w:w="12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59.70%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color w:val="auto"/>
              </w:rPr>
              <w:t>32.16%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51.02%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color w:val="auto"/>
              </w:rPr>
              <w:t>62.74%</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2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755" cy="52070"/>
                    </a:xfrm>
                    <a:prstGeom prst="rect">
                      <a:avLst/>
                    </a:prstGeom>
                    <a:noFill/>
                  </pic:spPr>
                </pic:pic>
              </a:graphicData>
            </a:graphic>
          </wp:anchor>
        </w:drawing>
        <w:t>Note: The expense and investment income ratios above do not reflect the Company’s proportionate share of income and expenses of PSSL and PTSF.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8422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4225" cy="7620"/>
                    </a:xfrm>
                    <a:prstGeom prst="rect">
                      <a:avLst/>
                    </a:prstGeom>
                    <a:noFill/>
                  </pic:spPr>
                </pic:pic>
              </a:graphicData>
            </a:graphic>
          </wp:anchor>
        </w:drawing>
      </w:r>
    </w:p>
    <w:p>
      <w:pPr>
        <w:spacing w:after="0" w:line="159" w:lineRule="exact"/>
        <w:rPr>
          <w:sz w:val="20"/>
          <w:szCs w:val="20"/>
          <w:color w:val="auto"/>
        </w:rPr>
      </w:pPr>
    </w:p>
    <w:p>
      <w:pPr>
        <w:ind w:left="440" w:hanging="440"/>
        <w:spacing w:after="0"/>
        <w:tabs>
          <w:tab w:leader="none" w:pos="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annualized for periods less than one year.</w:t>
      </w:r>
    </w:p>
    <w:p>
      <w:pPr>
        <w:spacing w:after="0" w:line="21" w:lineRule="exact"/>
        <w:rPr>
          <w:sz w:val="20"/>
          <w:szCs w:val="20"/>
          <w:color w:val="auto"/>
        </w:rPr>
      </w:pPr>
    </w:p>
    <w:p>
      <w:pPr>
        <w:ind w:left="440" w:hanging="440"/>
        <w:spacing w:after="0"/>
        <w:tabs>
          <w:tab w:leader="none" w:pos="4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Re-occuring investment income and expenses included in these ratios are annualized for periods less than one year.</w:t>
      </w:r>
    </w:p>
    <w:p>
      <w:pPr>
        <w:spacing w:after="0" w:line="4" w:lineRule="exact"/>
        <w:rPr>
          <w:sz w:val="20"/>
          <w:szCs w:val="20"/>
          <w:color w:val="auto"/>
        </w:rPr>
      </w:pPr>
    </w:p>
    <w:p>
      <w:pPr>
        <w:ind w:left="440" w:hanging="440"/>
        <w:spacing w:after="0"/>
        <w:tabs>
          <w:tab w:leader="none" w:pos="4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weighted average shares outstanding for the respective periods.</w:t>
      </w:r>
    </w:p>
    <w:p>
      <w:pPr>
        <w:spacing w:after="0" w:line="4" w:lineRule="exact"/>
        <w:rPr>
          <w:rFonts w:ascii="Times New Roman" w:cs="Times New Roman" w:eastAsia="Times New Roman" w:hAnsi="Times New Roman"/>
          <w:sz w:val="17"/>
          <w:szCs w:val="17"/>
          <w:color w:val="auto"/>
        </w:rPr>
      </w:pPr>
    </w:p>
    <w:p>
      <w:pPr>
        <w:ind w:left="440" w:right="60" w:hanging="440"/>
        <w:spacing w:after="0" w:line="244" w:lineRule="auto"/>
        <w:tabs>
          <w:tab w:leader="none" w:pos="4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status of distributions is calculated in accordance with income tax regulations, which may differ from amounts determined under GAAP, and reported on Form 1099-DIV each calendar year.</w:t>
      </w:r>
    </w:p>
    <w:p>
      <w:pPr>
        <w:spacing w:after="0" w:line="1"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change in market price per share during the period and assumes distributions, if any, are reinvested.</w:t>
      </w:r>
    </w:p>
    <w:p>
      <w:pPr>
        <w:spacing w:after="0" w:line="4"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debt related costs.</w:t>
      </w:r>
    </w:p>
    <w:p>
      <w:pPr>
        <w:spacing w:after="0" w:line="4"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interest and expenses on debt (annualized) as well as Credit Facility amendment and debt issuance costs, if any (not annualized).</w:t>
      </w:r>
    </w:p>
    <w:p>
      <w:pPr>
        <w:spacing w:after="0" w:line="4" w:lineRule="exact"/>
        <w:rPr>
          <w:rFonts w:ascii="Times New Roman" w:cs="Times New Roman" w:eastAsia="Times New Roman" w:hAnsi="Times New Roman"/>
          <w:sz w:val="17"/>
          <w:szCs w:val="17"/>
          <w:color w:val="auto"/>
        </w:rPr>
      </w:pPr>
    </w:p>
    <w:p>
      <w:pPr>
        <w:ind w:left="440" w:hanging="440"/>
        <w:spacing w:after="0" w:line="247" w:lineRule="auto"/>
        <w:tabs>
          <w:tab w:leader="none" w:pos="4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00"/>
          </w:cols>
          <w:pgMar w:left="320" w:top="285" w:right="3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755" cy="52070"/>
                    </a:xfrm>
                    <a:prstGeom prst="rect">
                      <a:avLst/>
                    </a:prstGeom>
                    <a:noFill/>
                  </pic:spPr>
                </pic:pic>
              </a:graphicData>
            </a:graphic>
          </wp:anchor>
        </w:drawing>
        <w:t>RISK FACTORS</w:t>
      </w:r>
    </w:p>
    <w:p>
      <w:pPr>
        <w:spacing w:after="0" w:line="208"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Form 10-K for the fiscal year ended September 30, 2023, accepted on December 7, 2023,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28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755" cy="52070"/>
                    </a:xfrm>
                    <a:prstGeom prst="rect">
                      <a:avLst/>
                    </a:prstGeom>
                    <a:noFill/>
                  </pic:spPr>
                </pic:pic>
              </a:graphicData>
            </a:graphic>
          </wp:anchor>
        </w:drawing>
        <w:t>FORWARD-LOOKING STATEMENTS</w:t>
      </w:r>
    </w:p>
    <w:p>
      <w:pPr>
        <w:spacing w:after="0" w:line="208"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8" w:lineRule="exact"/>
        <w:rPr>
          <w:sz w:val="20"/>
          <w:szCs w:val="20"/>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operating results;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prospects and the prospects of our prospective portfolio companies;</w:t>
      </w:r>
    </w:p>
    <w:p>
      <w:pPr>
        <w:spacing w:after="0" w:line="116" w:lineRule="exact"/>
        <w:rPr>
          <w:rFonts w:ascii="Times New Roman" w:cs="Times New Roman" w:eastAsia="Times New Roman" w:hAnsi="Times New Roman"/>
          <w:sz w:val="17"/>
          <w:szCs w:val="17"/>
          <w:color w:val="auto"/>
        </w:rPr>
      </w:pPr>
    </w:p>
    <w:p>
      <w:pPr>
        <w:ind w:left="1000" w:right="280" w:hanging="439"/>
        <w:spacing w:after="0" w:line="270"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political, economic or industry conditions, the interest rate environment or conditions affecting the financial and capital markets that could result in changes to the value of our assets;</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dependence of our future success on the general economy and its impact on the industries in which we invest;</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 protracted decline in the liquidity of credit markets on our business;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investments that we expect to make;</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fluctuations in interest rates and foreign exchange rates on our business and our portfolio companies;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contractual arrangements and relationships with third parties;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of our investments in portfolio companies, particularly those having no liquid trading market;</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prospective portfolio companies to achieve their objectives;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expected financings and investments and ability to fund capital commitments to PSSL;</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cash resources and working capital;</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cash flows, if any, from the operations of our prospective portfolio companies;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price and volume fluctuations in the stock market;</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levels of inflation, and its impact on us and our portfolio companies;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Investment Adviser to locate suitable investments for us and to monitor and administer our investments;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future legislation and regulation on our business and our portfolio companies;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ongoing Russia-Ukraine and Hamas-Israel conflicts and other world economic and political issues; and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develop and maintain effective internal control over financial reporting.</w:t>
      </w:r>
    </w:p>
    <w:p>
      <w:pPr>
        <w:spacing w:after="0" w:line="204" w:lineRule="exact"/>
        <w:rPr>
          <w:sz w:val="20"/>
          <w:szCs w:val="20"/>
          <w:color w:val="auto"/>
        </w:rPr>
      </w:pPr>
    </w:p>
    <w:p>
      <w:pPr>
        <w:ind w:right="280" w:firstLine="450"/>
        <w:spacing w:after="0" w:line="257" w:lineRule="auto"/>
        <w:rPr>
          <w:sz w:val="20"/>
          <w:szCs w:val="20"/>
          <w:color w:val="auto"/>
        </w:rPr>
      </w:pPr>
      <w:r>
        <w:rPr>
          <w:rFonts w:ascii="Times New Roman" w:cs="Times New Roman" w:eastAsia="Times New Roman" w:hAnsi="Times New Roman"/>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70" w:lineRule="exact"/>
        <w:rPr>
          <w:sz w:val="20"/>
          <w:szCs w:val="20"/>
          <w:color w:val="auto"/>
        </w:rPr>
      </w:pPr>
    </w:p>
    <w:p>
      <w:pPr>
        <w:ind w:right="480" w:firstLine="450"/>
        <w:spacing w:after="0" w:line="270"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any of those assumptions could prove to be inaccurate, and as a result, the forward-looking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281" w:right="339" w:bottom="1440" w:gutter="0" w:footer="0" w:header="0"/>
        </w:sectPr>
      </w:pPr>
    </w:p>
    <w:bookmarkStart w:id="15" w:name="page16"/>
    <w:bookmarkEnd w:id="15"/>
    <w:p>
      <w:pPr>
        <w:ind w:right="20"/>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755" cy="52070"/>
                    </a:xfrm>
                    <a:prstGeom prst="rect">
                      <a:avLst/>
                    </a:prstGeom>
                    <a:noFill/>
                  </pic:spPr>
                </pic:pic>
              </a:graphicData>
            </a:graphic>
          </wp:anchor>
        </w:drawing>
        <w:t>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73"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Forms 10-K and 10-Q and current reports on Form 8-K.</w:t>
      </w:r>
    </w:p>
    <w:p>
      <w:pPr>
        <w:spacing w:after="0" w:line="175" w:lineRule="exact"/>
        <w:rPr>
          <w:sz w:val="20"/>
          <w:szCs w:val="20"/>
          <w:color w:val="auto"/>
        </w:rPr>
      </w:pPr>
    </w:p>
    <w:p>
      <w:pPr>
        <w:ind w:right="80" w:firstLine="450"/>
        <w:spacing w:after="0" w:line="257" w:lineRule="auto"/>
        <w:rPr>
          <w:sz w:val="20"/>
          <w:szCs w:val="20"/>
          <w:color w:val="auto"/>
        </w:rPr>
      </w:pPr>
      <w:r>
        <w:rPr>
          <w:rFonts w:ascii="Times New Roman" w:cs="Times New Roman" w:eastAsia="Times New Roman" w:hAnsi="Times New Roman"/>
          <w:sz w:val="17"/>
          <w:szCs w:val="17"/>
          <w:color w:val="auto"/>
        </w:rPr>
        <w:t>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285" w:right="33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755" cy="52070"/>
                    </a:xfrm>
                    <a:prstGeom prst="rect">
                      <a:avLst/>
                    </a:prstGeom>
                    <a:noFill/>
                  </pic:spPr>
                </pic:pic>
              </a:graphicData>
            </a:graphic>
          </wp:anchor>
        </w:drawing>
        <w:t>USE OF PROCEEDS</w:t>
      </w:r>
    </w:p>
    <w:p>
      <w:pPr>
        <w:spacing w:after="0" w:line="208"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17"/>
          <w:szCs w:val="17"/>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70"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 —Regulation—Temporary Investments” in our most recently filed Annual Report on Form 10-K for more information.</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00"/>
          </w:cols>
          <w:pgMar w:left="320" w:top="281" w:right="37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755" cy="52070"/>
                    </a:xfrm>
                    <a:prstGeom prst="rect">
                      <a:avLst/>
                    </a:prstGeom>
                    <a:noFill/>
                  </pic:spPr>
                </pic:pic>
              </a:graphicData>
            </a:graphic>
          </wp:anchor>
        </w:drawing>
        <w:t>SENIOR SECURITIES</w:t>
      </w:r>
    </w:p>
    <w:p>
      <w:pPr>
        <w:spacing w:after="0" w:line="208"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7"/>
          <w:szCs w:val="17"/>
          <w:color w:val="auto"/>
        </w:rPr>
        <w:t>Information about our senior securities is shown in the following table as of the end of the fiscal quarter ended March 31, 2024 and as of September 30, 2023, 2022, 2021, 2020, 2019, 2018, 2017, 2016, 2015, and 2014. The report of RSM US LLP, an independent registered public accounting firm, on our senior securities table as of September 30, 2023 is included in our most recent Annual Report on Form 10-K, accepted on December 7, 2023, and is incorporated by reference into the registration statement of which this prospectus is a part.</w:t>
      </w:r>
    </w:p>
    <w:p>
      <w:pPr>
        <w:spacing w:after="0" w:line="180"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640" w:type="dxa"/>
            <w:vAlign w:val="bottom"/>
            <w:gridSpan w:val="2"/>
            <w:vMerge w:val="restart"/>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Total Amount</w:t>
            </w:r>
          </w:p>
        </w:tc>
        <w:tc>
          <w:tcPr>
            <w:tcW w:w="1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Asset Coverage</w:t>
            </w:r>
          </w:p>
        </w:tc>
        <w:tc>
          <w:tcPr>
            <w:tcW w:w="1320" w:type="dxa"/>
            <w:vAlign w:val="bottom"/>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37"/>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Class and Year/Period</w:t>
            </w:r>
          </w:p>
        </w:tc>
        <w:tc>
          <w:tcPr>
            <w:tcW w:w="2640" w:type="dxa"/>
            <w:vAlign w:val="bottom"/>
            <w:gridSpan w:val="2"/>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0" w:type="dxa"/>
            <w:vAlign w:val="bottom"/>
          </w:tcPr>
          <w:p>
            <w:pPr>
              <w:spacing w:after="0"/>
              <w:rPr>
                <w:sz w:val="1"/>
                <w:szCs w:val="1"/>
                <w:color w:val="auto"/>
              </w:rPr>
            </w:pPr>
          </w:p>
        </w:tc>
      </w:tr>
      <w:tr>
        <w:trPr>
          <w:trHeight w:val="159"/>
        </w:trPr>
        <w:tc>
          <w:tcPr>
            <w:tcW w:w="3680" w:type="dxa"/>
            <w:vAlign w:val="bottom"/>
            <w:gridSpan w:val="2"/>
            <w:vMerge w:val="continue"/>
          </w:tcPr>
          <w:p>
            <w:pPr>
              <w:spacing w:after="0"/>
              <w:rPr>
                <w:sz w:val="13"/>
                <w:szCs w:val="13"/>
                <w:color w:val="auto"/>
              </w:rPr>
            </w:pPr>
          </w:p>
        </w:tc>
        <w:tc>
          <w:tcPr>
            <w:tcW w:w="2640" w:type="dxa"/>
            <w:vAlign w:val="bottom"/>
            <w:gridSpan w:val="2"/>
          </w:tcPr>
          <w:p>
            <w:pPr>
              <w:ind w:left="1340"/>
              <w:spacing w:after="0"/>
              <w:rPr>
                <w:sz w:val="20"/>
                <w:szCs w:val="20"/>
                <w:color w:val="auto"/>
              </w:rPr>
            </w:pPr>
            <w:r>
              <w:rPr>
                <w:rFonts w:ascii="Times New Roman" w:cs="Times New Roman" w:eastAsia="Times New Roman" w:hAnsi="Times New Roman"/>
                <w:sz w:val="13"/>
                <w:szCs w:val="13"/>
                <w:b w:val="1"/>
                <w:bCs w:val="1"/>
                <w:color w:val="auto"/>
              </w:rPr>
              <w:t xml:space="preserve">Outstanding </w:t>
            </w:r>
            <w:r>
              <w:rPr>
                <w:rFonts w:ascii="Times New Roman" w:cs="Times New Roman" w:eastAsia="Times New Roman" w:hAnsi="Times New Roman"/>
                <w:sz w:val="8"/>
                <w:szCs w:val="8"/>
                <w:b w:val="1"/>
                <w:bCs w:val="1"/>
                <w:color w:val="auto"/>
              </w:rPr>
              <w:t>(1)</w:t>
            </w:r>
          </w:p>
        </w:tc>
        <w:tc>
          <w:tcPr>
            <w:tcW w:w="580" w:type="dxa"/>
            <w:vAlign w:val="bottom"/>
          </w:tcPr>
          <w:p>
            <w:pPr>
              <w:spacing w:after="0"/>
              <w:rPr>
                <w:sz w:val="13"/>
                <w:szCs w:val="13"/>
                <w:color w:val="auto"/>
              </w:rPr>
            </w:pPr>
          </w:p>
        </w:tc>
        <w:tc>
          <w:tcPr>
            <w:tcW w:w="124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 xml:space="preserve">Per Unit </w:t>
            </w:r>
            <w:r>
              <w:rPr>
                <w:rFonts w:ascii="Times New Roman" w:cs="Times New Roman" w:eastAsia="Times New Roman" w:hAnsi="Times New Roman"/>
                <w:sz w:val="8"/>
                <w:szCs w:val="8"/>
                <w:b w:val="1"/>
                <w:bCs w:val="1"/>
                <w:color w:val="auto"/>
              </w:rPr>
              <w:t>(2)</w:t>
            </w:r>
          </w:p>
        </w:tc>
        <w:tc>
          <w:tcPr>
            <w:tcW w:w="1320" w:type="dxa"/>
            <w:vAlign w:val="bottom"/>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 xml:space="preserve">Per Unit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Credit Facility</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2024 (as of March 31, 2024)</w:t>
            </w:r>
          </w:p>
        </w:tc>
        <w:tc>
          <w:tcPr>
            <w:tcW w:w="152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168,855</w:t>
            </w:r>
          </w:p>
        </w:tc>
        <w:tc>
          <w:tcPr>
            <w:tcW w:w="5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1,825</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2023</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9,400</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2,304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2022</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168,830</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1,784</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2021</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219,400</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1,746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2020</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308,599</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1,677</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2019</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265,308</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1,786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2018</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333,728</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2,122</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2017</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253,783</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2,780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2016</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232,908</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2,601</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2015</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29,600</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13,598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2014</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146,400</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2,469</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2023 Notes</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2023</w:t>
            </w:r>
          </w:p>
        </w:tc>
        <w:tc>
          <w:tcPr>
            <w:tcW w:w="152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76,219</w:t>
            </w:r>
          </w:p>
        </w:tc>
        <w:tc>
          <w:tcPr>
            <w:tcW w:w="5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2,304</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2022</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97,006</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1,784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2021</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117,793</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1,746</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2020</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138,580</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1,677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2019</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138,580</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1,786</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2018</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138,580</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2,122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2026 Notes</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2024 (as of March 31, 2024)</w:t>
            </w:r>
          </w:p>
        </w:tc>
        <w:tc>
          <w:tcPr>
            <w:tcW w:w="15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185,000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1,825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2023</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185,000</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2,304</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2022</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185,000</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1,784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2021</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100,000</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1,746</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2031 Asset-Backed Debt</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2024 (as of March 31, 2024)</w:t>
            </w:r>
          </w:p>
        </w:tc>
        <w:tc>
          <w:tcPr>
            <w:tcW w:w="152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226,259</w:t>
            </w:r>
          </w:p>
        </w:tc>
        <w:tc>
          <w:tcPr>
            <w:tcW w:w="5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1,825</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2023</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228,000</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2,304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2022</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228,000</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1,784</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2021</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228,000</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1,746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Fiscal 2020</w:t>
            </w:r>
          </w:p>
        </w:tc>
        <w:tc>
          <w:tcPr>
            <w:tcW w:w="152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228,000</w:t>
            </w:r>
          </w:p>
        </w:tc>
        <w:tc>
          <w:tcPr>
            <w:tcW w:w="580" w:type="dxa"/>
            <w:vAlign w:val="bottom"/>
          </w:tcPr>
          <w:p>
            <w:pPr>
              <w:spacing w:after="0"/>
              <w:rPr>
                <w:sz w:val="17"/>
                <w:szCs w:val="17"/>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rPr>
              <w:t>1,677</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2019</w:t>
            </w:r>
          </w:p>
        </w:tc>
        <w:tc>
          <w:tcPr>
            <w:tcW w:w="1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228,000</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1,786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2036 Asset-Backed Debt</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2024 (as of March 31, 2024)</w:t>
            </w:r>
          </w:p>
        </w:tc>
        <w:tc>
          <w:tcPr>
            <w:tcW w:w="15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287,000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rPr>
              <w:t>1,825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40" w:hanging="440"/>
        <w:spacing w:after="0"/>
        <w:tabs>
          <w:tab w:leader="none" w:pos="440" w:val="left"/>
        </w:tabs>
        <w:numPr>
          <w:ilvl w:val="0"/>
          <w:numId w:val="9"/>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7"/>
          <w:szCs w:val="17"/>
          <w:color w:val="auto"/>
        </w:rPr>
        <w:t>Total cost of each class of senior securities outstanding at the end of the period presented in thousands (000s).</w:t>
      </w:r>
    </w:p>
    <w:p>
      <w:pPr>
        <w:spacing w:after="0" w:line="1" w:lineRule="exact"/>
        <w:rPr>
          <w:rFonts w:ascii="Times New Roman" w:cs="Times New Roman" w:eastAsia="Times New Roman" w:hAnsi="Times New Roman"/>
          <w:sz w:val="21"/>
          <w:szCs w:val="21"/>
          <w:b w:val="1"/>
          <w:bCs w:val="1"/>
          <w:color w:val="auto"/>
          <w:vertAlign w:val="superscript"/>
        </w:rPr>
      </w:pPr>
    </w:p>
    <w:p>
      <w:pPr>
        <w:ind w:left="440" w:right="20" w:hanging="440"/>
        <w:spacing w:after="0" w:line="226" w:lineRule="auto"/>
        <w:tabs>
          <w:tab w:leader="none" w:pos="440" w:val="left"/>
        </w:tabs>
        <w:numPr>
          <w:ilvl w:val="0"/>
          <w:numId w:val="9"/>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7"/>
          <w:szCs w:val="17"/>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Times New Roman" w:cs="Times New Roman" w:eastAsia="Times New Roman" w:hAnsi="Times New Roman"/>
          <w:sz w:val="21"/>
          <w:szCs w:val="21"/>
          <w:b w:val="1"/>
          <w:bCs w:val="1"/>
          <w:color w:val="auto"/>
          <w:vertAlign w:val="superscript"/>
        </w:rPr>
      </w:pPr>
    </w:p>
    <w:p>
      <w:pPr>
        <w:ind w:left="440" w:hanging="440"/>
        <w:spacing w:after="0" w:line="198" w:lineRule="auto"/>
        <w:tabs>
          <w:tab w:leader="none" w:pos="440" w:val="left"/>
        </w:tabs>
        <w:numPr>
          <w:ilvl w:val="0"/>
          <w:numId w:val="9"/>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7"/>
          <w:szCs w:val="17"/>
          <w:color w:val="auto"/>
        </w:rPr>
        <w:t>Not applicable, as senior securities are not registered for public trading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-640715</wp:posOffset>
            </wp:positionV>
            <wp:extent cx="78422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84225" cy="7620"/>
                    </a:xfrm>
                    <a:prstGeom prst="rect">
                      <a:avLst/>
                    </a:prstGeom>
                    <a:noFill/>
                  </pic:spPr>
                </pic:pic>
              </a:graphicData>
            </a:graphic>
          </wp:anchor>
        </w:drawing>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00"/>
          </w:cols>
          <w:pgMar w:left="320" w:top="281" w:right="3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755" cy="52070"/>
                    </a:xfrm>
                    <a:prstGeom prst="rect">
                      <a:avLst/>
                    </a:prstGeom>
                    <a:noFill/>
                  </pic:spPr>
                </pic:pic>
              </a:graphicData>
            </a:graphic>
          </wp:anchor>
        </w:drawing>
        <w:t>PRICE RANGE OF COMMON STOCK</w:t>
      </w:r>
    </w:p>
    <w:p>
      <w:pPr>
        <w:spacing w:after="0" w:line="208" w:lineRule="exact"/>
        <w:rPr>
          <w:sz w:val="20"/>
          <w:szCs w:val="20"/>
          <w:color w:val="auto"/>
        </w:rPr>
      </w:pPr>
    </w:p>
    <w:p>
      <w:pPr>
        <w:ind w:right="20" w:firstLine="450"/>
        <w:spacing w:after="0" w:line="251" w:lineRule="auto"/>
        <w:rPr>
          <w:sz w:val="20"/>
          <w:szCs w:val="20"/>
          <w:color w:val="auto"/>
        </w:rPr>
      </w:pPr>
      <w:r>
        <w:rPr>
          <w:rFonts w:ascii="Times New Roman" w:cs="Times New Roman" w:eastAsia="Times New Roman" w:hAnsi="Times New Roman"/>
          <w:sz w:val="17"/>
          <w:szCs w:val="17"/>
          <w:color w:val="auto"/>
        </w:rPr>
        <w:t>On April 14, 2022, listing and trading of the Company’s common stock commenced on the New York Stock Exchange after the Company voluntarily withdrew the principal listing of its common stock from the Nasdaq Global Stock Market effective at market close on April 13, 2022. Our common stock trades on the New York Stock Exchange under the symbol “PFLT.” The following table lists the high and low closing sale prices for our common stock, the closing sale prices as a premium or (discount) to our NAV per share and distributions per share for each full quarterly period within the fiscal years ended September 30, 2023 and 2022, and each full fiscal quarter since the beginning of the fiscal year ended September 30,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Premium /</w:t>
            </w:r>
          </w:p>
        </w:tc>
        <w:tc>
          <w:tcPr>
            <w:tcW w:w="1580" w:type="dxa"/>
            <w:vAlign w:val="bottom"/>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rPr>
              <w:t>Premium /</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20" w:type="dxa"/>
            <w:vAlign w:val="bottom"/>
          </w:tcPr>
          <w:p>
            <w:pPr>
              <w:jc w:val="center"/>
              <w:ind w:right="62"/>
              <w:spacing w:after="0" w:line="138" w:lineRule="exact"/>
              <w:rPr>
                <w:sz w:val="20"/>
                <w:szCs w:val="20"/>
                <w:color w:val="auto"/>
              </w:rPr>
            </w:pPr>
            <w:r>
              <w:rPr>
                <w:rFonts w:ascii="Times New Roman" w:cs="Times New Roman" w:eastAsia="Times New Roman" w:hAnsi="Times New Roman"/>
                <w:sz w:val="13"/>
                <w:szCs w:val="13"/>
                <w:b w:val="1"/>
                <w:bCs w:val="1"/>
                <w:color w:val="auto"/>
              </w:rPr>
              <w:t>(Discount)</w:t>
            </w:r>
          </w:p>
        </w:tc>
        <w:tc>
          <w:tcPr>
            <w:tcW w:w="1580" w:type="dxa"/>
            <w:vAlign w:val="bottom"/>
          </w:tcPr>
          <w:p>
            <w:pPr>
              <w:jc w:val="center"/>
              <w:ind w:right="102"/>
              <w:spacing w:after="0" w:line="138" w:lineRule="exact"/>
              <w:rPr>
                <w:sz w:val="20"/>
                <w:szCs w:val="20"/>
                <w:color w:val="auto"/>
              </w:rPr>
            </w:pPr>
            <w:r>
              <w:rPr>
                <w:rFonts w:ascii="Times New Roman" w:cs="Times New Roman" w:eastAsia="Times New Roman" w:hAnsi="Times New Roman"/>
                <w:sz w:val="13"/>
                <w:szCs w:val="13"/>
                <w:b w:val="1"/>
                <w:bCs w:val="1"/>
                <w:color w:val="auto"/>
              </w:rPr>
              <w:t>(Discount)</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800" w:type="dxa"/>
            <w:vAlign w:val="bottom"/>
            <w:vMerge w:val="restart"/>
          </w:tcPr>
          <w:p>
            <w:pPr>
              <w:jc w:val="right"/>
              <w:ind w:right="221"/>
              <w:spacing w:after="0"/>
              <w:rPr>
                <w:sz w:val="20"/>
                <w:szCs w:val="20"/>
                <w:color w:val="auto"/>
              </w:rPr>
            </w:pPr>
            <w:r>
              <w:rPr>
                <w:rFonts w:ascii="Times New Roman" w:cs="Times New Roman" w:eastAsia="Times New Roman" w:hAnsi="Times New Roman"/>
                <w:sz w:val="26"/>
                <w:szCs w:val="26"/>
                <w:b w:val="1"/>
                <w:bCs w:val="1"/>
                <w:color w:val="auto"/>
                <w:vertAlign w:val="subscript"/>
              </w:rPr>
              <w:t>NAV</w:t>
            </w:r>
            <w:r>
              <w:rPr>
                <w:rFonts w:ascii="Times New Roman" w:cs="Times New Roman" w:eastAsia="Times New Roman" w:hAnsi="Times New Roman"/>
                <w:sz w:val="8"/>
                <w:szCs w:val="8"/>
                <w:b w:val="1"/>
                <w:bCs w:val="1"/>
                <w:color w:val="auto"/>
              </w:rPr>
              <w:t xml:space="preserve"> (1)</w:t>
            </w:r>
          </w:p>
        </w:tc>
        <w:tc>
          <w:tcPr>
            <w:tcW w:w="1960" w:type="dxa"/>
            <w:vAlign w:val="bottom"/>
            <w:gridSpan w:val="3"/>
          </w:tcPr>
          <w:p>
            <w:pPr>
              <w:jc w:val="right"/>
              <w:ind w:right="358"/>
              <w:spacing w:after="0"/>
              <w:rPr>
                <w:sz w:val="20"/>
                <w:szCs w:val="20"/>
                <w:color w:val="auto"/>
              </w:rPr>
            </w:pPr>
            <w:r>
              <w:rPr>
                <w:rFonts w:ascii="Times New Roman" w:cs="Times New Roman" w:eastAsia="Times New Roman" w:hAnsi="Times New Roman"/>
                <w:sz w:val="13"/>
                <w:szCs w:val="13"/>
                <w:b w:val="1"/>
                <w:bCs w:val="1"/>
                <w:color w:val="auto"/>
              </w:rPr>
              <w:t>Closing Sale Prices</w:t>
            </w:r>
          </w:p>
        </w:tc>
        <w:tc>
          <w:tcPr>
            <w:tcW w:w="152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rPr>
              <w:t>of High Sale</w:t>
            </w:r>
          </w:p>
        </w:tc>
        <w:tc>
          <w:tcPr>
            <w:tcW w:w="1580" w:type="dxa"/>
            <w:vAlign w:val="bottom"/>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rPr>
              <w:t>of Low Sale</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0" w:type="dxa"/>
            <w:vAlign w:val="bottom"/>
          </w:tcPr>
          <w:p>
            <w:pPr>
              <w:spacing w:after="0"/>
              <w:rPr>
                <w:sz w:val="1"/>
                <w:szCs w:val="1"/>
                <w:color w:val="auto"/>
              </w:rPr>
            </w:pPr>
          </w:p>
        </w:tc>
      </w:tr>
      <w:tr>
        <w:trPr>
          <w:trHeight w:val="159"/>
        </w:trPr>
        <w:tc>
          <w:tcPr>
            <w:tcW w:w="334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High</w:t>
            </w:r>
          </w:p>
        </w:tc>
        <w:tc>
          <w:tcPr>
            <w:tcW w:w="360" w:type="dxa"/>
            <w:vAlign w:val="bottom"/>
          </w:tcPr>
          <w:p>
            <w:pPr>
              <w:spacing w:after="0"/>
              <w:rPr>
                <w:sz w:val="13"/>
                <w:szCs w:val="13"/>
                <w:color w:val="auto"/>
              </w:rPr>
            </w:pPr>
          </w:p>
        </w:tc>
        <w:tc>
          <w:tcPr>
            <w:tcW w:w="640" w:type="dxa"/>
            <w:vAlign w:val="bottom"/>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w w:val="97"/>
              </w:rPr>
              <w:t>Low</w:t>
            </w:r>
          </w:p>
        </w:tc>
        <w:tc>
          <w:tcPr>
            <w:tcW w:w="152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8"/>
              </w:rPr>
              <w:t xml:space="preserve">Price to NAV </w:t>
            </w:r>
            <w:r>
              <w:rPr>
                <w:rFonts w:ascii="Times New Roman" w:cs="Times New Roman" w:eastAsia="Times New Roman" w:hAnsi="Times New Roman"/>
                <w:sz w:val="8"/>
                <w:szCs w:val="8"/>
                <w:b w:val="1"/>
                <w:bCs w:val="1"/>
                <w:color w:val="auto"/>
                <w:w w:val="98"/>
              </w:rPr>
              <w:t>(2)</w:t>
            </w:r>
          </w:p>
        </w:tc>
        <w:tc>
          <w:tcPr>
            <w:tcW w:w="1580" w:type="dxa"/>
            <w:vAlign w:val="bottom"/>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rPr>
              <w:t xml:space="preserve">Price to NAV </w:t>
            </w:r>
            <w:r>
              <w:rPr>
                <w:rFonts w:ascii="Times New Roman" w:cs="Times New Roman" w:eastAsia="Times New Roman" w:hAnsi="Times New Roman"/>
                <w:sz w:val="8"/>
                <w:szCs w:val="8"/>
                <w:b w:val="1"/>
                <w:bCs w:val="1"/>
                <w:color w:val="auto"/>
              </w:rPr>
              <w:t>(2)</w:t>
            </w:r>
          </w:p>
        </w:tc>
        <w:tc>
          <w:tcPr>
            <w:tcW w:w="360" w:type="dxa"/>
            <w:vAlign w:val="bottom"/>
          </w:tcPr>
          <w:p>
            <w:pPr>
              <w:spacing w:after="0"/>
              <w:rPr>
                <w:sz w:val="13"/>
                <w:szCs w:val="13"/>
                <w:color w:val="auto"/>
              </w:rPr>
            </w:pPr>
          </w:p>
        </w:tc>
        <w:tc>
          <w:tcPr>
            <w:tcW w:w="680" w:type="dxa"/>
            <w:vAlign w:val="bottom"/>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Declared</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Year Ended September 30, 2024</w:t>
            </w:r>
          </w:p>
        </w:tc>
        <w:tc>
          <w:tcPr>
            <w:tcW w:w="1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180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rPr>
              <w:t>$11.40</w:t>
            </w:r>
          </w:p>
        </w:tc>
        <w:tc>
          <w:tcPr>
            <w:tcW w:w="96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rPr>
              <w:t>$12.61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w w:val="93"/>
              </w:rPr>
              <w:t>11.09</w:t>
            </w:r>
          </w:p>
        </w:tc>
        <w:tc>
          <w:tcPr>
            <w:tcW w:w="1520" w:type="dxa"/>
            <w:vAlign w:val="bottom"/>
          </w:tcPr>
          <w:p>
            <w:pPr>
              <w:jc w:val="right"/>
              <w:ind w:right="182"/>
              <w:spacing w:after="0"/>
              <w:rPr>
                <w:sz w:val="20"/>
                <w:szCs w:val="20"/>
                <w:color w:val="auto"/>
              </w:rPr>
            </w:pPr>
            <w:r>
              <w:rPr>
                <w:rFonts w:ascii="Times New Roman" w:cs="Times New Roman" w:eastAsia="Times New Roman" w:hAnsi="Times New Roman"/>
                <w:sz w:val="17"/>
                <w:szCs w:val="17"/>
                <w:color w:val="auto"/>
              </w:rPr>
              <w:t>11%</w:t>
            </w:r>
          </w:p>
        </w:tc>
        <w:tc>
          <w:tcPr>
            <w:tcW w:w="1580" w:type="dxa"/>
            <w:vAlign w:val="bottom"/>
          </w:tcPr>
          <w:p>
            <w:pPr>
              <w:jc w:val="right"/>
              <w:ind w:right="182"/>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0.308</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18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11.20</w:t>
            </w:r>
          </w:p>
        </w:tc>
        <w:tc>
          <w:tcPr>
            <w:tcW w:w="9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12.24</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9.71</w:t>
            </w:r>
          </w:p>
        </w:tc>
        <w:tc>
          <w:tcPr>
            <w:tcW w:w="15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rPr>
              <w:t>9</w:t>
            </w:r>
          </w:p>
        </w:tc>
        <w:tc>
          <w:tcPr>
            <w:tcW w:w="15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rPr>
              <w:t>(13)</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0.308</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Ended September 30, 2023</w:t>
            </w:r>
          </w:p>
        </w:tc>
        <w:tc>
          <w:tcPr>
            <w:tcW w:w="1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18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$11.13</w:t>
            </w:r>
          </w:p>
        </w:tc>
        <w:tc>
          <w:tcPr>
            <w:tcW w:w="9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$11.39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93"/>
              </w:rPr>
              <w:t>10.32</w:t>
            </w:r>
          </w:p>
        </w:tc>
        <w:tc>
          <w:tcPr>
            <w:tcW w:w="15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2%</w:t>
            </w:r>
          </w:p>
        </w:tc>
        <w:tc>
          <w:tcPr>
            <w:tcW w:w="15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0.308</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180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rPr>
              <w:t>10.96</w:t>
            </w:r>
          </w:p>
        </w:tc>
        <w:tc>
          <w:tcPr>
            <w:tcW w:w="96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rPr>
              <w:t>11.06</w:t>
            </w:r>
          </w:p>
        </w:tc>
        <w:tc>
          <w:tcPr>
            <w:tcW w:w="360" w:type="dxa"/>
            <w:vAlign w:val="bottom"/>
          </w:tcPr>
          <w:p>
            <w:pPr>
              <w:spacing w:after="0"/>
              <w:rPr>
                <w:sz w:val="17"/>
                <w:szCs w:val="17"/>
                <w:color w:val="auto"/>
              </w:rPr>
            </w:pPr>
          </w:p>
        </w:tc>
        <w:tc>
          <w:tcPr>
            <w:tcW w:w="6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w w:val="93"/>
              </w:rPr>
              <w:t>10.37</w:t>
            </w:r>
          </w:p>
        </w:tc>
        <w:tc>
          <w:tcPr>
            <w:tcW w:w="1520" w:type="dxa"/>
            <w:vAlign w:val="bottom"/>
          </w:tcPr>
          <w:p>
            <w:pPr>
              <w:jc w:val="right"/>
              <w:ind w:right="302"/>
              <w:spacing w:after="0"/>
              <w:rPr>
                <w:sz w:val="20"/>
                <w:szCs w:val="20"/>
                <w:color w:val="auto"/>
              </w:rPr>
            </w:pPr>
            <w:r>
              <w:rPr>
                <w:rFonts w:ascii="Times New Roman" w:cs="Times New Roman" w:eastAsia="Times New Roman" w:hAnsi="Times New Roman"/>
                <w:sz w:val="17"/>
                <w:szCs w:val="17"/>
                <w:color w:val="auto"/>
              </w:rPr>
              <w:t>1</w:t>
            </w:r>
          </w:p>
        </w:tc>
        <w:tc>
          <w:tcPr>
            <w:tcW w:w="1580" w:type="dxa"/>
            <w:vAlign w:val="bottom"/>
          </w:tcPr>
          <w:p>
            <w:pPr>
              <w:jc w:val="right"/>
              <w:ind w:right="322"/>
              <w:spacing w:after="0"/>
              <w:rPr>
                <w:sz w:val="20"/>
                <w:szCs w:val="20"/>
                <w:color w:val="auto"/>
              </w:rPr>
            </w:pPr>
            <w:r>
              <w:rPr>
                <w:rFonts w:ascii="Times New Roman" w:cs="Times New Roman" w:eastAsia="Times New Roman" w:hAnsi="Times New Roman"/>
                <w:sz w:val="17"/>
                <w:szCs w:val="17"/>
                <w:color w:val="auto"/>
              </w:rPr>
              <w:t>(5)</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0.303</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18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11.15</w:t>
            </w:r>
          </w:p>
        </w:tc>
        <w:tc>
          <w:tcPr>
            <w:tcW w:w="9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12.20</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9.98</w:t>
            </w:r>
          </w:p>
        </w:tc>
        <w:tc>
          <w:tcPr>
            <w:tcW w:w="15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rPr>
              <w:t>9</w:t>
            </w:r>
          </w:p>
        </w:tc>
        <w:tc>
          <w:tcPr>
            <w:tcW w:w="15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rPr>
              <w:t>(10)</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0.290</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180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rPr>
              <w:t>11.30</w:t>
            </w:r>
          </w:p>
        </w:tc>
        <w:tc>
          <w:tcPr>
            <w:tcW w:w="96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rPr>
              <w:t>11.56</w:t>
            </w:r>
          </w:p>
        </w:tc>
        <w:tc>
          <w:tcPr>
            <w:tcW w:w="360" w:type="dxa"/>
            <w:vAlign w:val="bottom"/>
          </w:tcPr>
          <w:p>
            <w:pPr>
              <w:spacing w:after="0"/>
              <w:rPr>
                <w:sz w:val="17"/>
                <w:szCs w:val="17"/>
                <w:color w:val="auto"/>
              </w:rPr>
            </w:pPr>
          </w:p>
        </w:tc>
        <w:tc>
          <w:tcPr>
            <w:tcW w:w="6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9.77</w:t>
            </w:r>
          </w:p>
        </w:tc>
        <w:tc>
          <w:tcPr>
            <w:tcW w:w="1520" w:type="dxa"/>
            <w:vAlign w:val="bottom"/>
          </w:tcPr>
          <w:p>
            <w:pPr>
              <w:jc w:val="right"/>
              <w:ind w:right="302"/>
              <w:spacing w:after="0"/>
              <w:rPr>
                <w:sz w:val="20"/>
                <w:szCs w:val="20"/>
                <w:color w:val="auto"/>
              </w:rPr>
            </w:pPr>
            <w:r>
              <w:rPr>
                <w:rFonts w:ascii="Times New Roman" w:cs="Times New Roman" w:eastAsia="Times New Roman" w:hAnsi="Times New Roman"/>
                <w:sz w:val="17"/>
                <w:szCs w:val="17"/>
                <w:color w:val="auto"/>
              </w:rPr>
              <w:t>2</w:t>
            </w:r>
          </w:p>
        </w:tc>
        <w:tc>
          <w:tcPr>
            <w:tcW w:w="1580" w:type="dxa"/>
            <w:vAlign w:val="bottom"/>
          </w:tcPr>
          <w:p>
            <w:pPr>
              <w:jc w:val="right"/>
              <w:ind w:right="322"/>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0.285</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Year Ended September 30, 2022</w:t>
            </w:r>
          </w:p>
        </w:tc>
        <w:tc>
          <w:tcPr>
            <w:tcW w:w="1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180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rPr>
              <w:t>$11.62</w:t>
            </w:r>
          </w:p>
        </w:tc>
        <w:tc>
          <w:tcPr>
            <w:tcW w:w="96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rPr>
              <w:t>$13.19</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9.60</w:t>
            </w:r>
          </w:p>
        </w:tc>
        <w:tc>
          <w:tcPr>
            <w:tcW w:w="1520" w:type="dxa"/>
            <w:vAlign w:val="bottom"/>
          </w:tcPr>
          <w:p>
            <w:pPr>
              <w:jc w:val="right"/>
              <w:ind w:right="182"/>
              <w:spacing w:after="0"/>
              <w:rPr>
                <w:sz w:val="20"/>
                <w:szCs w:val="20"/>
                <w:color w:val="auto"/>
              </w:rPr>
            </w:pPr>
            <w:r>
              <w:rPr>
                <w:rFonts w:ascii="Times New Roman" w:cs="Times New Roman" w:eastAsia="Times New Roman" w:hAnsi="Times New Roman"/>
                <w:sz w:val="17"/>
                <w:szCs w:val="17"/>
                <w:color w:val="auto"/>
              </w:rPr>
              <w:t>14%</w:t>
            </w:r>
          </w:p>
        </w:tc>
        <w:tc>
          <w:tcPr>
            <w:tcW w:w="1580" w:type="dxa"/>
            <w:vAlign w:val="bottom"/>
          </w:tcPr>
          <w:p>
            <w:pPr>
              <w:jc w:val="right"/>
              <w:ind w:right="182"/>
              <w:spacing w:after="0"/>
              <w:rPr>
                <w:sz w:val="20"/>
                <w:szCs w:val="20"/>
                <w:color w:val="auto"/>
              </w:rPr>
            </w:pPr>
            <w:r>
              <w:rPr>
                <w:rFonts w:ascii="Times New Roman" w:cs="Times New Roman" w:eastAsia="Times New Roman" w:hAnsi="Times New Roman"/>
                <w:sz w:val="17"/>
                <w:szCs w:val="17"/>
                <w:color w:val="auto"/>
              </w:rPr>
              <w:t>(17)%</w:t>
            </w:r>
          </w:p>
        </w:tc>
        <w:tc>
          <w:tcPr>
            <w:tcW w:w="36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0.285</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18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12.21</w:t>
            </w:r>
          </w:p>
        </w:tc>
        <w:tc>
          <w:tcPr>
            <w:tcW w:w="9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14.20</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93"/>
              </w:rPr>
              <w:t>10.45</w:t>
            </w:r>
          </w:p>
        </w:tc>
        <w:tc>
          <w:tcPr>
            <w:tcW w:w="15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rPr>
              <w:t>16</w:t>
            </w:r>
          </w:p>
        </w:tc>
        <w:tc>
          <w:tcPr>
            <w:tcW w:w="15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0.285</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180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rPr>
              <w:t>12.62</w:t>
            </w:r>
          </w:p>
        </w:tc>
        <w:tc>
          <w:tcPr>
            <w:tcW w:w="96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rPr>
              <w:t>13.56</w:t>
            </w:r>
          </w:p>
        </w:tc>
        <w:tc>
          <w:tcPr>
            <w:tcW w:w="360" w:type="dxa"/>
            <w:vAlign w:val="bottom"/>
          </w:tcPr>
          <w:p>
            <w:pPr>
              <w:spacing w:after="0"/>
              <w:rPr>
                <w:sz w:val="17"/>
                <w:szCs w:val="17"/>
                <w:color w:val="auto"/>
              </w:rPr>
            </w:pPr>
          </w:p>
        </w:tc>
        <w:tc>
          <w:tcPr>
            <w:tcW w:w="6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w w:val="93"/>
              </w:rPr>
              <w:t>12.23</w:t>
            </w:r>
          </w:p>
        </w:tc>
        <w:tc>
          <w:tcPr>
            <w:tcW w:w="1520" w:type="dxa"/>
            <w:vAlign w:val="bottom"/>
          </w:tcPr>
          <w:p>
            <w:pPr>
              <w:jc w:val="right"/>
              <w:ind w:right="302"/>
              <w:spacing w:after="0"/>
              <w:rPr>
                <w:sz w:val="20"/>
                <w:szCs w:val="20"/>
                <w:color w:val="auto"/>
              </w:rPr>
            </w:pPr>
            <w:r>
              <w:rPr>
                <w:rFonts w:ascii="Times New Roman" w:cs="Times New Roman" w:eastAsia="Times New Roman" w:hAnsi="Times New Roman"/>
                <w:sz w:val="17"/>
                <w:szCs w:val="17"/>
                <w:color w:val="auto"/>
              </w:rPr>
              <w:t>7</w:t>
            </w:r>
          </w:p>
        </w:tc>
        <w:tc>
          <w:tcPr>
            <w:tcW w:w="1580" w:type="dxa"/>
            <w:vAlign w:val="bottom"/>
          </w:tcPr>
          <w:p>
            <w:pPr>
              <w:jc w:val="right"/>
              <w:ind w:right="322"/>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0.285</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18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12.70</w:t>
            </w:r>
          </w:p>
        </w:tc>
        <w:tc>
          <w:tcPr>
            <w:tcW w:w="9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13.80</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93"/>
              </w:rPr>
              <w:t>12.23</w:t>
            </w:r>
          </w:p>
        </w:tc>
        <w:tc>
          <w:tcPr>
            <w:tcW w:w="15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rPr>
              <w:t>9</w:t>
            </w:r>
          </w:p>
        </w:tc>
        <w:tc>
          <w:tcPr>
            <w:tcW w:w="15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rPr>
              <w:t>(4)</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40" w:right="20" w:hanging="440"/>
        <w:spacing w:after="0" w:line="228" w:lineRule="auto"/>
        <w:tabs>
          <w:tab w:leader="none" w:pos="440" w:val="left"/>
        </w:tabs>
        <w:numPr>
          <w:ilvl w:val="0"/>
          <w:numId w:val="10"/>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7"/>
          <w:szCs w:val="17"/>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40" w:hanging="440"/>
        <w:spacing w:after="0" w:line="198" w:lineRule="auto"/>
        <w:tabs>
          <w:tab w:leader="none" w:pos="440" w:val="left"/>
        </w:tabs>
        <w:numPr>
          <w:ilvl w:val="0"/>
          <w:numId w:val="10"/>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7"/>
          <w:szCs w:val="17"/>
          <w:color w:val="auto"/>
        </w:rPr>
        <w:t>Calculated as the respective high or low closing sales price less NAV per share, divided by the quarter-end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-387350</wp:posOffset>
            </wp:positionV>
            <wp:extent cx="78422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84225" cy="7620"/>
                    </a:xfrm>
                    <a:prstGeom prst="rect">
                      <a:avLst/>
                    </a:prstGeom>
                    <a:noFill/>
                  </pic:spPr>
                </pic:pic>
              </a:graphicData>
            </a:graphic>
          </wp:anchor>
        </w:drawing>
      </w:r>
    </w:p>
    <w:p>
      <w:pPr>
        <w:spacing w:after="0" w:line="163" w:lineRule="exact"/>
        <w:rPr>
          <w:sz w:val="20"/>
          <w:szCs w:val="20"/>
          <w:color w:val="auto"/>
        </w:rPr>
      </w:pPr>
    </w:p>
    <w:p>
      <w:pPr>
        <w:ind w:right="40" w:firstLine="450"/>
        <w:spacing w:after="0" w:line="274" w:lineRule="auto"/>
        <w:rPr>
          <w:sz w:val="20"/>
          <w:szCs w:val="20"/>
          <w:color w:val="auto"/>
        </w:rPr>
      </w:pPr>
      <w:r>
        <w:rPr>
          <w:rFonts w:ascii="Times New Roman" w:cs="Times New Roman" w:eastAsia="Times New Roman" w:hAnsi="Times New Roman"/>
          <w:sz w:val="16"/>
          <w:szCs w:val="16"/>
          <w:color w:val="auto"/>
        </w:rPr>
        <w:t>Shares of BDCs may trade at a market price both above and below the NAV that is attributable to those shares. Our shares have traded above and below our NAV. Our shares closed on the New York Stock Exchange at $11.38 and $10.61 on March 31, 2024 and 2023, respectively. Our NAV per share was $11.40 and $11.15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 of Unregistered Securities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did not engage in any sales of unregistered securities during the quarter ended March 31, 2024.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did not repurchase any of our common stock under our share repurchase plan during the quarter ended March 31, 2024.</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28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755" cy="52070"/>
                    </a:xfrm>
                    <a:prstGeom prst="rect">
                      <a:avLst/>
                    </a:prstGeom>
                    <a:noFill/>
                  </pic:spPr>
                </pic:pic>
              </a:graphicData>
            </a:graphic>
          </wp:anchor>
        </w:drawing>
        <w:t>SALES OF COMMON STOCK BELOW NET ASSET VALUE</w:t>
      </w:r>
    </w:p>
    <w:p>
      <w:pPr>
        <w:spacing w:after="0" w:line="208" w:lineRule="exact"/>
        <w:rPr>
          <w:sz w:val="20"/>
          <w:szCs w:val="20"/>
          <w:color w:val="auto"/>
        </w:rPr>
      </w:pPr>
    </w:p>
    <w:p>
      <w:pPr>
        <w:ind w:right="180" w:firstLine="450"/>
        <w:spacing w:after="0" w:line="257" w:lineRule="auto"/>
        <w:rPr>
          <w:sz w:val="20"/>
          <w:szCs w:val="20"/>
          <w:color w:val="auto"/>
        </w:rPr>
      </w:pPr>
      <w:r>
        <w:rPr>
          <w:rFonts w:ascii="Times New Roman" w:cs="Times New Roman" w:eastAsia="Times New Roman" w:hAnsi="Times New Roman"/>
          <w:sz w:val="17"/>
          <w:szCs w:val="17"/>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83" w:lineRule="exact"/>
        <w:rPr>
          <w:sz w:val="20"/>
          <w:szCs w:val="20"/>
          <w:color w:val="auto"/>
        </w:rPr>
      </w:pPr>
    </w:p>
    <w:p>
      <w:pPr>
        <w:ind w:left="1000" w:right="40" w:hanging="439"/>
        <w:spacing w:after="0" w:line="270"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that an offering below NAV per share would have on our stockholders, including the potential dilution they would experience as a result of the offering;</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per share by which the offering price per share and the net proceeds per share are less than the most recently determined NAV per share;</w:t>
      </w:r>
    </w:p>
    <w:p>
      <w:pPr>
        <w:spacing w:after="0" w:line="116" w:lineRule="exact"/>
        <w:rPr>
          <w:rFonts w:ascii="Times New Roman" w:cs="Times New Roman" w:eastAsia="Times New Roman" w:hAnsi="Times New Roman"/>
          <w:sz w:val="17"/>
          <w:szCs w:val="17"/>
          <w:color w:val="auto"/>
        </w:rPr>
      </w:pPr>
    </w:p>
    <w:p>
      <w:pPr>
        <w:ind w:left="1000" w:right="120" w:hanging="439"/>
        <w:spacing w:after="0" w:line="270"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relationship of recent market prices of our common stock to NAV per share and the potential impact of the offering on the market price per share of our common stock;</w:t>
      </w:r>
    </w:p>
    <w:p>
      <w:pPr>
        <w:spacing w:after="0" w:line="71" w:lineRule="exact"/>
        <w:rPr>
          <w:rFonts w:ascii="Times New Roman" w:cs="Times New Roman" w:eastAsia="Times New Roman" w:hAnsi="Times New Roman"/>
          <w:sz w:val="17"/>
          <w:szCs w:val="17"/>
          <w:color w:val="auto"/>
        </w:rPr>
      </w:pPr>
    </w:p>
    <w:p>
      <w:pPr>
        <w:ind w:left="1000" w:right="220" w:hanging="439"/>
        <w:spacing w:after="0" w:line="270"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estimated offering price would closely approximate the market value of our shares, less distributing commissions or discounts, and would not be below current market price;</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market impact of being able to raise capital in the current financial market;</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of any new investors anticipated to acquire shares in the offering;</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rate of return on and quality, type and availability of investments;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leverage available to us, both before and after the offering and other borrowing terms; and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investment opportunities available relative to the potential dilutive effect of additional capital at the time of the offering.</w:t>
      </w:r>
    </w:p>
    <w:p>
      <w:pPr>
        <w:spacing w:after="0" w:line="204"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70"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17"/>
          <w:szCs w:val="17"/>
          <w:color w:val="auto"/>
        </w:rPr>
        <w:t>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w:t>
      </w:r>
    </w:p>
    <w:p>
      <w:pPr>
        <w:spacing w:after="0" w:line="170" w:lineRule="exact"/>
        <w:rPr>
          <w:sz w:val="20"/>
          <w:szCs w:val="20"/>
          <w:color w:val="auto"/>
        </w:rPr>
      </w:pPr>
    </w:p>
    <w:p>
      <w:pPr>
        <w:ind w:right="80" w:firstLine="450"/>
        <w:spacing w:after="0" w:line="247" w:lineRule="auto"/>
        <w:rPr>
          <w:sz w:val="20"/>
          <w:szCs w:val="20"/>
          <w:color w:val="auto"/>
        </w:rPr>
      </w:pPr>
      <w:r>
        <w:rPr>
          <w:rFonts w:ascii="Times New Roman" w:cs="Times New Roman" w:eastAsia="Times New Roman" w:hAnsi="Times New Roman"/>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281" w:right="339" w:bottom="1440" w:gutter="0" w:footer="0" w:header="0"/>
        </w:sectPr>
      </w:pPr>
    </w:p>
    <w:bookmarkStart w:id="20" w:name="page21"/>
    <w:bookmarkEnd w:id="20"/>
    <w:p>
      <w:pPr>
        <w:ind w:right="740" w:firstLine="45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1" w:lineRule="exact"/>
        <w:rPr>
          <w:sz w:val="20"/>
          <w:szCs w:val="20"/>
          <w:color w:val="auto"/>
        </w:rPr>
      </w:pPr>
    </w:p>
    <w:p>
      <w:pPr>
        <w:ind w:left="1000" w:hanging="439"/>
        <w:spacing w:after="0"/>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do not purchase any shares in the offering;</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 and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investors who become stockholders by purchasing shares in the offering.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on Existing Stockholders who do not Participate in the Offering</w:t>
      </w:r>
    </w:p>
    <w:p>
      <w:pPr>
        <w:spacing w:after="0" w:line="108"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64"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7"/>
          <w:szCs w:val="17"/>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70" w:lineRule="exact"/>
        <w:rPr>
          <w:sz w:val="20"/>
          <w:szCs w:val="20"/>
          <w:color w:val="auto"/>
        </w:rPr>
      </w:pPr>
    </w:p>
    <w:p>
      <w:pPr>
        <w:ind w:right="60" w:firstLine="450"/>
        <w:spacing w:after="0" w:line="271" w:lineRule="auto"/>
        <w:rPr>
          <w:sz w:val="20"/>
          <w:szCs w:val="20"/>
          <w:color w:val="auto"/>
        </w:rPr>
      </w:pPr>
      <w:r>
        <w:rPr>
          <w:rFonts w:ascii="Times New Roman" w:cs="Times New Roman" w:eastAsia="Times New Roman" w:hAnsi="Times New Roman"/>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w:t>
      </w:r>
    </w:p>
    <w:p>
      <w:pPr>
        <w:ind w:right="120"/>
        <w:spacing w:after="0" w:line="249" w:lineRule="auto"/>
        <w:tabs>
          <w:tab w:leader="none" w:pos="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offering of 50,000 shares (5% of the outstanding shares) at $9.50 per share after any underwriting discounts and commissions (a 5% discount from NAV); (2) an offering of 100,000 shares (10% of</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20"/>
          </w:cols>
          <w:pgMar w:left="320" w:top="285" w:right="359" w:bottom="1440" w:gutter="0" w:footer="0" w:header="0"/>
        </w:sectPr>
      </w:pPr>
    </w:p>
    <w:bookmarkStart w:id="21" w:name="page22"/>
    <w:bookmarkEnd w:id="21"/>
    <w:p>
      <w:pPr>
        <w:ind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tcPr>
          <w:p>
            <w:pPr>
              <w:jc w:val="center"/>
              <w:ind w:right="346"/>
              <w:spacing w:after="0"/>
              <w:rPr>
                <w:sz w:val="20"/>
                <w:szCs w:val="20"/>
                <w:color w:val="auto"/>
              </w:rPr>
            </w:pPr>
            <w:r>
              <w:rPr>
                <w:rFonts w:ascii="Times New Roman" w:cs="Times New Roman" w:eastAsia="Times New Roman" w:hAnsi="Times New Roman"/>
                <w:sz w:val="13"/>
                <w:szCs w:val="13"/>
                <w:b w:val="1"/>
                <w:bCs w:val="1"/>
                <w:color w:val="auto"/>
              </w:rPr>
              <w:t>Example 1</w:t>
            </w:r>
          </w:p>
        </w:tc>
        <w:tc>
          <w:tcPr>
            <w:tcW w:w="220" w:type="dxa"/>
            <w:vAlign w:val="bottom"/>
          </w:tcPr>
          <w:p>
            <w:pPr>
              <w:spacing w:after="0"/>
              <w:rPr>
                <w:sz w:val="12"/>
                <w:szCs w:val="12"/>
                <w:color w:val="auto"/>
              </w:rPr>
            </w:pPr>
          </w:p>
        </w:tc>
        <w:tc>
          <w:tcPr>
            <w:tcW w:w="1980" w:type="dxa"/>
            <w:vAlign w:val="bottom"/>
            <w:gridSpan w:val="2"/>
          </w:tcPr>
          <w:p>
            <w:pPr>
              <w:jc w:val="center"/>
              <w:ind w:right="346"/>
              <w:spacing w:after="0"/>
              <w:rPr>
                <w:sz w:val="20"/>
                <w:szCs w:val="20"/>
                <w:color w:val="auto"/>
              </w:rPr>
            </w:pPr>
            <w:r>
              <w:rPr>
                <w:rFonts w:ascii="Times New Roman" w:cs="Times New Roman" w:eastAsia="Times New Roman" w:hAnsi="Times New Roman"/>
                <w:sz w:val="13"/>
                <w:szCs w:val="13"/>
                <w:b w:val="1"/>
                <w:bCs w:val="1"/>
                <w:color w:val="auto"/>
              </w:rPr>
              <w:t>Example 2</w:t>
            </w:r>
          </w:p>
        </w:tc>
        <w:tc>
          <w:tcPr>
            <w:tcW w:w="240" w:type="dxa"/>
            <w:vAlign w:val="bottom"/>
          </w:tcPr>
          <w:p>
            <w:pPr>
              <w:spacing w:after="0"/>
              <w:rPr>
                <w:sz w:val="12"/>
                <w:szCs w:val="12"/>
                <w:color w:val="auto"/>
              </w:rPr>
            </w:pPr>
          </w:p>
        </w:tc>
        <w:tc>
          <w:tcPr>
            <w:tcW w:w="1840" w:type="dxa"/>
            <w:vAlign w:val="bottom"/>
            <w:gridSpan w:val="2"/>
          </w:tcPr>
          <w:p>
            <w:pPr>
              <w:jc w:val="center"/>
              <w:ind w:right="206"/>
              <w:spacing w:after="0"/>
              <w:rPr>
                <w:sz w:val="20"/>
                <w:szCs w:val="20"/>
                <w:color w:val="auto"/>
              </w:rPr>
            </w:pPr>
            <w:r>
              <w:rPr>
                <w:rFonts w:ascii="Times New Roman" w:cs="Times New Roman" w:eastAsia="Times New Roman" w:hAnsi="Times New Roman"/>
                <w:sz w:val="13"/>
                <w:szCs w:val="13"/>
                <w:b w:val="1"/>
                <w:bCs w:val="1"/>
                <w:color w:val="auto"/>
              </w:rPr>
              <w:t>Example 3</w:t>
            </w:r>
          </w:p>
        </w:tc>
        <w:tc>
          <w:tcPr>
            <w:tcW w:w="0" w:type="dxa"/>
            <w:vAlign w:val="bottom"/>
          </w:tcPr>
          <w:p>
            <w:pPr>
              <w:spacing w:after="0"/>
              <w:rPr>
                <w:sz w:val="1"/>
                <w:szCs w:val="1"/>
                <w:color w:val="auto"/>
              </w:rPr>
            </w:pPr>
          </w:p>
        </w:tc>
      </w:tr>
      <w:tr>
        <w:trPr>
          <w:trHeight w:val="137"/>
        </w:trPr>
        <w:tc>
          <w:tcPr>
            <w:tcW w:w="3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2"/>
          </w:tcPr>
          <w:p>
            <w:pPr>
              <w:jc w:val="center"/>
              <w:ind w:right="346"/>
              <w:spacing w:after="0" w:line="138" w:lineRule="exact"/>
              <w:rPr>
                <w:sz w:val="20"/>
                <w:szCs w:val="20"/>
                <w:color w:val="auto"/>
              </w:rPr>
            </w:pPr>
            <w:r>
              <w:rPr>
                <w:rFonts w:ascii="Times New Roman" w:cs="Times New Roman" w:eastAsia="Times New Roman" w:hAnsi="Times New Roman"/>
                <w:sz w:val="13"/>
                <w:szCs w:val="13"/>
                <w:b w:val="1"/>
                <w:bCs w:val="1"/>
                <w:color w:val="auto"/>
              </w:rPr>
              <w:t>5% Offering</w:t>
            </w:r>
          </w:p>
        </w:tc>
        <w:tc>
          <w:tcPr>
            <w:tcW w:w="220" w:type="dxa"/>
            <w:vAlign w:val="bottom"/>
          </w:tcPr>
          <w:p>
            <w:pPr>
              <w:spacing w:after="0"/>
              <w:rPr>
                <w:sz w:val="11"/>
                <w:szCs w:val="11"/>
                <w:color w:val="auto"/>
              </w:rPr>
            </w:pPr>
          </w:p>
        </w:tc>
        <w:tc>
          <w:tcPr>
            <w:tcW w:w="1980" w:type="dxa"/>
            <w:vAlign w:val="bottom"/>
            <w:gridSpan w:val="2"/>
          </w:tcPr>
          <w:p>
            <w:pPr>
              <w:jc w:val="center"/>
              <w:ind w:right="326"/>
              <w:spacing w:after="0" w:line="138" w:lineRule="exact"/>
              <w:rPr>
                <w:sz w:val="20"/>
                <w:szCs w:val="20"/>
                <w:color w:val="auto"/>
              </w:rPr>
            </w:pPr>
            <w:r>
              <w:rPr>
                <w:rFonts w:ascii="Times New Roman" w:cs="Times New Roman" w:eastAsia="Times New Roman" w:hAnsi="Times New Roman"/>
                <w:sz w:val="13"/>
                <w:szCs w:val="13"/>
                <w:b w:val="1"/>
                <w:bCs w:val="1"/>
                <w:color w:val="auto"/>
              </w:rPr>
              <w:t>10% Offering</w:t>
            </w:r>
          </w:p>
        </w:tc>
        <w:tc>
          <w:tcPr>
            <w:tcW w:w="240" w:type="dxa"/>
            <w:vAlign w:val="bottom"/>
          </w:tcPr>
          <w:p>
            <w:pPr>
              <w:spacing w:after="0"/>
              <w:rPr>
                <w:sz w:val="11"/>
                <w:szCs w:val="11"/>
                <w:color w:val="auto"/>
              </w:rPr>
            </w:pPr>
          </w:p>
        </w:tc>
        <w:tc>
          <w:tcPr>
            <w:tcW w:w="1840" w:type="dxa"/>
            <w:vAlign w:val="bottom"/>
            <w:gridSpan w:val="2"/>
          </w:tcPr>
          <w:p>
            <w:pPr>
              <w:jc w:val="center"/>
              <w:ind w:right="226"/>
              <w:spacing w:after="0" w:line="138" w:lineRule="exact"/>
              <w:rPr>
                <w:sz w:val="20"/>
                <w:szCs w:val="20"/>
                <w:color w:val="auto"/>
              </w:rPr>
            </w:pPr>
            <w:r>
              <w:rPr>
                <w:rFonts w:ascii="Times New Roman" w:cs="Times New Roman" w:eastAsia="Times New Roman" w:hAnsi="Times New Roman"/>
                <w:sz w:val="13"/>
                <w:szCs w:val="13"/>
                <w:b w:val="1"/>
                <w:bCs w:val="1"/>
                <w:color w:val="auto"/>
              </w:rPr>
              <w:t>25% Offering</w:t>
            </w: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Prior to Sale</w:t>
            </w:r>
          </w:p>
        </w:tc>
        <w:tc>
          <w:tcPr>
            <w:tcW w:w="240" w:type="dxa"/>
            <w:vAlign w:val="bottom"/>
          </w:tcPr>
          <w:p>
            <w:pPr>
              <w:spacing w:after="0"/>
              <w:rPr>
                <w:sz w:val="13"/>
                <w:szCs w:val="13"/>
                <w:color w:val="auto"/>
              </w:rPr>
            </w:pPr>
          </w:p>
        </w:tc>
        <w:tc>
          <w:tcPr>
            <w:tcW w:w="1980" w:type="dxa"/>
            <w:vAlign w:val="bottom"/>
            <w:gridSpan w:val="2"/>
          </w:tcPr>
          <w:p>
            <w:pPr>
              <w:jc w:val="center"/>
              <w:ind w:right="346"/>
              <w:spacing w:after="0"/>
              <w:rPr>
                <w:sz w:val="20"/>
                <w:szCs w:val="20"/>
                <w:color w:val="auto"/>
              </w:rPr>
            </w:pPr>
            <w:r>
              <w:rPr>
                <w:rFonts w:ascii="Times New Roman" w:cs="Times New Roman" w:eastAsia="Times New Roman" w:hAnsi="Times New Roman"/>
                <w:sz w:val="13"/>
                <w:szCs w:val="13"/>
                <w:b w:val="1"/>
                <w:bCs w:val="1"/>
                <w:color w:val="auto"/>
              </w:rPr>
              <w:t>at 5% Discount</w:t>
            </w:r>
          </w:p>
        </w:tc>
        <w:tc>
          <w:tcPr>
            <w:tcW w:w="220" w:type="dxa"/>
            <w:vAlign w:val="bottom"/>
          </w:tcPr>
          <w:p>
            <w:pPr>
              <w:spacing w:after="0"/>
              <w:rPr>
                <w:sz w:val="13"/>
                <w:szCs w:val="13"/>
                <w:color w:val="auto"/>
              </w:rPr>
            </w:pPr>
          </w:p>
        </w:tc>
        <w:tc>
          <w:tcPr>
            <w:tcW w:w="1980" w:type="dxa"/>
            <w:vAlign w:val="bottom"/>
            <w:gridSpan w:val="2"/>
          </w:tcPr>
          <w:p>
            <w:pPr>
              <w:jc w:val="center"/>
              <w:ind w:right="326"/>
              <w:spacing w:after="0"/>
              <w:rPr>
                <w:sz w:val="20"/>
                <w:szCs w:val="20"/>
                <w:color w:val="auto"/>
              </w:rPr>
            </w:pPr>
            <w:r>
              <w:rPr>
                <w:rFonts w:ascii="Times New Roman" w:cs="Times New Roman" w:eastAsia="Times New Roman" w:hAnsi="Times New Roman"/>
                <w:sz w:val="13"/>
                <w:szCs w:val="13"/>
                <w:b w:val="1"/>
                <w:bCs w:val="1"/>
                <w:color w:val="auto"/>
              </w:rPr>
              <w:t>at 10% Discount</w:t>
            </w:r>
          </w:p>
        </w:tc>
        <w:tc>
          <w:tcPr>
            <w:tcW w:w="240" w:type="dxa"/>
            <w:vAlign w:val="bottom"/>
          </w:tcPr>
          <w:p>
            <w:pPr>
              <w:spacing w:after="0"/>
              <w:rPr>
                <w:sz w:val="13"/>
                <w:szCs w:val="13"/>
                <w:color w:val="auto"/>
              </w:rPr>
            </w:pPr>
          </w:p>
        </w:tc>
        <w:tc>
          <w:tcPr>
            <w:tcW w:w="1840" w:type="dxa"/>
            <w:vAlign w:val="bottom"/>
            <w:gridSpan w:val="2"/>
          </w:tcPr>
          <w:p>
            <w:pPr>
              <w:jc w:val="center"/>
              <w:ind w:right="226"/>
              <w:spacing w:after="0"/>
              <w:rPr>
                <w:sz w:val="20"/>
                <w:szCs w:val="20"/>
                <w:color w:val="auto"/>
              </w:rPr>
            </w:pPr>
            <w:r>
              <w:rPr>
                <w:rFonts w:ascii="Times New Roman" w:cs="Times New Roman" w:eastAsia="Times New Roman" w:hAnsi="Times New Roman"/>
                <w:sz w:val="13"/>
                <w:szCs w:val="13"/>
                <w:b w:val="1"/>
                <w:bCs w:val="1"/>
                <w:color w:val="auto"/>
              </w:rPr>
              <w:t>at 25% Discount</w:t>
            </w:r>
          </w:p>
        </w:tc>
        <w:tc>
          <w:tcPr>
            <w:tcW w:w="0" w:type="dxa"/>
            <w:vAlign w:val="bottom"/>
          </w:tcPr>
          <w:p>
            <w:pPr>
              <w:spacing w:after="0"/>
              <w:rPr>
                <w:sz w:val="1"/>
                <w:szCs w:val="1"/>
                <w:color w:val="auto"/>
              </w:rPr>
            </w:pPr>
          </w:p>
        </w:tc>
      </w:tr>
      <w:tr>
        <w:trPr>
          <w:trHeight w:val="134"/>
        </w:trPr>
        <w:tc>
          <w:tcPr>
            <w:tcW w:w="36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20" w:type="dxa"/>
            <w:vAlign w:val="bottom"/>
            <w:gridSpan w:val="2"/>
          </w:tcPr>
          <w:p>
            <w:pPr>
              <w:jc w:val="right"/>
              <w:ind w:right="267"/>
              <w:spacing w:after="0" w:line="134"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1100" w:type="dxa"/>
            <w:vAlign w:val="bottom"/>
            <w:vMerge w:val="restart"/>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100" w:type="dxa"/>
            <w:vAlign w:val="bottom"/>
            <w:gridSpan w:val="2"/>
          </w:tcPr>
          <w:p>
            <w:pPr>
              <w:jc w:val="right"/>
              <w:ind w:right="267"/>
              <w:spacing w:after="0" w:line="134"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1100" w:type="dxa"/>
            <w:vAlign w:val="bottom"/>
            <w:vMerge w:val="restart"/>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120" w:type="dxa"/>
            <w:vAlign w:val="bottom"/>
            <w:gridSpan w:val="2"/>
          </w:tcPr>
          <w:p>
            <w:pPr>
              <w:jc w:val="right"/>
              <w:ind w:right="267"/>
              <w:spacing w:after="0" w:line="134"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96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140" w:type="dxa"/>
            <w:vAlign w:val="bottom"/>
            <w:gridSpan w:val="2"/>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Below NAV</w:t>
            </w:r>
          </w:p>
        </w:tc>
        <w:tc>
          <w:tcPr>
            <w:tcW w:w="240" w:type="dxa"/>
            <w:vAlign w:val="bottom"/>
          </w:tcPr>
          <w:p>
            <w:pPr>
              <w:spacing w:after="0"/>
              <w:rPr>
                <w:sz w:val="14"/>
                <w:szCs w:val="14"/>
                <w:color w:val="auto"/>
              </w:rPr>
            </w:pPr>
          </w:p>
        </w:tc>
        <w:tc>
          <w:tcPr>
            <w:tcW w:w="880" w:type="dxa"/>
            <w:vAlign w:val="bottom"/>
          </w:tcPr>
          <w:p>
            <w:pPr>
              <w:jc w:val="right"/>
              <w:ind w:right="427"/>
              <w:spacing w:after="0"/>
              <w:rPr>
                <w:sz w:val="20"/>
                <w:szCs w:val="20"/>
                <w:color w:val="auto"/>
              </w:rPr>
            </w:pPr>
            <w:r>
              <w:rPr>
                <w:rFonts w:ascii="Times New Roman" w:cs="Times New Roman" w:eastAsia="Times New Roman" w:hAnsi="Times New Roman"/>
                <w:sz w:val="13"/>
                <w:szCs w:val="13"/>
                <w:b w:val="1"/>
                <w:bCs w:val="1"/>
                <w:color w:val="auto"/>
              </w:rPr>
              <w:t>Sale</w:t>
            </w: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427"/>
              <w:spacing w:after="0"/>
              <w:rPr>
                <w:sz w:val="20"/>
                <w:szCs w:val="20"/>
                <w:color w:val="auto"/>
              </w:rPr>
            </w:pPr>
            <w:r>
              <w:rPr>
                <w:rFonts w:ascii="Times New Roman" w:cs="Times New Roman" w:eastAsia="Times New Roman" w:hAnsi="Times New Roman"/>
                <w:sz w:val="13"/>
                <w:szCs w:val="13"/>
                <w:b w:val="1"/>
                <w:bCs w:val="1"/>
                <w:color w:val="auto"/>
              </w:rPr>
              <w:t>Sale</w:t>
            </w: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427"/>
              <w:spacing w:after="0"/>
              <w:rPr>
                <w:sz w:val="20"/>
                <w:szCs w:val="20"/>
                <w:color w:val="auto"/>
              </w:rPr>
            </w:pPr>
            <w:r>
              <w:rPr>
                <w:rFonts w:ascii="Times New Roman" w:cs="Times New Roman" w:eastAsia="Times New Roman" w:hAnsi="Times New Roman"/>
                <w:sz w:val="13"/>
                <w:szCs w:val="13"/>
                <w:b w:val="1"/>
                <w:bCs w:val="1"/>
                <w:color w:val="auto"/>
              </w:rPr>
              <w:t>Sale</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Offering Price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Price per share to public</w:t>
            </w:r>
          </w:p>
        </w:tc>
        <w:tc>
          <w:tcPr>
            <w:tcW w:w="240" w:type="dxa"/>
            <w:vAlign w:val="bottom"/>
          </w:tcPr>
          <w:p>
            <w:pPr>
              <w:spacing w:after="0"/>
              <w:rPr>
                <w:sz w:val="16"/>
                <w:szCs w:val="16"/>
                <w:color w:val="auto"/>
              </w:rPr>
            </w:pPr>
          </w:p>
        </w:tc>
        <w:tc>
          <w:tcPr>
            <w:tcW w:w="90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10.00</w:t>
            </w:r>
          </w:p>
        </w:tc>
        <w:tc>
          <w:tcPr>
            <w:tcW w:w="110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9.47</w:t>
            </w:r>
          </w:p>
        </w:tc>
        <w:tc>
          <w:tcPr>
            <w:tcW w:w="1100" w:type="dxa"/>
            <w:vAlign w:val="bottom"/>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7.89</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offering proceeds per share to issuer</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9.50</w:t>
            </w:r>
          </w:p>
        </w:tc>
        <w:tc>
          <w:tcPr>
            <w:tcW w:w="110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9.00</w:t>
            </w:r>
          </w:p>
        </w:tc>
        <w:tc>
          <w:tcPr>
            <w:tcW w:w="11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7.50</w:t>
            </w:r>
          </w:p>
        </w:tc>
        <w:tc>
          <w:tcPr>
            <w:tcW w:w="9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6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Decrease to NAV</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shares outstanding</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w w:val="99"/>
              </w:rPr>
              <w:t>1,000,000</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96"/>
              </w:rPr>
              <w:t>1,050,000</w:t>
            </w:r>
          </w:p>
        </w:tc>
        <w:tc>
          <w:tcPr>
            <w:tcW w:w="11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5.00%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96"/>
              </w:rPr>
              <w:t>1,100,000</w:t>
            </w: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10.00%</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93"/>
              </w:rPr>
              <w:t>1,250,000</w:t>
            </w: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25.00%</w:t>
            </w:r>
          </w:p>
        </w:tc>
        <w:tc>
          <w:tcPr>
            <w:tcW w:w="0" w:type="dxa"/>
            <w:vAlign w:val="bottom"/>
          </w:tcPr>
          <w:p>
            <w:pPr>
              <w:spacing w:after="0"/>
              <w:rPr>
                <w:sz w:val="1"/>
                <w:szCs w:val="1"/>
                <w:color w:val="auto"/>
              </w:rPr>
            </w:pPr>
          </w:p>
        </w:tc>
      </w:tr>
      <w:tr>
        <w:trPr>
          <w:trHeight w:val="187"/>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NAV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10.00</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9.98</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(0.20)%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9.91</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(0.90)%</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9.50</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Dilution to Stockholder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Shares held by stockholder A</w:t>
            </w:r>
          </w:p>
        </w:tc>
        <w:tc>
          <w:tcPr>
            <w:tcW w:w="240" w:type="dxa"/>
            <w:vAlign w:val="bottom"/>
          </w:tcPr>
          <w:p>
            <w:pPr>
              <w:spacing w:after="0"/>
              <w:rPr>
                <w:sz w:val="16"/>
                <w:szCs w:val="16"/>
                <w:color w:val="auto"/>
              </w:rPr>
            </w:pPr>
          </w:p>
        </w:tc>
        <w:tc>
          <w:tcPr>
            <w:tcW w:w="90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10,000</w:t>
            </w:r>
          </w:p>
        </w:tc>
        <w:tc>
          <w:tcPr>
            <w:tcW w:w="240" w:type="dxa"/>
            <w:vAlign w:val="bottom"/>
          </w:tcPr>
          <w:p>
            <w:pPr>
              <w:spacing w:after="0"/>
              <w:rPr>
                <w:sz w:val="16"/>
                <w:szCs w:val="16"/>
                <w:color w:val="auto"/>
              </w:rPr>
            </w:pPr>
          </w:p>
        </w:tc>
        <w:tc>
          <w:tcPr>
            <w:tcW w:w="8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10,000</w:t>
            </w:r>
          </w:p>
        </w:tc>
        <w:tc>
          <w:tcPr>
            <w:tcW w:w="110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spacing w:after="0"/>
              <w:rPr>
                <w:sz w:val="16"/>
                <w:szCs w:val="16"/>
                <w:color w:val="auto"/>
              </w:rPr>
            </w:pPr>
          </w:p>
        </w:tc>
        <w:tc>
          <w:tcPr>
            <w:tcW w:w="8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10,000</w:t>
            </w:r>
          </w:p>
        </w:tc>
        <w:tc>
          <w:tcPr>
            <w:tcW w:w="1100" w:type="dxa"/>
            <w:vAlign w:val="bottom"/>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spacing w:after="0"/>
              <w:rPr>
                <w:sz w:val="16"/>
                <w:szCs w:val="16"/>
                <w:color w:val="auto"/>
              </w:rPr>
            </w:pP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10,000</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Percentage held by stockholder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1.00%</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0.95%</w:t>
            </w:r>
          </w:p>
        </w:tc>
        <w:tc>
          <w:tcPr>
            <w:tcW w:w="11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(5.00)%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0.91%</w:t>
            </w:r>
          </w:p>
        </w:tc>
        <w:tc>
          <w:tcPr>
            <w:tcW w:w="11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(9.00)%</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0.80%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0" w:type="dxa"/>
            <w:vAlign w:val="bottom"/>
          </w:tcPr>
          <w:p>
            <w:pPr>
              <w:spacing w:after="0"/>
              <w:rPr>
                <w:sz w:val="1"/>
                <w:szCs w:val="1"/>
                <w:color w:val="auto"/>
              </w:rPr>
            </w:pPr>
          </w:p>
        </w:tc>
      </w:tr>
      <w:tr>
        <w:trPr>
          <w:trHeight w:val="187"/>
        </w:trPr>
        <w:tc>
          <w:tcPr>
            <w:tcW w:w="3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 Values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NAV held by stockholder A</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100,000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99,800</w:t>
            </w:r>
          </w:p>
        </w:tc>
        <w:tc>
          <w:tcPr>
            <w:tcW w:w="11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(0.20)%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99,100</w:t>
            </w:r>
          </w:p>
        </w:tc>
        <w:tc>
          <w:tcPr>
            <w:tcW w:w="11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(0.90)%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95,000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Total investment by stockholder A (assumed to be $10.00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100,000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100,000</w:t>
            </w:r>
          </w:p>
        </w:tc>
        <w:tc>
          <w:tcPr>
            <w:tcW w:w="110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100,000</w:t>
            </w:r>
          </w:p>
        </w:tc>
        <w:tc>
          <w:tcPr>
            <w:tcW w:w="1100" w:type="dxa"/>
            <w:vAlign w:val="bottom"/>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100,000</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dilution to stockholder A (total NAV less total</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investment)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(200)</w:t>
            </w:r>
          </w:p>
        </w:tc>
        <w:tc>
          <w:tcPr>
            <w:tcW w:w="110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(900)</w:t>
            </w:r>
          </w:p>
        </w:tc>
        <w:tc>
          <w:tcPr>
            <w:tcW w:w="11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(5,000)</w:t>
            </w:r>
          </w:p>
        </w:tc>
        <w:tc>
          <w:tcPr>
            <w:tcW w:w="9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Per Share Amounts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NAV per share held by stockholder 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9.98</w:t>
            </w:r>
          </w:p>
        </w:tc>
        <w:tc>
          <w:tcPr>
            <w:tcW w:w="110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rPr>
              <w:t>9.91</w:t>
            </w:r>
          </w:p>
        </w:tc>
        <w:tc>
          <w:tcPr>
            <w:tcW w:w="11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9.50</w:t>
            </w:r>
          </w:p>
        </w:tc>
        <w:tc>
          <w:tcPr>
            <w:tcW w:w="9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Investment per share held by stockholder A (assumed to</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be $10.00 per share on shares held prior to sale)</w:t>
            </w:r>
          </w:p>
        </w:tc>
        <w:tc>
          <w:tcPr>
            <w:tcW w:w="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10.00</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10.00</w:t>
            </w:r>
          </w:p>
        </w:tc>
        <w:tc>
          <w:tcPr>
            <w:tcW w:w="110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10.00</w:t>
            </w:r>
          </w:p>
        </w:tc>
        <w:tc>
          <w:tcPr>
            <w:tcW w:w="1100" w:type="dxa"/>
            <w:vAlign w:val="bottom"/>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10.00</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per share held by stockholder A (NAV per share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investment per share)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(0.02)</w:t>
            </w:r>
          </w:p>
        </w:tc>
        <w:tc>
          <w:tcPr>
            <w:tcW w:w="110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(0.09)</w:t>
            </w:r>
          </w:p>
        </w:tc>
        <w:tc>
          <w:tcPr>
            <w:tcW w:w="11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(0.50)</w:t>
            </w:r>
          </w:p>
        </w:tc>
        <w:tc>
          <w:tcPr>
            <w:tcW w:w="9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Percentage dilution to stockholder A (dilution per share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divided by investment per share)</w:t>
            </w:r>
          </w:p>
        </w:tc>
        <w:tc>
          <w:tcPr>
            <w:tcW w:w="240" w:type="dxa"/>
            <w:vAlign w:val="bottom"/>
          </w:tcPr>
          <w:p>
            <w:pPr>
              <w:spacing w:after="0"/>
              <w:rPr>
                <w:sz w:val="16"/>
                <w:szCs w:val="16"/>
                <w:color w:val="auto"/>
              </w:rPr>
            </w:pPr>
          </w:p>
        </w:tc>
        <w:tc>
          <w:tcPr>
            <w:tcW w:w="90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spacing w:after="0"/>
              <w:rPr>
                <w:sz w:val="16"/>
                <w:szCs w:val="16"/>
                <w:color w:val="auto"/>
              </w:rPr>
            </w:pPr>
          </w:p>
        </w:tc>
        <w:tc>
          <w:tcPr>
            <w:tcW w:w="8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(0.20)%</w:t>
            </w:r>
          </w:p>
        </w:tc>
        <w:tc>
          <w:tcPr>
            <w:tcW w:w="220" w:type="dxa"/>
            <w:vAlign w:val="bottom"/>
          </w:tcPr>
          <w:p>
            <w:pPr>
              <w:spacing w:after="0"/>
              <w:rPr>
                <w:sz w:val="16"/>
                <w:szCs w:val="16"/>
                <w:color w:val="auto"/>
              </w:rPr>
            </w:pPr>
          </w:p>
        </w:tc>
        <w:tc>
          <w:tcPr>
            <w:tcW w:w="8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(0.90)%</w:t>
            </w:r>
          </w:p>
        </w:tc>
        <w:tc>
          <w:tcPr>
            <w:tcW w:w="240" w:type="dxa"/>
            <w:vAlign w:val="bottom"/>
          </w:tcPr>
          <w:p>
            <w:pPr>
              <w:spacing w:after="0"/>
              <w:rPr>
                <w:sz w:val="16"/>
                <w:szCs w:val="16"/>
                <w:color w:val="auto"/>
              </w:rPr>
            </w:pPr>
          </w:p>
        </w:tc>
        <w:tc>
          <w:tcPr>
            <w:tcW w:w="8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on Existing Stockholders who Participate in the Offering</w:t>
      </w:r>
    </w:p>
    <w:p>
      <w:pPr>
        <w:spacing w:after="0" w:line="108" w:lineRule="exact"/>
        <w:rPr>
          <w:sz w:val="20"/>
          <w:szCs w:val="20"/>
          <w:color w:val="auto"/>
        </w:rPr>
      </w:pPr>
    </w:p>
    <w:p>
      <w:pPr>
        <w:ind w:firstLine="450"/>
        <w:spacing w:after="0" w:line="264" w:lineRule="auto"/>
        <w:rPr>
          <w:sz w:val="20"/>
          <w:szCs w:val="20"/>
          <w:color w:val="auto"/>
        </w:rPr>
      </w:pPr>
      <w:r>
        <w:rPr>
          <w:rFonts w:ascii="Times New Roman" w:cs="Times New Roman" w:eastAsia="Times New Roman" w:hAnsi="Times New Roman"/>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285" w:right="339" w:bottom="1440" w:gutter="0" w:footer="0" w:header="0"/>
        </w:sectPr>
      </w:pPr>
    </w:p>
    <w:bookmarkStart w:id="22" w:name="page23"/>
    <w:bookmarkEnd w:id="22"/>
    <w:p>
      <w:pPr>
        <w:ind w:right="20" w:firstLine="45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320" w:type="dxa"/>
            <w:vAlign w:val="bottom"/>
          </w:tcPr>
          <w:p>
            <w:pPr>
              <w:spacing w:after="0"/>
              <w:rPr>
                <w:sz w:val="13"/>
                <w:szCs w:val="13"/>
                <w:color w:val="auto"/>
              </w:rPr>
            </w:pP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Prior to Sale</w:t>
            </w:r>
          </w:p>
        </w:tc>
        <w:tc>
          <w:tcPr>
            <w:tcW w:w="280" w:type="dxa"/>
            <w:vAlign w:val="bottom"/>
          </w:tcPr>
          <w:p>
            <w:pPr>
              <w:spacing w:after="0"/>
              <w:rPr>
                <w:sz w:val="13"/>
                <w:szCs w:val="13"/>
                <w:color w:val="auto"/>
              </w:rPr>
            </w:pPr>
          </w:p>
        </w:tc>
        <w:tc>
          <w:tcPr>
            <w:tcW w:w="2100" w:type="dxa"/>
            <w:vAlign w:val="bottom"/>
            <w:gridSpan w:val="2"/>
          </w:tcPr>
          <w:p>
            <w:pPr>
              <w:jc w:val="right"/>
              <w:ind w:right="686"/>
              <w:spacing w:after="0"/>
              <w:rPr>
                <w:sz w:val="20"/>
                <w:szCs w:val="20"/>
                <w:color w:val="auto"/>
              </w:rPr>
            </w:pPr>
            <w:r>
              <w:rPr>
                <w:rFonts w:ascii="Times New Roman" w:cs="Times New Roman" w:eastAsia="Times New Roman" w:hAnsi="Times New Roman"/>
                <w:sz w:val="13"/>
                <w:szCs w:val="13"/>
                <w:b w:val="1"/>
                <w:bCs w:val="1"/>
                <w:color w:val="auto"/>
              </w:rPr>
              <w:t>50% Participation</w:t>
            </w:r>
          </w:p>
        </w:tc>
        <w:tc>
          <w:tcPr>
            <w:tcW w:w="300" w:type="dxa"/>
            <w:vAlign w:val="bottom"/>
          </w:tcPr>
          <w:p>
            <w:pPr>
              <w:spacing w:after="0"/>
              <w:rPr>
                <w:sz w:val="13"/>
                <w:szCs w:val="13"/>
                <w:color w:val="auto"/>
              </w:rPr>
            </w:pPr>
          </w:p>
        </w:tc>
        <w:tc>
          <w:tcPr>
            <w:tcW w:w="1940" w:type="dxa"/>
            <w:vAlign w:val="bottom"/>
            <w:gridSpan w:val="2"/>
          </w:tcPr>
          <w:p>
            <w:pPr>
              <w:jc w:val="right"/>
              <w:ind w:right="486"/>
              <w:spacing w:after="0"/>
              <w:rPr>
                <w:sz w:val="20"/>
                <w:szCs w:val="20"/>
                <w:color w:val="auto"/>
              </w:rPr>
            </w:pPr>
            <w:r>
              <w:rPr>
                <w:rFonts w:ascii="Times New Roman" w:cs="Times New Roman" w:eastAsia="Times New Roman" w:hAnsi="Times New Roman"/>
                <w:sz w:val="13"/>
                <w:szCs w:val="13"/>
                <w:b w:val="1"/>
                <w:bCs w:val="1"/>
                <w:color w:val="auto"/>
              </w:rPr>
              <w:t>150% Participation</w:t>
            </w:r>
          </w:p>
        </w:tc>
        <w:tc>
          <w:tcPr>
            <w:tcW w:w="0" w:type="dxa"/>
            <w:vAlign w:val="bottom"/>
          </w:tcPr>
          <w:p>
            <w:pPr>
              <w:spacing w:after="0"/>
              <w:rPr>
                <w:sz w:val="1"/>
                <w:szCs w:val="1"/>
                <w:color w:val="auto"/>
              </w:rPr>
            </w:pPr>
          </w:p>
        </w:tc>
      </w:tr>
      <w:tr>
        <w:trPr>
          <w:trHeight w:val="134"/>
        </w:trPr>
        <w:tc>
          <w:tcPr>
            <w:tcW w:w="53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0" w:type="dxa"/>
            <w:vAlign w:val="bottom"/>
            <w:gridSpan w:val="2"/>
          </w:tcPr>
          <w:p>
            <w:pPr>
              <w:jc w:val="right"/>
              <w:ind w:right="306"/>
              <w:spacing w:after="0" w:line="134"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1180" w:type="dxa"/>
            <w:vAlign w:val="bottom"/>
            <w:vMerge w:val="restart"/>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gridSpan w:val="2"/>
          </w:tcPr>
          <w:p>
            <w:pPr>
              <w:jc w:val="right"/>
              <w:ind w:right="306"/>
              <w:spacing w:after="0" w:line="134"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102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300" w:type="dxa"/>
            <w:vAlign w:val="bottom"/>
            <w:gridSpan w:val="2"/>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Below NAV</w:t>
            </w:r>
          </w:p>
        </w:tc>
        <w:tc>
          <w:tcPr>
            <w:tcW w:w="280" w:type="dxa"/>
            <w:vAlign w:val="bottom"/>
          </w:tcPr>
          <w:p>
            <w:pPr>
              <w:spacing w:after="0"/>
              <w:rPr>
                <w:sz w:val="14"/>
                <w:szCs w:val="14"/>
                <w:color w:val="auto"/>
              </w:rPr>
            </w:pPr>
          </w:p>
        </w:tc>
        <w:tc>
          <w:tcPr>
            <w:tcW w:w="920" w:type="dxa"/>
            <w:vAlign w:val="bottom"/>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Sale</w:t>
            </w: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Sale</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Offering Price</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20"/>
                <w:szCs w:val="20"/>
                <w:color w:val="auto"/>
              </w:rPr>
            </w:pPr>
            <w:r>
              <w:rPr>
                <w:rFonts w:ascii="Times New Roman" w:cs="Times New Roman" w:eastAsia="Times New Roman" w:hAnsi="Times New Roman"/>
                <w:sz w:val="15"/>
                <w:szCs w:val="15"/>
                <w:color w:val="auto"/>
              </w:rPr>
              <w:t>Price per share to public</w:t>
            </w:r>
          </w:p>
        </w:tc>
        <w:tc>
          <w:tcPr>
            <w:tcW w:w="360" w:type="dxa"/>
            <w:vAlign w:val="bottom"/>
          </w:tcPr>
          <w:p>
            <w:pPr>
              <w:spacing w:after="0"/>
              <w:rPr>
                <w:sz w:val="16"/>
                <w:szCs w:val="16"/>
                <w:color w:val="auto"/>
              </w:rPr>
            </w:pPr>
          </w:p>
        </w:tc>
        <w:tc>
          <w:tcPr>
            <w:tcW w:w="940" w:type="dxa"/>
            <w:vAlign w:val="bottom"/>
          </w:tcPr>
          <w:p>
            <w:pPr>
              <w:jc w:val="right"/>
              <w:ind w:right="285"/>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rPr>
              <w:t>7.89</w:t>
            </w:r>
          </w:p>
        </w:tc>
        <w:tc>
          <w:tcPr>
            <w:tcW w:w="1180" w:type="dxa"/>
            <w:vAlign w:val="bottom"/>
          </w:tcPr>
          <w:p>
            <w:pPr>
              <w:jc w:val="right"/>
              <w:ind w:right="326"/>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rPr>
              <w:t>7.89</w:t>
            </w:r>
          </w:p>
        </w:tc>
        <w:tc>
          <w:tcPr>
            <w:tcW w:w="102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proceeds per share to issuer</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rPr>
              <w:t>7.50</w:t>
            </w:r>
          </w:p>
        </w:tc>
        <w:tc>
          <w:tcPr>
            <w:tcW w:w="118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7.50</w:t>
            </w:r>
          </w:p>
        </w:tc>
        <w:tc>
          <w:tcPr>
            <w:tcW w:w="102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Increases in Shares and Decrease to NAV</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shares outstanding</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w w:val="99"/>
              </w:rPr>
              <w:t>1,000,000</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w w:val="96"/>
              </w:rPr>
              <w:t>1,250,000</w:t>
            </w:r>
          </w:p>
        </w:tc>
        <w:tc>
          <w:tcPr>
            <w:tcW w:w="11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25.00%</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w w:val="93"/>
              </w:rPr>
              <w:t>1,250,000</w:t>
            </w: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25.00%</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20"/>
                <w:szCs w:val="20"/>
                <w:color w:val="auto"/>
              </w:rPr>
            </w:pPr>
            <w:r>
              <w:rPr>
                <w:rFonts w:ascii="Times New Roman" w:cs="Times New Roman" w:eastAsia="Times New Roman" w:hAnsi="Times New Roman"/>
                <w:sz w:val="15"/>
                <w:szCs w:val="15"/>
                <w:color w:val="auto"/>
              </w:rPr>
              <w:t>NAV per share</w:t>
            </w:r>
          </w:p>
        </w:tc>
        <w:tc>
          <w:tcPr>
            <w:tcW w:w="3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rPr>
              <w:t>9.50</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(5.00)%</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rPr>
              <w:t>9.50</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18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(Dilution)/Accretion to Participating Stockholder A</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20"/>
                <w:szCs w:val="20"/>
                <w:color w:val="auto"/>
              </w:rPr>
            </w:pPr>
            <w:r>
              <w:rPr>
                <w:rFonts w:ascii="Times New Roman" w:cs="Times New Roman" w:eastAsia="Times New Roman" w:hAnsi="Times New Roman"/>
                <w:sz w:val="15"/>
                <w:szCs w:val="15"/>
                <w:color w:val="auto"/>
              </w:rPr>
              <w:t>Shares held by stockholder A</w:t>
            </w:r>
          </w:p>
        </w:tc>
        <w:tc>
          <w:tcPr>
            <w:tcW w:w="360" w:type="dxa"/>
            <w:vAlign w:val="bottom"/>
          </w:tcPr>
          <w:p>
            <w:pPr>
              <w:spacing w:after="0"/>
              <w:rPr>
                <w:sz w:val="16"/>
                <w:szCs w:val="16"/>
                <w:color w:val="auto"/>
              </w:rPr>
            </w:pPr>
          </w:p>
        </w:tc>
        <w:tc>
          <w:tcPr>
            <w:tcW w:w="94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10,000</w:t>
            </w:r>
          </w:p>
        </w:tc>
        <w:tc>
          <w:tcPr>
            <w:tcW w:w="280" w:type="dxa"/>
            <w:vAlign w:val="bottom"/>
          </w:tcPr>
          <w:p>
            <w:pPr>
              <w:spacing w:after="0"/>
              <w:rPr>
                <w:sz w:val="16"/>
                <w:szCs w:val="16"/>
                <w:color w:val="auto"/>
              </w:rPr>
            </w:pP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rPr>
              <w:t>11,250</w:t>
            </w:r>
          </w:p>
        </w:tc>
        <w:tc>
          <w:tcPr>
            <w:tcW w:w="11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12.50%</w:t>
            </w:r>
          </w:p>
        </w:tc>
        <w:tc>
          <w:tcPr>
            <w:tcW w:w="300" w:type="dxa"/>
            <w:vAlign w:val="bottom"/>
          </w:tcPr>
          <w:p>
            <w:pPr>
              <w:spacing w:after="0"/>
              <w:rPr>
                <w:sz w:val="16"/>
                <w:szCs w:val="16"/>
                <w:color w:val="auto"/>
              </w:rPr>
            </w:pPr>
          </w:p>
        </w:tc>
        <w:tc>
          <w:tcPr>
            <w:tcW w:w="92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rPr>
              <w:t>13,750</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37.50%</w:t>
            </w:r>
          </w:p>
        </w:tc>
        <w:tc>
          <w:tcPr>
            <w:tcW w:w="0" w:type="dxa"/>
            <w:vAlign w:val="bottom"/>
          </w:tcPr>
          <w:p>
            <w:pPr>
              <w:spacing w:after="0"/>
              <w:rPr>
                <w:sz w:val="1"/>
                <w:szCs w:val="1"/>
                <w:color w:val="auto"/>
              </w:rPr>
            </w:pPr>
          </w:p>
        </w:tc>
      </w:tr>
      <w:tr>
        <w:trPr>
          <w:trHeight w:val="18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Percentage held by stockholder A</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1.00%</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0.90%</w:t>
            </w:r>
          </w:p>
        </w:tc>
        <w:tc>
          <w:tcPr>
            <w:tcW w:w="11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(10.00)%</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1.10%</w:t>
            </w: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 Values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NAV held by stockholder A</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rPr>
              <w:t>100,000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rPr>
              <w:t>106,875</w:t>
            </w:r>
          </w:p>
        </w:tc>
        <w:tc>
          <w:tcPr>
            <w:tcW w:w="11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6.88%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130,625</w:t>
            </w: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30.63%</w:t>
            </w:r>
          </w:p>
        </w:tc>
        <w:tc>
          <w:tcPr>
            <w:tcW w:w="0" w:type="dxa"/>
            <w:vAlign w:val="bottom"/>
          </w:tcPr>
          <w:p>
            <w:pPr>
              <w:spacing w:after="0"/>
              <w:rPr>
                <w:sz w:val="1"/>
                <w:szCs w:val="1"/>
                <w:color w:val="auto"/>
              </w:rPr>
            </w:pPr>
          </w:p>
        </w:tc>
      </w:tr>
      <w:tr>
        <w:trPr>
          <w:trHeight w:val="175"/>
        </w:trPr>
        <w:tc>
          <w:tcPr>
            <w:tcW w:w="5320" w:type="dxa"/>
            <w:vAlign w:val="bottom"/>
          </w:tcPr>
          <w:p>
            <w:pPr>
              <w:spacing w:after="0"/>
              <w:rPr>
                <w:sz w:val="20"/>
                <w:szCs w:val="20"/>
                <w:color w:val="auto"/>
              </w:rPr>
            </w:pPr>
            <w:r>
              <w:rPr>
                <w:rFonts w:ascii="Times New Roman" w:cs="Times New Roman" w:eastAsia="Times New Roman" w:hAnsi="Times New Roman"/>
                <w:sz w:val="15"/>
                <w:szCs w:val="15"/>
                <w:color w:val="auto"/>
              </w:rPr>
              <w:t>Total investment by stockholder A (assumed to be $10.00 per share on shares held</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prior to sale)</w:t>
            </w:r>
          </w:p>
        </w:tc>
        <w:tc>
          <w:tcPr>
            <w:tcW w:w="3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100,000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rPr>
              <w:t>109,863</w:t>
            </w:r>
          </w:p>
        </w:tc>
        <w:tc>
          <w:tcPr>
            <w:tcW w:w="11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9.86%</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rPr>
              <w:t>129,588</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29.59%</w:t>
            </w:r>
          </w:p>
        </w:tc>
        <w:tc>
          <w:tcPr>
            <w:tcW w:w="0" w:type="dxa"/>
            <w:vAlign w:val="bottom"/>
          </w:tcPr>
          <w:p>
            <w:pPr>
              <w:spacing w:after="0"/>
              <w:rPr>
                <w:sz w:val="1"/>
                <w:szCs w:val="1"/>
                <w:color w:val="auto"/>
              </w:rPr>
            </w:pPr>
          </w:p>
        </w:tc>
      </w:tr>
      <w:tr>
        <w:trPr>
          <w:trHeight w:val="19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(dilution)/accretion to stockholder A (total NAV less total investment)</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(2,988)</w:t>
            </w:r>
          </w:p>
        </w:tc>
        <w:tc>
          <w:tcPr>
            <w:tcW w:w="118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1,037</w:t>
            </w:r>
          </w:p>
        </w:tc>
        <w:tc>
          <w:tcPr>
            <w:tcW w:w="102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Per Share Amounts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NAV per share held by stockholder A</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rPr>
              <w:t>9.50</w:t>
            </w:r>
          </w:p>
        </w:tc>
        <w:tc>
          <w:tcPr>
            <w:tcW w:w="118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9.50</w:t>
            </w:r>
          </w:p>
        </w:tc>
        <w:tc>
          <w:tcPr>
            <w:tcW w:w="102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5"/>
        </w:trPr>
        <w:tc>
          <w:tcPr>
            <w:tcW w:w="5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Investment per share held by stockholder A (assumed to be $10.00 per share on</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shares held prior to sale)</w:t>
            </w:r>
          </w:p>
        </w:tc>
        <w:tc>
          <w:tcPr>
            <w:tcW w:w="3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rPr>
              <w:t>9.77</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(2.30)%</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rPr>
              <w:t>9.42</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0" w:type="dxa"/>
            <w:vAlign w:val="bottom"/>
          </w:tcPr>
          <w:p>
            <w:pPr>
              <w:spacing w:after="0"/>
              <w:rPr>
                <w:sz w:val="1"/>
                <w:szCs w:val="1"/>
                <w:color w:val="auto"/>
              </w:rPr>
            </w:pPr>
          </w:p>
        </w:tc>
      </w:tr>
      <w:tr>
        <w:trPr>
          <w:trHeight w:val="178"/>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(Dilution)/accretion per share held by stockholder A (NAV per share less</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investment per share)</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(0.27)</w:t>
            </w:r>
          </w:p>
        </w:tc>
        <w:tc>
          <w:tcPr>
            <w:tcW w:w="118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0.08</w:t>
            </w:r>
          </w:p>
        </w:tc>
        <w:tc>
          <w:tcPr>
            <w:tcW w:w="102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5"/>
        </w:trPr>
        <w:tc>
          <w:tcPr>
            <w:tcW w:w="5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Percentage (dilution)/accretion to stockholder A (dilution)/accretion per share</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32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divided by investment per share</w:t>
            </w:r>
          </w:p>
        </w:tc>
        <w:tc>
          <w:tcPr>
            <w:tcW w:w="360" w:type="dxa"/>
            <w:vAlign w:val="bottom"/>
          </w:tcPr>
          <w:p>
            <w:pPr>
              <w:spacing w:after="0"/>
              <w:rPr>
                <w:sz w:val="16"/>
                <w:szCs w:val="16"/>
                <w:color w:val="auto"/>
              </w:rPr>
            </w:pPr>
          </w:p>
        </w:tc>
        <w:tc>
          <w:tcPr>
            <w:tcW w:w="940" w:type="dxa"/>
            <w:vAlign w:val="bottom"/>
          </w:tcPr>
          <w:p>
            <w:pPr>
              <w:jc w:val="right"/>
              <w:ind w:right="285"/>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6"/>
                <w:szCs w:val="16"/>
                <w:color w:val="auto"/>
              </w:rPr>
            </w:pPr>
          </w:p>
        </w:tc>
        <w:tc>
          <w:tcPr>
            <w:tcW w:w="920" w:type="dxa"/>
            <w:vAlign w:val="bottom"/>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(2.76)%</w:t>
            </w:r>
          </w:p>
        </w:tc>
        <w:tc>
          <w:tcPr>
            <w:tcW w:w="300" w:type="dxa"/>
            <w:vAlign w:val="bottom"/>
          </w:tcPr>
          <w:p>
            <w:pPr>
              <w:spacing w:after="0"/>
              <w:rPr>
                <w:sz w:val="16"/>
                <w:szCs w:val="16"/>
                <w:color w:val="auto"/>
              </w:rPr>
            </w:pPr>
          </w:p>
        </w:tc>
        <w:tc>
          <w:tcPr>
            <w:tcW w:w="920" w:type="dxa"/>
            <w:vAlign w:val="bottom"/>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0.85%</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on New Investors</w:t>
      </w:r>
    </w:p>
    <w:p>
      <w:pPr>
        <w:spacing w:after="0" w:line="108"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17"/>
          <w:szCs w:val="17"/>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70" w:lineRule="exact"/>
        <w:rPr>
          <w:sz w:val="20"/>
          <w:szCs w:val="20"/>
          <w:color w:val="auto"/>
        </w:rPr>
      </w:pPr>
    </w:p>
    <w:p>
      <w:pPr>
        <w:ind w:right="40" w:firstLine="450"/>
        <w:spacing w:after="0" w:line="248" w:lineRule="auto"/>
        <w:rPr>
          <w:sz w:val="20"/>
          <w:szCs w:val="20"/>
          <w:color w:val="auto"/>
        </w:rPr>
      </w:pPr>
      <w:r>
        <w:rPr>
          <w:rFonts w:ascii="Times New Roman" w:cs="Times New Roman" w:eastAsia="Times New Roman" w:hAnsi="Times New Roman"/>
          <w:sz w:val="17"/>
          <w:szCs w:val="17"/>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285" w:right="339" w:bottom="1440" w:gutter="0" w:footer="0" w:header="0"/>
        </w:sectPr>
      </w:pPr>
    </w:p>
    <w:bookmarkStart w:id="23" w:name="page24"/>
    <w:bookmarkEnd w:id="23"/>
    <w:p>
      <w:pPr>
        <w:ind w:right="14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755" cy="52070"/>
                    </a:xfrm>
                    <a:prstGeom prst="rect">
                      <a:avLst/>
                    </a:prstGeom>
                    <a:noFill/>
                  </pic:spPr>
                </pic:pic>
              </a:graphicData>
            </a:graphic>
          </wp:anchor>
        </w:drawing>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70"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gridSpan w:val="2"/>
          </w:tcPr>
          <w:p>
            <w:pPr>
              <w:jc w:val="center"/>
              <w:ind w:right="366"/>
              <w:spacing w:after="0"/>
              <w:rPr>
                <w:sz w:val="20"/>
                <w:szCs w:val="20"/>
                <w:color w:val="auto"/>
              </w:rPr>
            </w:pPr>
            <w:r>
              <w:rPr>
                <w:rFonts w:ascii="Times New Roman" w:cs="Times New Roman" w:eastAsia="Times New Roman" w:hAnsi="Times New Roman"/>
                <w:sz w:val="13"/>
                <w:szCs w:val="13"/>
                <w:b w:val="1"/>
                <w:bCs w:val="1"/>
                <w:color w:val="auto"/>
              </w:rPr>
              <w:t>Example 1</w:t>
            </w:r>
          </w:p>
        </w:tc>
        <w:tc>
          <w:tcPr>
            <w:tcW w:w="240" w:type="dxa"/>
            <w:vAlign w:val="bottom"/>
          </w:tcPr>
          <w:p>
            <w:pPr>
              <w:spacing w:after="0"/>
              <w:rPr>
                <w:sz w:val="12"/>
                <w:szCs w:val="12"/>
                <w:color w:val="auto"/>
              </w:rPr>
            </w:pPr>
          </w:p>
        </w:tc>
        <w:tc>
          <w:tcPr>
            <w:tcW w:w="2020" w:type="dxa"/>
            <w:vAlign w:val="bottom"/>
            <w:gridSpan w:val="2"/>
          </w:tcPr>
          <w:p>
            <w:pPr>
              <w:jc w:val="center"/>
              <w:ind w:right="346"/>
              <w:spacing w:after="0"/>
              <w:rPr>
                <w:sz w:val="20"/>
                <w:szCs w:val="20"/>
                <w:color w:val="auto"/>
              </w:rPr>
            </w:pPr>
            <w:r>
              <w:rPr>
                <w:rFonts w:ascii="Times New Roman" w:cs="Times New Roman" w:eastAsia="Times New Roman" w:hAnsi="Times New Roman"/>
                <w:sz w:val="13"/>
                <w:szCs w:val="13"/>
                <w:b w:val="1"/>
                <w:bCs w:val="1"/>
                <w:color w:val="auto"/>
              </w:rPr>
              <w:t>Example 2</w:t>
            </w:r>
          </w:p>
        </w:tc>
        <w:tc>
          <w:tcPr>
            <w:tcW w:w="240" w:type="dxa"/>
            <w:vAlign w:val="bottom"/>
          </w:tcPr>
          <w:p>
            <w:pPr>
              <w:spacing w:after="0"/>
              <w:rPr>
                <w:sz w:val="12"/>
                <w:szCs w:val="12"/>
                <w:color w:val="auto"/>
              </w:rPr>
            </w:pPr>
          </w:p>
        </w:tc>
        <w:tc>
          <w:tcPr>
            <w:tcW w:w="1880" w:type="dxa"/>
            <w:vAlign w:val="bottom"/>
            <w:gridSpan w:val="2"/>
          </w:tcPr>
          <w:p>
            <w:pPr>
              <w:jc w:val="center"/>
              <w:ind w:right="206"/>
              <w:spacing w:after="0"/>
              <w:rPr>
                <w:sz w:val="20"/>
                <w:szCs w:val="20"/>
                <w:color w:val="auto"/>
              </w:rPr>
            </w:pPr>
            <w:r>
              <w:rPr>
                <w:rFonts w:ascii="Times New Roman" w:cs="Times New Roman" w:eastAsia="Times New Roman" w:hAnsi="Times New Roman"/>
                <w:sz w:val="13"/>
                <w:szCs w:val="13"/>
                <w:b w:val="1"/>
                <w:bCs w:val="1"/>
                <w:color w:val="auto"/>
              </w:rPr>
              <w:t>Example 3</w:t>
            </w:r>
          </w:p>
        </w:tc>
        <w:tc>
          <w:tcPr>
            <w:tcW w:w="0" w:type="dxa"/>
            <w:vAlign w:val="bottom"/>
          </w:tcPr>
          <w:p>
            <w:pPr>
              <w:spacing w:after="0"/>
              <w:rPr>
                <w:sz w:val="1"/>
                <w:szCs w:val="1"/>
                <w:color w:val="auto"/>
              </w:rPr>
            </w:pPr>
          </w:p>
        </w:tc>
      </w:tr>
      <w:tr>
        <w:trPr>
          <w:trHeight w:val="137"/>
        </w:trPr>
        <w:tc>
          <w:tcPr>
            <w:tcW w:w="3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gridSpan w:val="2"/>
          </w:tcPr>
          <w:p>
            <w:pPr>
              <w:jc w:val="center"/>
              <w:ind w:right="366"/>
              <w:spacing w:after="0" w:line="138" w:lineRule="exact"/>
              <w:rPr>
                <w:sz w:val="20"/>
                <w:szCs w:val="20"/>
                <w:color w:val="auto"/>
              </w:rPr>
            </w:pPr>
            <w:r>
              <w:rPr>
                <w:rFonts w:ascii="Times New Roman" w:cs="Times New Roman" w:eastAsia="Times New Roman" w:hAnsi="Times New Roman"/>
                <w:sz w:val="13"/>
                <w:szCs w:val="13"/>
                <w:b w:val="1"/>
                <w:bCs w:val="1"/>
                <w:color w:val="auto"/>
              </w:rPr>
              <w:t>5% Offering</w:t>
            </w:r>
          </w:p>
        </w:tc>
        <w:tc>
          <w:tcPr>
            <w:tcW w:w="240" w:type="dxa"/>
            <w:vAlign w:val="bottom"/>
          </w:tcPr>
          <w:p>
            <w:pPr>
              <w:spacing w:after="0"/>
              <w:rPr>
                <w:sz w:val="11"/>
                <w:szCs w:val="11"/>
                <w:color w:val="auto"/>
              </w:rPr>
            </w:pPr>
          </w:p>
        </w:tc>
        <w:tc>
          <w:tcPr>
            <w:tcW w:w="2020" w:type="dxa"/>
            <w:vAlign w:val="bottom"/>
            <w:gridSpan w:val="2"/>
          </w:tcPr>
          <w:p>
            <w:pPr>
              <w:jc w:val="center"/>
              <w:ind w:right="326"/>
              <w:spacing w:after="0" w:line="138" w:lineRule="exact"/>
              <w:rPr>
                <w:sz w:val="20"/>
                <w:szCs w:val="20"/>
                <w:color w:val="auto"/>
              </w:rPr>
            </w:pPr>
            <w:r>
              <w:rPr>
                <w:rFonts w:ascii="Times New Roman" w:cs="Times New Roman" w:eastAsia="Times New Roman" w:hAnsi="Times New Roman"/>
                <w:sz w:val="13"/>
                <w:szCs w:val="13"/>
                <w:b w:val="1"/>
                <w:bCs w:val="1"/>
                <w:color w:val="auto"/>
              </w:rPr>
              <w:t>10% Offering</w:t>
            </w:r>
          </w:p>
        </w:tc>
        <w:tc>
          <w:tcPr>
            <w:tcW w:w="240" w:type="dxa"/>
            <w:vAlign w:val="bottom"/>
          </w:tcPr>
          <w:p>
            <w:pPr>
              <w:spacing w:after="0"/>
              <w:rPr>
                <w:sz w:val="11"/>
                <w:szCs w:val="11"/>
                <w:color w:val="auto"/>
              </w:rPr>
            </w:pPr>
          </w:p>
        </w:tc>
        <w:tc>
          <w:tcPr>
            <w:tcW w:w="1880" w:type="dxa"/>
            <w:vAlign w:val="bottom"/>
            <w:gridSpan w:val="2"/>
          </w:tcPr>
          <w:p>
            <w:pPr>
              <w:jc w:val="center"/>
              <w:ind w:right="186"/>
              <w:spacing w:after="0" w:line="138" w:lineRule="exact"/>
              <w:rPr>
                <w:sz w:val="20"/>
                <w:szCs w:val="20"/>
                <w:color w:val="auto"/>
              </w:rPr>
            </w:pPr>
            <w:r>
              <w:rPr>
                <w:rFonts w:ascii="Times New Roman" w:cs="Times New Roman" w:eastAsia="Times New Roman" w:hAnsi="Times New Roman"/>
                <w:sz w:val="13"/>
                <w:szCs w:val="13"/>
                <w:b w:val="1"/>
                <w:bCs w:val="1"/>
                <w:color w:val="auto"/>
              </w:rPr>
              <w:t>25% Offering</w:t>
            </w:r>
          </w:p>
        </w:tc>
        <w:tc>
          <w:tcPr>
            <w:tcW w:w="0" w:type="dxa"/>
            <w:vAlign w:val="bottom"/>
          </w:tcPr>
          <w:p>
            <w:pPr>
              <w:spacing w:after="0"/>
              <w:rPr>
                <w:sz w:val="1"/>
                <w:szCs w:val="1"/>
                <w:color w:val="auto"/>
              </w:rPr>
            </w:pPr>
          </w:p>
        </w:tc>
      </w:tr>
      <w:tr>
        <w:trPr>
          <w:trHeight w:val="150"/>
        </w:trPr>
        <w:tc>
          <w:tcPr>
            <w:tcW w:w="3500" w:type="dxa"/>
            <w:vAlign w:val="bottom"/>
          </w:tcPr>
          <w:p>
            <w:pPr>
              <w:spacing w:after="0"/>
              <w:rPr>
                <w:sz w:val="13"/>
                <w:szCs w:val="13"/>
                <w:color w:val="auto"/>
              </w:rPr>
            </w:pPr>
          </w:p>
        </w:tc>
        <w:tc>
          <w:tcPr>
            <w:tcW w:w="1100" w:type="dxa"/>
            <w:vAlign w:val="bottom"/>
            <w:vMerge w:val="restart"/>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Prior to Sale</w:t>
            </w:r>
          </w:p>
        </w:tc>
        <w:tc>
          <w:tcPr>
            <w:tcW w:w="260" w:type="dxa"/>
            <w:vAlign w:val="bottom"/>
          </w:tcPr>
          <w:p>
            <w:pPr>
              <w:spacing w:after="0"/>
              <w:rPr>
                <w:sz w:val="13"/>
                <w:szCs w:val="13"/>
                <w:color w:val="auto"/>
              </w:rPr>
            </w:pPr>
          </w:p>
        </w:tc>
        <w:tc>
          <w:tcPr>
            <w:tcW w:w="2000" w:type="dxa"/>
            <w:vAlign w:val="bottom"/>
            <w:gridSpan w:val="2"/>
          </w:tcPr>
          <w:p>
            <w:pPr>
              <w:jc w:val="center"/>
              <w:ind w:right="366"/>
              <w:spacing w:after="0"/>
              <w:rPr>
                <w:sz w:val="20"/>
                <w:szCs w:val="20"/>
                <w:color w:val="auto"/>
              </w:rPr>
            </w:pPr>
            <w:r>
              <w:rPr>
                <w:rFonts w:ascii="Times New Roman" w:cs="Times New Roman" w:eastAsia="Times New Roman" w:hAnsi="Times New Roman"/>
                <w:sz w:val="13"/>
                <w:szCs w:val="13"/>
                <w:b w:val="1"/>
                <w:bCs w:val="1"/>
                <w:color w:val="auto"/>
              </w:rPr>
              <w:t>at 5% Discount</w:t>
            </w:r>
          </w:p>
        </w:tc>
        <w:tc>
          <w:tcPr>
            <w:tcW w:w="240" w:type="dxa"/>
            <w:vAlign w:val="bottom"/>
          </w:tcPr>
          <w:p>
            <w:pPr>
              <w:spacing w:after="0"/>
              <w:rPr>
                <w:sz w:val="13"/>
                <w:szCs w:val="13"/>
                <w:color w:val="auto"/>
              </w:rPr>
            </w:pPr>
          </w:p>
        </w:tc>
        <w:tc>
          <w:tcPr>
            <w:tcW w:w="2020" w:type="dxa"/>
            <w:vAlign w:val="bottom"/>
            <w:gridSpan w:val="2"/>
          </w:tcPr>
          <w:p>
            <w:pPr>
              <w:jc w:val="center"/>
              <w:ind w:right="326"/>
              <w:spacing w:after="0"/>
              <w:rPr>
                <w:sz w:val="20"/>
                <w:szCs w:val="20"/>
                <w:color w:val="auto"/>
              </w:rPr>
            </w:pPr>
            <w:r>
              <w:rPr>
                <w:rFonts w:ascii="Times New Roman" w:cs="Times New Roman" w:eastAsia="Times New Roman" w:hAnsi="Times New Roman"/>
                <w:sz w:val="13"/>
                <w:szCs w:val="13"/>
                <w:b w:val="1"/>
                <w:bCs w:val="1"/>
                <w:color w:val="auto"/>
              </w:rPr>
              <w:t>at 10% Discount</w:t>
            </w:r>
          </w:p>
        </w:tc>
        <w:tc>
          <w:tcPr>
            <w:tcW w:w="240" w:type="dxa"/>
            <w:vAlign w:val="bottom"/>
          </w:tcPr>
          <w:p>
            <w:pPr>
              <w:spacing w:after="0"/>
              <w:rPr>
                <w:sz w:val="13"/>
                <w:szCs w:val="13"/>
                <w:color w:val="auto"/>
              </w:rPr>
            </w:pPr>
          </w:p>
        </w:tc>
        <w:tc>
          <w:tcPr>
            <w:tcW w:w="1880" w:type="dxa"/>
            <w:vAlign w:val="bottom"/>
            <w:gridSpan w:val="2"/>
          </w:tcPr>
          <w:p>
            <w:pPr>
              <w:jc w:val="center"/>
              <w:ind w:right="186"/>
              <w:spacing w:after="0"/>
              <w:rPr>
                <w:sz w:val="20"/>
                <w:szCs w:val="20"/>
                <w:color w:val="auto"/>
              </w:rPr>
            </w:pPr>
            <w:r>
              <w:rPr>
                <w:rFonts w:ascii="Times New Roman" w:cs="Times New Roman" w:eastAsia="Times New Roman" w:hAnsi="Times New Roman"/>
                <w:sz w:val="13"/>
                <w:szCs w:val="13"/>
                <w:b w:val="1"/>
                <w:bCs w:val="1"/>
                <w:color w:val="auto"/>
              </w:rPr>
              <w:t>at 25% Discount</w:t>
            </w:r>
          </w:p>
        </w:tc>
        <w:tc>
          <w:tcPr>
            <w:tcW w:w="0" w:type="dxa"/>
            <w:vAlign w:val="bottom"/>
          </w:tcPr>
          <w:p>
            <w:pPr>
              <w:spacing w:after="0"/>
              <w:rPr>
                <w:sz w:val="1"/>
                <w:szCs w:val="1"/>
                <w:color w:val="auto"/>
              </w:rPr>
            </w:pPr>
          </w:p>
        </w:tc>
      </w:tr>
      <w:tr>
        <w:trPr>
          <w:trHeight w:val="134"/>
        </w:trPr>
        <w:tc>
          <w:tcPr>
            <w:tcW w:w="35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140" w:type="dxa"/>
            <w:vAlign w:val="bottom"/>
            <w:gridSpan w:val="2"/>
          </w:tcPr>
          <w:p>
            <w:pPr>
              <w:jc w:val="right"/>
              <w:ind w:right="267"/>
              <w:spacing w:after="0" w:line="134"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1120" w:type="dxa"/>
            <w:vAlign w:val="bottom"/>
            <w:vMerge w:val="restart"/>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140" w:type="dxa"/>
            <w:vAlign w:val="bottom"/>
            <w:gridSpan w:val="2"/>
          </w:tcPr>
          <w:p>
            <w:pPr>
              <w:jc w:val="right"/>
              <w:ind w:right="267"/>
              <w:spacing w:after="0" w:line="134"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1120" w:type="dxa"/>
            <w:vAlign w:val="bottom"/>
            <w:vMerge w:val="restart"/>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140" w:type="dxa"/>
            <w:vAlign w:val="bottom"/>
            <w:gridSpan w:val="2"/>
          </w:tcPr>
          <w:p>
            <w:pPr>
              <w:jc w:val="right"/>
              <w:ind w:right="287"/>
              <w:spacing w:after="0" w:line="134"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98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Below NAV</w:t>
            </w:r>
          </w:p>
        </w:tc>
        <w:tc>
          <w:tcPr>
            <w:tcW w:w="260" w:type="dxa"/>
            <w:vAlign w:val="bottom"/>
          </w:tcPr>
          <w:p>
            <w:pPr>
              <w:spacing w:after="0"/>
              <w:rPr>
                <w:sz w:val="14"/>
                <w:szCs w:val="14"/>
                <w:color w:val="auto"/>
              </w:rPr>
            </w:pPr>
          </w:p>
        </w:tc>
        <w:tc>
          <w:tcPr>
            <w:tcW w:w="880" w:type="dxa"/>
            <w:vAlign w:val="bottom"/>
          </w:tcPr>
          <w:p>
            <w:pPr>
              <w:jc w:val="right"/>
              <w:ind w:right="427"/>
              <w:spacing w:after="0"/>
              <w:rPr>
                <w:sz w:val="20"/>
                <w:szCs w:val="20"/>
                <w:color w:val="auto"/>
              </w:rPr>
            </w:pPr>
            <w:r>
              <w:rPr>
                <w:rFonts w:ascii="Times New Roman" w:cs="Times New Roman" w:eastAsia="Times New Roman" w:hAnsi="Times New Roman"/>
                <w:sz w:val="13"/>
                <w:szCs w:val="13"/>
                <w:b w:val="1"/>
                <w:bCs w:val="1"/>
                <w:color w:val="auto"/>
              </w:rPr>
              <w:t>Sale</w:t>
            </w: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47"/>
              <w:spacing w:after="0"/>
              <w:rPr>
                <w:sz w:val="20"/>
                <w:szCs w:val="20"/>
                <w:color w:val="auto"/>
              </w:rPr>
            </w:pPr>
            <w:r>
              <w:rPr>
                <w:rFonts w:ascii="Times New Roman" w:cs="Times New Roman" w:eastAsia="Times New Roman" w:hAnsi="Times New Roman"/>
                <w:sz w:val="13"/>
                <w:szCs w:val="13"/>
                <w:b w:val="1"/>
                <w:bCs w:val="1"/>
                <w:color w:val="auto"/>
              </w:rPr>
              <w:t>Sale</w:t>
            </w: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47"/>
              <w:spacing w:after="0"/>
              <w:rPr>
                <w:sz w:val="20"/>
                <w:szCs w:val="20"/>
                <w:color w:val="auto"/>
              </w:rPr>
            </w:pPr>
            <w:r>
              <w:rPr>
                <w:rFonts w:ascii="Times New Roman" w:cs="Times New Roman" w:eastAsia="Times New Roman" w:hAnsi="Times New Roman"/>
                <w:sz w:val="13"/>
                <w:szCs w:val="13"/>
                <w:b w:val="1"/>
                <w:bCs w:val="1"/>
                <w:color w:val="auto"/>
              </w:rPr>
              <w:t>Sale</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Offering Price</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Price per share to public</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10.00</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9.47</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7.89</w:t>
            </w: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offering proceeds per share to issuer</w:t>
            </w: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9.50</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9.00</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7.50</w:t>
            </w: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Decrease to NAV</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shares outstanding</w:t>
            </w: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93"/>
              </w:rPr>
              <w:t>1,050,000</w:t>
            </w:r>
          </w:p>
        </w:tc>
        <w:tc>
          <w:tcPr>
            <w:tcW w:w="11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5.00%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96"/>
              </w:rPr>
              <w:t>1,100,000</w:t>
            </w:r>
          </w:p>
        </w:tc>
        <w:tc>
          <w:tcPr>
            <w:tcW w:w="11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10.00%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96"/>
              </w:rPr>
              <w:t>1,250,000</w:t>
            </w:r>
          </w:p>
        </w:tc>
        <w:tc>
          <w:tcPr>
            <w:tcW w:w="9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25.00%</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NAV per share</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9.98</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9.91</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(0.90)%</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9.50</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Dilution to Stockholder A</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Shares held by stockholder A</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6"/>
                <w:szCs w:val="16"/>
                <w:color w:val="auto"/>
              </w:rPr>
            </w:pP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500</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spacing w:after="0"/>
              <w:rPr>
                <w:sz w:val="16"/>
                <w:szCs w:val="16"/>
                <w:color w:val="auto"/>
              </w:rPr>
            </w:pPr>
          </w:p>
        </w:tc>
        <w:tc>
          <w:tcPr>
            <w:tcW w:w="9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1,000</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spacing w:after="0"/>
              <w:rPr>
                <w:sz w:val="16"/>
                <w:szCs w:val="16"/>
                <w:color w:val="auto"/>
              </w:rPr>
            </w:pPr>
          </w:p>
        </w:tc>
        <w:tc>
          <w:tcPr>
            <w:tcW w:w="9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2,500</w:t>
            </w: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Percentage held by stockholder A</w:t>
            </w: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0.05%</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0.09%</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0.20%</w:t>
            </w: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 Values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NAV held by stockholder A</w:t>
            </w: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4,990</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9,910</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23,750</w:t>
            </w: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investment by stockholder A</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5,000</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9,470</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19,725</w:t>
            </w: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(dilution)/accretion to stockholder A (total</w:t>
            </w: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NAV less total investment)</w:t>
            </w: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440</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4,025</w:t>
            </w: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Per Share Amounts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NAV per share held by stockholder A</w:t>
            </w: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9.98</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9.91</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9.50</w:t>
            </w: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7"/>
        </w:trPr>
        <w:tc>
          <w:tcPr>
            <w:tcW w:w="3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Investment per share held by stockholder A</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10.00</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9.47</w:t>
            </w: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7.89</w:t>
            </w: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(Dilution)/accretion per share held by stockholder</w:t>
            </w: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 (NAV per share less investment per share)</w:t>
            </w:r>
          </w:p>
        </w:tc>
        <w:tc>
          <w:tcPr>
            <w:tcW w:w="11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(0.02)</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0.44</w:t>
            </w:r>
          </w:p>
        </w:tc>
        <w:tc>
          <w:tcPr>
            <w:tcW w:w="11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1.61</w:t>
            </w: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5"/>
        </w:trPr>
        <w:tc>
          <w:tcPr>
            <w:tcW w:w="3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Percentage (dilution)/accretion to stockholder A</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(dilution)/ accretion per share divided by</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investment per share</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6"/>
                <w:szCs w:val="16"/>
                <w:color w:val="auto"/>
              </w:rPr>
            </w:pPr>
          </w:p>
        </w:tc>
        <w:tc>
          <w:tcPr>
            <w:tcW w:w="8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(0.20)%</w:t>
            </w:r>
          </w:p>
        </w:tc>
        <w:tc>
          <w:tcPr>
            <w:tcW w:w="240" w:type="dxa"/>
            <w:vAlign w:val="bottom"/>
          </w:tcPr>
          <w:p>
            <w:pPr>
              <w:spacing w:after="0"/>
              <w:rPr>
                <w:sz w:val="16"/>
                <w:szCs w:val="16"/>
                <w:color w:val="auto"/>
              </w:rPr>
            </w:pPr>
          </w:p>
        </w:tc>
        <w:tc>
          <w:tcPr>
            <w:tcW w:w="90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4.65%</w:t>
            </w:r>
          </w:p>
        </w:tc>
        <w:tc>
          <w:tcPr>
            <w:tcW w:w="240" w:type="dxa"/>
            <w:vAlign w:val="bottom"/>
          </w:tcPr>
          <w:p>
            <w:pPr>
              <w:spacing w:after="0"/>
              <w:rPr>
                <w:sz w:val="16"/>
                <w:szCs w:val="16"/>
                <w:color w:val="auto"/>
              </w:rPr>
            </w:pPr>
          </w:p>
        </w:tc>
        <w:tc>
          <w:tcPr>
            <w:tcW w:w="90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rPr>
              <w:t>— </w:t>
            </w: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20.41%</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285"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755" cy="52070"/>
                    </a:xfrm>
                    <a:prstGeom prst="rect">
                      <a:avLst/>
                    </a:prstGeom>
                    <a:noFill/>
                  </pic:spPr>
                </pic:pic>
              </a:graphicData>
            </a:graphic>
          </wp:anchor>
        </w:drawing>
        <w:t>DISTRIBUTIONS</w:t>
      </w:r>
    </w:p>
    <w:p>
      <w:pPr>
        <w:spacing w:after="0" w:line="208"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7"/>
          <w:szCs w:val="17"/>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73" w:lineRule="exact"/>
        <w:rPr>
          <w:sz w:val="20"/>
          <w:szCs w:val="20"/>
          <w:color w:val="auto"/>
        </w:rPr>
      </w:pPr>
    </w:p>
    <w:p>
      <w:pPr>
        <w:ind w:right="20" w:firstLine="450"/>
        <w:spacing w:after="0" w:line="270" w:lineRule="auto"/>
        <w:rPr>
          <w:sz w:val="20"/>
          <w:szCs w:val="20"/>
          <w:color w:val="auto"/>
        </w:rPr>
      </w:pPr>
      <w:r>
        <w:rPr>
          <w:rFonts w:ascii="Times New Roman" w:cs="Times New Roman" w:eastAsia="Times New Roman" w:hAnsi="Times New Roman"/>
          <w:sz w:val="17"/>
          <w:szCs w:val="17"/>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5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7"/>
          <w:szCs w:val="17"/>
          <w:color w:val="auto"/>
        </w:rPr>
        <w:t>The tax characteristics of distributions declared, in accordance with Section 19(a) of the 1940 Act, for our fiscal and taxable years ended September 30, 2023 and 2022 from ordinary income (including short-term gains), if any, totaled $60.5 million, or $1.19 per share, and $46.7 million, or $1.14 per share, respectively, based on the weighted average shares outstanding for the respective periods. Additionally, for both years ended September 30, 2023 and 2022, we did not pay any distributions from long-term capital gains.</w:t>
      </w:r>
    </w:p>
    <w:p>
      <w:pPr>
        <w:spacing w:after="0" w:line="173"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180"/>
          </w:cols>
          <w:pgMar w:left="320" w:top="281" w:right="39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755" cy="52070"/>
                    </a:xfrm>
                    <a:prstGeom prst="rect">
                      <a:avLst/>
                    </a:prstGeom>
                    <a:noFill/>
                  </pic:spPr>
                </pic:pic>
              </a:graphicData>
            </a:graphic>
          </wp:anchor>
        </w:drawing>
        <w:t>PORTFOLIO COMPANIES</w:t>
      </w:r>
    </w:p>
    <w:p>
      <w:pPr>
        <w:spacing w:after="0" w:line="208" w:lineRule="exact"/>
        <w:rPr>
          <w:sz w:val="20"/>
          <w:szCs w:val="20"/>
          <w:color w:val="auto"/>
        </w:rPr>
      </w:pPr>
    </w:p>
    <w:p>
      <w:pPr>
        <w:ind w:right="40" w:firstLine="450"/>
        <w:spacing w:after="0" w:line="251" w:lineRule="auto"/>
        <w:rPr>
          <w:sz w:val="20"/>
          <w:szCs w:val="20"/>
          <w:color w:val="auto"/>
        </w:rPr>
      </w:pPr>
      <w:r>
        <w:rPr>
          <w:rFonts w:ascii="Times New Roman" w:cs="Times New Roman" w:eastAsia="Times New Roman" w:hAnsi="Times New Roman"/>
          <w:sz w:val="17"/>
          <w:szCs w:val="17"/>
          <w:color w:val="auto"/>
        </w:rPr>
        <w:t>The following is a listing of each portfolio company or its affiliate, together referred to as portfolio companies, in which we had an investment as of March 31, 2024.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Quarterly Report on Form 10-Q for the fiscal quarter ended March 31, 2024.</w:t>
      </w:r>
    </w:p>
    <w:p>
      <w:pPr>
        <w:spacing w:after="0" w:line="175"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and 2036 Asset-Backed Debt as disclosed in our Consolidated Schedule of Investments. Unless otherwise noted, we held no voting board membership on any of our portfolio companies.</w:t>
      </w:r>
    </w:p>
    <w:p>
      <w:pPr>
        <w:sectPr>
          <w:pgSz w:w="11900" w:h="16838" w:orient="portrait"/>
          <w:cols w:equalWidth="0" w:num="1">
            <w:col w:w="11200"/>
          </w:cols>
          <w:pgMar w:left="320" w:top="281" w:right="379" w:bottom="1440" w:gutter="0" w:footer="0" w:header="0"/>
        </w:sect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and</w:t>
      </w:r>
    </w:p>
    <w:p>
      <w:pPr>
        <w:spacing w:after="0" w:line="235" w:lineRule="auto"/>
        <w:rPr>
          <w:sz w:val="20"/>
          <w:szCs w:val="20"/>
          <w:color w:val="auto"/>
        </w:rPr>
      </w:pPr>
      <w:r>
        <w:rPr>
          <w:rFonts w:ascii="Times New Roman" w:cs="Times New Roman" w:eastAsia="Times New Roman" w:hAnsi="Times New Roman"/>
          <w:sz w:val="12"/>
          <w:szCs w:val="12"/>
          <w:b w:val="1"/>
          <w:bCs w:val="1"/>
          <w:u w:val="single" w:color="auto"/>
          <w:color w:val="auto"/>
        </w:rPr>
        <w:t>Address of Portfolio Company</w:t>
      </w:r>
    </w:p>
    <w:p>
      <w:pPr>
        <w:spacing w:after="0" w:line="220" w:lineRule="auto"/>
        <w:rPr>
          <w:sz w:val="20"/>
          <w:szCs w:val="20"/>
          <w:color w:val="auto"/>
        </w:rPr>
      </w:pPr>
      <w:r>
        <w:rPr>
          <w:rFonts w:ascii="Times New Roman" w:cs="Times New Roman" w:eastAsia="Times New Roman" w:hAnsi="Times New Roman"/>
          <w:sz w:val="13"/>
          <w:szCs w:val="13"/>
          <w:b w:val="1"/>
          <w:bCs w:val="1"/>
          <w:color w:val="auto"/>
        </w:rPr>
        <w:t>Companies Less than 5% Owned</w:t>
      </w:r>
    </w:p>
    <w:p>
      <w:pPr>
        <w:spacing w:after="0" w:line="221" w:lineRule="auto"/>
        <w:rPr>
          <w:sz w:val="20"/>
          <w:szCs w:val="20"/>
          <w:color w:val="auto"/>
        </w:rPr>
      </w:pPr>
      <w:r>
        <w:rPr>
          <w:rFonts w:ascii="Times New Roman" w:cs="Times New Roman" w:eastAsia="Times New Roman" w:hAnsi="Times New Roman"/>
          <w:sz w:val="13"/>
          <w:szCs w:val="13"/>
          <w:color w:val="auto"/>
        </w:rPr>
        <w:t>A1 Garage Merger Sub, LLC</w:t>
      </w:r>
    </w:p>
    <w:p>
      <w:pPr>
        <w:spacing w:after="0" w:line="220" w:lineRule="auto"/>
        <w:rPr>
          <w:sz w:val="20"/>
          <w:szCs w:val="20"/>
          <w:color w:val="auto"/>
        </w:rPr>
      </w:pPr>
      <w:r>
        <w:rPr>
          <w:rFonts w:ascii="Times New Roman" w:cs="Times New Roman" w:eastAsia="Times New Roman" w:hAnsi="Times New Roman"/>
          <w:sz w:val="13"/>
          <w:szCs w:val="13"/>
          <w:color w:val="auto"/>
        </w:rPr>
        <w:t>(A1 Garage Equity, LLC)</w:t>
      </w:r>
      <w:r>
        <w:rPr>
          <w:rFonts w:ascii="Times New Roman" w:cs="Times New Roman" w:eastAsia="Times New Roman" w:hAnsi="Times New Roman"/>
          <w:sz w:val="8"/>
          <w:szCs w:val="8"/>
          <w:color w:val="auto"/>
        </w:rPr>
        <w:t>(5)</w:t>
      </w:r>
    </w:p>
    <w:p>
      <w:pPr>
        <w:spacing w:after="0" w:line="220" w:lineRule="auto"/>
        <w:rPr>
          <w:sz w:val="20"/>
          <w:szCs w:val="20"/>
          <w:color w:val="auto"/>
        </w:rPr>
      </w:pPr>
      <w:r>
        <w:rPr>
          <w:rFonts w:ascii="Times New Roman" w:cs="Times New Roman" w:eastAsia="Times New Roman" w:hAnsi="Times New Roman"/>
          <w:sz w:val="13"/>
          <w:szCs w:val="13"/>
          <w:color w:val="auto"/>
        </w:rPr>
        <w:t>3254 E Broadway Rd.</w:t>
      </w:r>
    </w:p>
    <w:p>
      <w:pPr>
        <w:spacing w:after="0"/>
        <w:rPr>
          <w:sz w:val="20"/>
          <w:szCs w:val="20"/>
          <w:color w:val="auto"/>
        </w:rPr>
      </w:pPr>
      <w:r>
        <w:rPr>
          <w:rFonts w:ascii="Times New Roman" w:cs="Times New Roman" w:eastAsia="Times New Roman" w:hAnsi="Times New Roman"/>
          <w:sz w:val="13"/>
          <w:szCs w:val="13"/>
          <w:color w:val="auto"/>
        </w:rPr>
        <w:t>Phoenix, AZ 85040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2"/>
              </w:rPr>
              <w:t>Voting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25"/>
        </w:trPr>
        <w:tc>
          <w:tcPr>
            <w:tcW w:w="1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0" w:type="dxa"/>
            <w:vAlign w:val="bottom"/>
            <w:gridSpan w:val="2"/>
          </w:tcPr>
          <w:p>
            <w:pPr>
              <w:jc w:val="center"/>
              <w:ind w:right="3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Type of Investment,</w:t>
            </w:r>
          </w:p>
        </w:tc>
        <w:tc>
          <w:tcPr>
            <w:tcW w:w="1300" w:type="dxa"/>
            <w:vAlign w:val="bottom"/>
            <w:gridSpan w:val="2"/>
          </w:tcPr>
          <w:p>
            <w:pPr>
              <w:jc w:val="center"/>
              <w:ind w:right="500"/>
              <w:spacing w:after="0" w:line="125"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100" w:type="dxa"/>
            <w:vAlign w:val="bottom"/>
          </w:tcPr>
          <w:p>
            <w:pPr>
              <w:spacing w:after="0"/>
              <w:rPr>
                <w:sz w:val="10"/>
                <w:szCs w:val="10"/>
                <w:color w:val="auto"/>
              </w:rPr>
            </w:pPr>
          </w:p>
        </w:tc>
        <w:tc>
          <w:tcPr>
            <w:tcW w:w="680" w:type="dxa"/>
            <w:vAlign w:val="bottom"/>
          </w:tcPr>
          <w:p>
            <w:pPr>
              <w:jc w:val="center"/>
              <w:ind w:right="58"/>
              <w:spacing w:after="0" w:line="125" w:lineRule="exact"/>
              <w:rPr>
                <w:sz w:val="20"/>
                <w:szCs w:val="20"/>
                <w:color w:val="auto"/>
              </w:rPr>
            </w:pPr>
            <w:r>
              <w:rPr>
                <w:rFonts w:ascii="Times New Roman" w:cs="Times New Roman" w:eastAsia="Times New Roman" w:hAnsi="Times New Roman"/>
                <w:sz w:val="12"/>
                <w:szCs w:val="12"/>
                <w:b w:val="1"/>
                <w:bCs w:val="1"/>
                <w:color w:val="auto"/>
                <w:w w:val="94"/>
              </w:rPr>
              <w:t>Fair Value</w:t>
            </w:r>
          </w:p>
        </w:tc>
      </w:tr>
      <w:tr>
        <w:trPr>
          <w:trHeight w:val="143"/>
        </w:trPr>
        <w:tc>
          <w:tcPr>
            <w:tcW w:w="19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560" w:type="dxa"/>
            <w:vAlign w:val="bottom"/>
          </w:tcPr>
          <w:p>
            <w:pPr>
              <w:spacing w:after="0"/>
              <w:rPr>
                <w:sz w:val="12"/>
                <w:szCs w:val="12"/>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Interest (1), Maturity</w:t>
            </w:r>
          </w:p>
        </w:tc>
        <w:tc>
          <w:tcPr>
            <w:tcW w:w="3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Ownership (2)</w:t>
            </w:r>
          </w:p>
        </w:tc>
        <w:tc>
          <w:tcPr>
            <w:tcW w:w="500" w:type="dxa"/>
            <w:vAlign w:val="bottom"/>
          </w:tcPr>
          <w:p>
            <w:pPr>
              <w:spacing w:after="0"/>
              <w:rPr>
                <w:sz w:val="12"/>
                <w:szCs w:val="12"/>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(in thousands)</w:t>
            </w:r>
          </w:p>
        </w:tc>
      </w:tr>
      <w:tr>
        <w:trPr>
          <w:trHeight w:val="234"/>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2,270</w:t>
            </w:r>
          </w:p>
        </w:tc>
      </w:tr>
      <w:tr>
        <w:trPr>
          <w:trHeight w:val="137"/>
        </w:trPr>
        <w:tc>
          <w:tcPr>
            <w:tcW w:w="1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S+660, 12/22/2028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72"/>
        </w:trPr>
        <w:tc>
          <w:tcPr>
            <w:tcW w:w="1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Common Equity</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02" w:lineRule="exact"/>
        <w:rPr>
          <w:sz w:val="20"/>
          <w:szCs w:val="20"/>
          <w:color w:val="auto"/>
        </w:rPr>
      </w:pPr>
    </w:p>
    <w:p>
      <w:pPr>
        <w:sectPr>
          <w:pgSz w:w="11900" w:h="16838" w:orient="portrait"/>
          <w:cols w:equalWidth="0" w:num="2">
            <w:col w:w="3880" w:space="720"/>
            <w:col w:w="6600"/>
          </w:cols>
          <w:pgMar w:left="320" w:top="281" w:right="37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ACP Avenu Buyer, LLC</w:t>
            </w:r>
          </w:p>
        </w:tc>
        <w:tc>
          <w:tcPr>
            <w:tcW w:w="3200" w:type="dxa"/>
            <w:vAlign w:val="bottom"/>
          </w:tcPr>
          <w:p>
            <w:pPr>
              <w:jc w:val="center"/>
              <w:ind w:left="814"/>
              <w:spacing w:after="0"/>
              <w:rPr>
                <w:sz w:val="20"/>
                <w:szCs w:val="20"/>
                <w:color w:val="auto"/>
              </w:rPr>
            </w:pPr>
            <w:r>
              <w:rPr>
                <w:rFonts w:ascii="Times New Roman" w:cs="Times New Roman" w:eastAsia="Times New Roman" w:hAnsi="Times New Roman"/>
                <w:sz w:val="13"/>
                <w:szCs w:val="13"/>
                <w:color w:val="auto"/>
              </w:rPr>
              <w:t>IT Services</w:t>
            </w:r>
          </w:p>
        </w:tc>
        <w:tc>
          <w:tcPr>
            <w:tcW w:w="2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2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13,669</w:t>
            </w:r>
          </w:p>
        </w:tc>
      </w:tr>
      <w:tr>
        <w:trPr>
          <w:trHeight w:val="137"/>
        </w:trPr>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5860 Trinity Pkwy</w:t>
            </w:r>
          </w:p>
        </w:tc>
        <w:tc>
          <w:tcPr>
            <w:tcW w:w="3200" w:type="dxa"/>
            <w:vAlign w:val="bottom"/>
          </w:tcPr>
          <w:p>
            <w:pPr>
              <w:spacing w:after="0"/>
              <w:rPr>
                <w:sz w:val="11"/>
                <w:szCs w:val="11"/>
                <w:color w:val="auto"/>
              </w:rPr>
            </w:pPr>
          </w:p>
        </w:tc>
        <w:tc>
          <w:tcPr>
            <w:tcW w:w="24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3M S+625, 10/02/2029</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Centerville, VA 20120</w:t>
            </w:r>
          </w:p>
        </w:tc>
        <w:tc>
          <w:tcPr>
            <w:tcW w:w="3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ACP Falcon Buyer, LLC</w:t>
            </w:r>
          </w:p>
        </w:tc>
        <w:tc>
          <w:tcPr>
            <w:tcW w:w="3200" w:type="dxa"/>
            <w:vAlign w:val="bottom"/>
          </w:tcPr>
          <w:p>
            <w:pPr>
              <w:jc w:val="center"/>
              <w:ind w:left="794"/>
              <w:spacing w:after="0"/>
              <w:rPr>
                <w:sz w:val="20"/>
                <w:szCs w:val="20"/>
                <w:color w:val="auto"/>
              </w:rPr>
            </w:pPr>
            <w:r>
              <w:rPr>
                <w:rFonts w:ascii="Times New Roman" w:cs="Times New Roman" w:eastAsia="Times New Roman" w:hAnsi="Times New Roman"/>
                <w:sz w:val="13"/>
                <w:szCs w:val="13"/>
                <w:color w:val="auto"/>
              </w:rPr>
              <w:t>Professional Services</w:t>
            </w:r>
          </w:p>
        </w:tc>
        <w:tc>
          <w:tcPr>
            <w:tcW w:w="2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2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37"/>
        </w:trPr>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2141 Rosecrans Ave</w:t>
            </w:r>
          </w:p>
        </w:tc>
        <w:tc>
          <w:tcPr>
            <w:tcW w:w="3200" w:type="dxa"/>
            <w:vAlign w:val="bottom"/>
          </w:tcPr>
          <w:p>
            <w:pPr>
              <w:spacing w:after="0"/>
              <w:rPr>
                <w:sz w:val="11"/>
                <w:szCs w:val="11"/>
                <w:color w:val="auto"/>
              </w:rPr>
            </w:pPr>
          </w:p>
        </w:tc>
        <w:tc>
          <w:tcPr>
            <w:tcW w:w="24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 , 08/01/2029</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El Segundo, CA 90245</w:t>
            </w:r>
          </w:p>
        </w:tc>
        <w:tc>
          <w:tcPr>
            <w:tcW w:w="3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Ad.net Acquisition, LLC</w:t>
            </w:r>
          </w:p>
        </w:tc>
        <w:tc>
          <w:tcPr>
            <w:tcW w:w="3200" w:type="dxa"/>
            <w:vAlign w:val="bottom"/>
          </w:tcPr>
          <w:p>
            <w:pPr>
              <w:jc w:val="center"/>
              <w:ind w:left="794"/>
              <w:spacing w:after="0"/>
              <w:rPr>
                <w:sz w:val="20"/>
                <w:szCs w:val="20"/>
                <w:color w:val="auto"/>
              </w:rPr>
            </w:pPr>
            <w:r>
              <w:rPr>
                <w:rFonts w:ascii="Times New Roman" w:cs="Times New Roman" w:eastAsia="Times New Roman" w:hAnsi="Times New Roman"/>
                <w:sz w:val="13"/>
                <w:szCs w:val="13"/>
                <w:color w:val="auto"/>
              </w:rPr>
              <w:t>Media</w:t>
            </w:r>
          </w:p>
        </w:tc>
        <w:tc>
          <w:tcPr>
            <w:tcW w:w="2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0.6%</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5,698</w:t>
            </w:r>
          </w:p>
        </w:tc>
      </w:tr>
      <w:tr>
        <w:trPr>
          <w:trHeight w:val="137"/>
        </w:trPr>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(Ad.net Holdings, Inc.)</w:t>
            </w:r>
          </w:p>
        </w:tc>
        <w:tc>
          <w:tcPr>
            <w:tcW w:w="3200" w:type="dxa"/>
            <w:vAlign w:val="bottom"/>
          </w:tcPr>
          <w:p>
            <w:pPr>
              <w:spacing w:after="0"/>
              <w:rPr>
                <w:sz w:val="11"/>
                <w:szCs w:val="11"/>
                <w:color w:val="auto"/>
              </w:rPr>
            </w:pPr>
          </w:p>
        </w:tc>
        <w:tc>
          <w:tcPr>
            <w:tcW w:w="24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3M S+626, 05/07/2026</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1100 Glendon Avenue, Suite 1200</w:t>
            </w:r>
          </w:p>
        </w:tc>
        <w:tc>
          <w:tcPr>
            <w:tcW w:w="3200" w:type="dxa"/>
            <w:vAlign w:val="bottom"/>
          </w:tcPr>
          <w:p>
            <w:pPr>
              <w:spacing w:after="0"/>
              <w:rPr>
                <w:sz w:val="11"/>
                <w:szCs w:val="11"/>
                <w:color w:val="auto"/>
              </w:rPr>
            </w:pPr>
          </w:p>
        </w:tc>
        <w:tc>
          <w:tcPr>
            <w:tcW w:w="24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Los Angeles, CA 90024</w:t>
            </w:r>
          </w:p>
        </w:tc>
        <w:tc>
          <w:tcPr>
            <w:tcW w:w="320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Equity</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Aeronix, Inc.</w:t>
            </w:r>
          </w:p>
        </w:tc>
        <w:tc>
          <w:tcPr>
            <w:tcW w:w="3200" w:type="dxa"/>
            <w:vAlign w:val="bottom"/>
          </w:tcPr>
          <w:p>
            <w:pPr>
              <w:jc w:val="center"/>
              <w:ind w:left="814"/>
              <w:spacing w:after="0"/>
              <w:rPr>
                <w:sz w:val="20"/>
                <w:szCs w:val="20"/>
                <w:color w:val="auto"/>
              </w:rPr>
            </w:pPr>
            <w:r>
              <w:rPr>
                <w:rFonts w:ascii="Times New Roman" w:cs="Times New Roman" w:eastAsia="Times New Roman" w:hAnsi="Times New Roman"/>
                <w:sz w:val="13"/>
                <w:szCs w:val="13"/>
                <w:color w:val="auto"/>
              </w:rPr>
              <w:t>Aerospace and Defense</w:t>
            </w:r>
          </w:p>
        </w:tc>
        <w:tc>
          <w:tcPr>
            <w:tcW w:w="2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0.2%</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34,996</w:t>
            </w:r>
          </w:p>
        </w:tc>
      </w:tr>
      <w:tr>
        <w:trPr>
          <w:trHeight w:val="137"/>
        </w:trPr>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(SV Aero Holdings, LLC)</w:t>
            </w:r>
            <w:r>
              <w:rPr>
                <w:rFonts w:ascii="Times New Roman" w:cs="Times New Roman" w:eastAsia="Times New Roman" w:hAnsi="Times New Roman"/>
                <w:sz w:val="8"/>
                <w:szCs w:val="8"/>
                <w:color w:val="auto"/>
              </w:rPr>
              <w:t>(5)</w:t>
            </w:r>
          </w:p>
        </w:tc>
        <w:tc>
          <w:tcPr>
            <w:tcW w:w="3200" w:type="dxa"/>
            <w:vAlign w:val="bottom"/>
          </w:tcPr>
          <w:p>
            <w:pPr>
              <w:spacing w:after="0"/>
              <w:rPr>
                <w:sz w:val="11"/>
                <w:szCs w:val="11"/>
                <w:color w:val="auto"/>
              </w:rPr>
            </w:pPr>
          </w:p>
        </w:tc>
        <w:tc>
          <w:tcPr>
            <w:tcW w:w="24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3M S+550, 12/18/2028</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1775 West Hibiscus Boulevard, Suite 200</w:t>
            </w:r>
          </w:p>
        </w:tc>
        <w:tc>
          <w:tcPr>
            <w:tcW w:w="3200" w:type="dxa"/>
            <w:vAlign w:val="bottom"/>
          </w:tcPr>
          <w:p>
            <w:pPr>
              <w:spacing w:after="0"/>
              <w:rPr>
                <w:sz w:val="11"/>
                <w:szCs w:val="11"/>
                <w:color w:val="auto"/>
              </w:rPr>
            </w:pPr>
          </w:p>
        </w:tc>
        <w:tc>
          <w:tcPr>
            <w:tcW w:w="24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Melbourne, FL 32901</w:t>
            </w:r>
          </w:p>
        </w:tc>
        <w:tc>
          <w:tcPr>
            <w:tcW w:w="3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AFC Dell Holding Corp.</w:t>
            </w:r>
          </w:p>
        </w:tc>
        <w:tc>
          <w:tcPr>
            <w:tcW w:w="3200" w:type="dxa"/>
            <w:vAlign w:val="bottom"/>
          </w:tcPr>
          <w:p>
            <w:pPr>
              <w:jc w:val="center"/>
              <w:ind w:left="814"/>
              <w:spacing w:after="0"/>
              <w:rPr>
                <w:sz w:val="20"/>
                <w:szCs w:val="20"/>
                <w:color w:val="auto"/>
              </w:rPr>
            </w:pPr>
            <w:r>
              <w:rPr>
                <w:rFonts w:ascii="Times New Roman" w:cs="Times New Roman" w:eastAsia="Times New Roman" w:hAnsi="Times New Roman"/>
                <w:sz w:val="13"/>
                <w:szCs w:val="13"/>
                <w:color w:val="auto"/>
              </w:rPr>
              <w:t>Distributors</w:t>
            </w:r>
          </w:p>
        </w:tc>
        <w:tc>
          <w:tcPr>
            <w:tcW w:w="2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0.3%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13,465</w:t>
            </w:r>
          </w:p>
        </w:tc>
      </w:tr>
      <w:tr>
        <w:trPr>
          <w:trHeight w:val="137"/>
        </w:trPr>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(AFC Acquisitions, Inc.)</w:t>
            </w:r>
            <w:r>
              <w:rPr>
                <w:rFonts w:ascii="Times New Roman" w:cs="Times New Roman" w:eastAsia="Times New Roman" w:hAnsi="Times New Roman"/>
                <w:sz w:val="8"/>
                <w:szCs w:val="8"/>
                <w:color w:val="auto"/>
              </w:rPr>
              <w:t>(5)</w:t>
            </w:r>
          </w:p>
        </w:tc>
        <w:tc>
          <w:tcPr>
            <w:tcW w:w="3200" w:type="dxa"/>
            <w:vAlign w:val="bottom"/>
          </w:tcPr>
          <w:p>
            <w:pPr>
              <w:spacing w:after="0"/>
              <w:rPr>
                <w:sz w:val="11"/>
                <w:szCs w:val="11"/>
                <w:color w:val="auto"/>
              </w:rPr>
            </w:pPr>
          </w:p>
        </w:tc>
        <w:tc>
          <w:tcPr>
            <w:tcW w:w="24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3M S+640, 04/09/2027</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7"/>
        </w:trPr>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9030 Port Union Road</w:t>
            </w:r>
          </w:p>
        </w:tc>
        <w:tc>
          <w:tcPr>
            <w:tcW w:w="3200" w:type="dxa"/>
            <w:vAlign w:val="bottom"/>
          </w:tcPr>
          <w:p>
            <w:pPr>
              <w:spacing w:after="0"/>
              <w:rPr>
                <w:sz w:val="11"/>
                <w:szCs w:val="11"/>
                <w:color w:val="auto"/>
              </w:rPr>
            </w:pPr>
          </w:p>
        </w:tc>
        <w:tc>
          <w:tcPr>
            <w:tcW w:w="24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West Chester Township, OH 45011</w:t>
            </w:r>
          </w:p>
        </w:tc>
        <w:tc>
          <w:tcPr>
            <w:tcW w:w="3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Affinion Group Holdings, Inc.</w:t>
            </w:r>
          </w:p>
        </w:tc>
        <w:tc>
          <w:tcPr>
            <w:tcW w:w="3200" w:type="dxa"/>
            <w:vAlign w:val="bottom"/>
          </w:tcPr>
          <w:p>
            <w:pPr>
              <w:jc w:val="center"/>
              <w:ind w:left="814"/>
              <w:spacing w:after="0"/>
              <w:rPr>
                <w:sz w:val="20"/>
                <w:szCs w:val="20"/>
                <w:color w:val="auto"/>
              </w:rPr>
            </w:pPr>
            <w:r>
              <w:rPr>
                <w:rFonts w:ascii="Times New Roman" w:cs="Times New Roman" w:eastAsia="Times New Roman" w:hAnsi="Times New Roman"/>
                <w:sz w:val="13"/>
                <w:szCs w:val="13"/>
                <w:color w:val="auto"/>
              </w:rPr>
              <w:t>Consumer Goods: Durable</w:t>
            </w:r>
          </w:p>
        </w:tc>
        <w:tc>
          <w:tcPr>
            <w:tcW w:w="2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Warrants</w:t>
            </w:r>
          </w:p>
        </w:tc>
        <w:tc>
          <w:tcPr>
            <w:tcW w:w="122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37"/>
        </w:trPr>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6 High Ridge Park</w:t>
            </w:r>
          </w:p>
        </w:tc>
        <w:tc>
          <w:tcPr>
            <w:tcW w:w="32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Stamford, CT 06905</w:t>
            </w:r>
          </w:p>
        </w:tc>
        <w:tc>
          <w:tcPr>
            <w:tcW w:w="3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AG Investco LP</w:t>
            </w:r>
            <w:r>
              <w:rPr>
                <w:rFonts w:ascii="Times New Roman" w:cs="Times New Roman" w:eastAsia="Times New Roman" w:hAnsi="Times New Roman"/>
                <w:sz w:val="8"/>
                <w:szCs w:val="8"/>
                <w:color w:val="auto"/>
              </w:rPr>
              <w:t>(5)</w:t>
            </w:r>
          </w:p>
        </w:tc>
        <w:tc>
          <w:tcPr>
            <w:tcW w:w="3200" w:type="dxa"/>
            <w:vAlign w:val="bottom"/>
          </w:tcPr>
          <w:p>
            <w:pPr>
              <w:jc w:val="center"/>
              <w:ind w:left="814"/>
              <w:spacing w:after="0"/>
              <w:rPr>
                <w:sz w:val="20"/>
                <w:szCs w:val="20"/>
                <w:color w:val="auto"/>
              </w:rPr>
            </w:pPr>
            <w:r>
              <w:rPr>
                <w:rFonts w:ascii="Times New Roman" w:cs="Times New Roman" w:eastAsia="Times New Roman" w:hAnsi="Times New Roman"/>
                <w:sz w:val="13"/>
                <w:szCs w:val="13"/>
                <w:color w:val="auto"/>
              </w:rPr>
              <w:t>Software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Equity(4)</w:t>
            </w: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1.6%</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w:t>
            </w:r>
          </w:p>
        </w:tc>
      </w:tr>
      <w:tr>
        <w:trPr>
          <w:trHeight w:val="137"/>
        </w:trPr>
        <w:tc>
          <w:tcPr>
            <w:tcW w:w="3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251 Little Falls Drive</w:t>
            </w:r>
          </w:p>
        </w:tc>
        <w:tc>
          <w:tcPr>
            <w:tcW w:w="32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Herndon, VA 19808</w:t>
            </w:r>
          </w:p>
        </w:tc>
        <w:tc>
          <w:tcPr>
            <w:tcW w:w="3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00"/>
          </w:cols>
          <w:pgMar w:left="320" w:top="281" w:right="37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38"/>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ind w:right="465"/>
              <w:spacing w:after="0"/>
              <w:rPr>
                <w:sz w:val="20"/>
                <w:szCs w:val="20"/>
                <w:color w:val="auto"/>
              </w:rPr>
            </w:pPr>
            <w:r>
              <w:rPr>
                <w:rFonts w:ascii="Times New Roman" w:cs="Times New Roman" w:eastAsia="Times New Roman" w:hAnsi="Times New Roman"/>
                <w:sz w:val="12"/>
                <w:szCs w:val="12"/>
                <w:b w:val="1"/>
                <w:bCs w:val="1"/>
                <w:color w:val="auto"/>
                <w:w w:val="92"/>
              </w:rPr>
              <w:t>Voting</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48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2"/>
                <w:szCs w:val="12"/>
                <w:b w:val="1"/>
                <w:bCs w:val="1"/>
                <w:color w:val="auto"/>
                <w:w w:val="95"/>
              </w:rPr>
              <w:t>Type of Investment,</w:t>
            </w:r>
          </w:p>
        </w:tc>
        <w:tc>
          <w:tcPr>
            <w:tcW w:w="1360" w:type="dxa"/>
            <w:vAlign w:val="bottom"/>
            <w:gridSpan w:val="2"/>
          </w:tcPr>
          <w:p>
            <w:pPr>
              <w:jc w:val="center"/>
              <w:ind w:right="465"/>
              <w:spacing w:after="0" w:line="11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60" w:type="dxa"/>
            <w:vAlign w:val="bottom"/>
          </w:tcPr>
          <w:p>
            <w:pPr>
              <w:spacing w:after="0"/>
              <w:rPr>
                <w:sz w:val="10"/>
                <w:szCs w:val="10"/>
                <w:color w:val="auto"/>
              </w:rPr>
            </w:pPr>
          </w:p>
        </w:tc>
        <w:tc>
          <w:tcPr>
            <w:tcW w:w="8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0" w:type="dxa"/>
            <w:vAlign w:val="bottom"/>
          </w:tcPr>
          <w:p>
            <w:pPr>
              <w:spacing w:after="0"/>
              <w:rPr>
                <w:sz w:val="1"/>
                <w:szCs w:val="1"/>
                <w:color w:val="auto"/>
              </w:rPr>
            </w:pPr>
          </w:p>
        </w:tc>
      </w:tr>
      <w:tr>
        <w:trPr>
          <w:trHeight w:val="157"/>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5"/>
              </w:rPr>
              <w:t>Nature of Business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6"/>
              </w:rPr>
              <w:t>Interest (1), Maturity</w:t>
            </w:r>
          </w:p>
        </w:tc>
        <w:tc>
          <w:tcPr>
            <w:tcW w:w="1360" w:type="dxa"/>
            <w:vAlign w:val="bottom"/>
            <w:gridSpan w:val="2"/>
          </w:tcPr>
          <w:p>
            <w:pPr>
              <w:jc w:val="center"/>
              <w:ind w:right="465"/>
              <w:spacing w:after="0"/>
              <w:rPr>
                <w:sz w:val="20"/>
                <w:szCs w:val="20"/>
                <w:color w:val="auto"/>
              </w:rPr>
            </w:pPr>
            <w:r>
              <w:rPr>
                <w:rFonts w:ascii="Times New Roman" w:cs="Times New Roman" w:eastAsia="Times New Roman" w:hAnsi="Times New Roman"/>
                <w:sz w:val="12"/>
                <w:szCs w:val="12"/>
                <w:b w:val="1"/>
                <w:bCs w:val="1"/>
                <w:color w:val="auto"/>
                <w:w w:val="97"/>
              </w:rPr>
              <w:t>Ownership (2)</w:t>
            </w:r>
          </w:p>
        </w:tc>
        <w:tc>
          <w:tcPr>
            <w:tcW w:w="6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(in thousands)</w:t>
            </w:r>
          </w:p>
        </w:tc>
        <w:tc>
          <w:tcPr>
            <w:tcW w:w="0" w:type="dxa"/>
            <w:vAlign w:val="bottom"/>
          </w:tcPr>
          <w:p>
            <w:pPr>
              <w:spacing w:after="0"/>
              <w:rPr>
                <w:sz w:val="1"/>
                <w:szCs w:val="1"/>
                <w:color w:val="auto"/>
              </w:rPr>
            </w:pPr>
          </w:p>
        </w:tc>
      </w:tr>
      <w:tr>
        <w:trPr>
          <w:trHeight w:val="97"/>
        </w:trPr>
        <w:tc>
          <w:tcPr>
            <w:tcW w:w="1520" w:type="dxa"/>
            <w:vAlign w:val="bottom"/>
            <w:tcBorders>
              <w:top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rPr>
              <w:t>Altamira Technologies, LLC</w:t>
            </w:r>
          </w:p>
        </w:tc>
        <w:tc>
          <w:tcPr>
            <w:tcW w:w="2960" w:type="dxa"/>
            <w:vAlign w:val="bottom"/>
          </w:tcPr>
          <w:p>
            <w:pPr>
              <w:spacing w:after="0"/>
              <w:rPr>
                <w:sz w:val="8"/>
                <w:szCs w:val="8"/>
                <w:color w:val="auto"/>
              </w:rPr>
            </w:pPr>
          </w:p>
        </w:tc>
        <w:tc>
          <w:tcPr>
            <w:tcW w:w="214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rPr>
              <w:t>IT Services</w:t>
            </w:r>
          </w:p>
        </w:tc>
        <w:tc>
          <w:tcPr>
            <w:tcW w:w="340" w:type="dxa"/>
            <w:vAlign w:val="bottom"/>
          </w:tcPr>
          <w:p>
            <w:pPr>
              <w:spacing w:after="0"/>
              <w:rPr>
                <w:sz w:val="8"/>
                <w:szCs w:val="8"/>
                <w:color w:val="auto"/>
              </w:rPr>
            </w:pPr>
          </w:p>
        </w:tc>
        <w:tc>
          <w:tcPr>
            <w:tcW w:w="170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rPr>
              <w:t>Common Equity</w:t>
            </w:r>
          </w:p>
        </w:tc>
        <w:tc>
          <w:tcPr>
            <w:tcW w:w="340" w:type="dxa"/>
            <w:vAlign w:val="bottom"/>
          </w:tcPr>
          <w:p>
            <w:pPr>
              <w:spacing w:after="0"/>
              <w:rPr>
                <w:sz w:val="8"/>
                <w:szCs w:val="8"/>
                <w:color w:val="auto"/>
              </w:rPr>
            </w:pPr>
          </w:p>
        </w:tc>
        <w:tc>
          <w:tcPr>
            <w:tcW w:w="8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1.0</w:t>
            </w:r>
          </w:p>
        </w:tc>
        <w:tc>
          <w:tcPr>
            <w:tcW w:w="520" w:type="dxa"/>
            <w:vAlign w:val="bottom"/>
          </w:tcPr>
          <w:p>
            <w:pPr>
              <w:jc w:val="right"/>
              <w:ind w:right="365"/>
              <w:spacing w:after="0" w:line="97" w:lineRule="exact"/>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1,679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4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(Altamira Intermediate Company II, Inc.)</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8201 Greensboro Drive, Suite 800</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McLean, VA 22102</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Amsive Holding Corporation (f/k/a Vision Purchaser Corporation)</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Media</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13,712</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605 Territorial Drive</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S+640, 06/10/2025</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Suite A, B &amp; C</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Bolingbrook, IL 60440</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Anteriad, LLC (f/k/a MeritDirect, LLC)</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Media</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18,751</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(Anterida Holdings, LP (5))</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S+575, 06/30/2026</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 International Drive</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Rye Brook, NY 10573</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Any Hour Services</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Energy Equipment and Services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0.1%</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7,085</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 xml:space="preserve">(KL Stockton Co-Invest LP) </w:t>
            </w:r>
            <w:r>
              <w:rPr>
                <w:rFonts w:ascii="Times New Roman" w:cs="Times New Roman" w:eastAsia="Times New Roman" w:hAnsi="Times New Roman"/>
                <w:sz w:val="8"/>
                <w:szCs w:val="8"/>
                <w:color w:val="auto"/>
              </w:rPr>
              <w:t>(5)</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S+585, 07/21/2027</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1374 130 S</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Orem, UT 84058</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Applied Technical Services, LLC</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0.3%</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13,853</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 xml:space="preserve">(Ironclad Holdco, LLC) </w:t>
            </w:r>
            <w:r>
              <w:rPr>
                <w:rFonts w:ascii="Times New Roman" w:cs="Times New Roman" w:eastAsia="Times New Roman" w:hAnsi="Times New Roman"/>
                <w:sz w:val="8"/>
                <w:szCs w:val="8"/>
                <w:color w:val="auto"/>
              </w:rPr>
              <w:t>(5)</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S+590, 12/29/2026</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1049 Triad Ct</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Marietta, GA 30062</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Arcfield Acquisition Corp.</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Aerospace and Defense</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5,907</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14295 Park Meadow Drive</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1M S+625, 08/03/2029</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Chantilly, VA 20151</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Athletico Holdings, LLC</w:t>
            </w:r>
            <w:r>
              <w:rPr>
                <w:rFonts w:ascii="Times New Roman" w:cs="Times New Roman" w:eastAsia="Times New Roman" w:hAnsi="Times New Roman"/>
                <w:sz w:val="8"/>
                <w:szCs w:val="8"/>
                <w:color w:val="auto"/>
              </w:rPr>
              <w:t>(5)</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Common Equity</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0.4%</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4,048</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2122 York Road, Ste. 300</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Oak Brook, IL 60523</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Beta Plus Technologies, Inc.</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11,580</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7 World Trade Center, 47th Floor</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1M S+575, 07/01/2029</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New York, NY 10007</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Big Top Holdings, LLC</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Construction &amp; Engineering</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48,636</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(ACP Big Top Holdings, LP)</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1M S+625, 02/28/2030</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3255 U.S. Hwy 19 N</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Perry, FL 32347</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BioDerm, Inc.</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Healthcare Equipment and</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1,867</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(BioDerm holdings, LP)</w:t>
            </w:r>
          </w:p>
        </w:tc>
        <w:tc>
          <w:tcPr>
            <w:tcW w:w="248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auto"/>
              </w:rPr>
              <w:t>Supplies</w:t>
            </w: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1M S+650, 01/31/2028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12320 73rd Court N</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Largo, FL 33773</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Blackhawk Industrial Distribution, Inc.</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Distributors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6,307</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1501 SW Expressway Drive</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S+565, 09/17/2026</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Broken Arrow, OK 74012</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BlueHalo Financing Holdings, LLC</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Aerospace and Defense</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6,397</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410 Jan Davis Drive</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S+475, 10/31/2025</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Huntsville, AL 35806</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Broder Bros., Co.</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Textiles, Apparel and Luxury</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3,262</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Six Neshaminy Interplex, 6 Floor</w:t>
            </w:r>
          </w:p>
        </w:tc>
        <w:tc>
          <w:tcPr>
            <w:tcW w:w="248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auto"/>
              </w:rPr>
              <w:t>Goods</w:t>
            </w: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S+626, 12/04/2025</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Trevose, PA 19053</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Burgess Point Holdings, LP</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Auto Components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Common Equity</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29627 Renaissance Blvd</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Daphne, AL 26526</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00"/>
          </w:cols>
          <w:pgMar w:left="320" w:top="270"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38"/>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ind w:right="465"/>
              <w:spacing w:after="0"/>
              <w:rPr>
                <w:sz w:val="20"/>
                <w:szCs w:val="20"/>
                <w:color w:val="auto"/>
              </w:rPr>
            </w:pPr>
            <w:r>
              <w:rPr>
                <w:rFonts w:ascii="Times New Roman" w:cs="Times New Roman" w:eastAsia="Times New Roman" w:hAnsi="Times New Roman"/>
                <w:sz w:val="12"/>
                <w:szCs w:val="12"/>
                <w:b w:val="1"/>
                <w:bCs w:val="1"/>
                <w:color w:val="auto"/>
                <w:w w:val="92"/>
              </w:rPr>
              <w:t>Voting</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48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2"/>
                <w:szCs w:val="12"/>
                <w:b w:val="1"/>
                <w:bCs w:val="1"/>
                <w:color w:val="auto"/>
                <w:w w:val="95"/>
              </w:rPr>
              <w:t>Type of Investment,</w:t>
            </w:r>
          </w:p>
        </w:tc>
        <w:tc>
          <w:tcPr>
            <w:tcW w:w="1360" w:type="dxa"/>
            <w:vAlign w:val="bottom"/>
            <w:gridSpan w:val="2"/>
          </w:tcPr>
          <w:p>
            <w:pPr>
              <w:jc w:val="center"/>
              <w:ind w:right="465"/>
              <w:spacing w:after="0" w:line="11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60" w:type="dxa"/>
            <w:vAlign w:val="bottom"/>
          </w:tcPr>
          <w:p>
            <w:pPr>
              <w:spacing w:after="0"/>
              <w:rPr>
                <w:sz w:val="10"/>
                <w:szCs w:val="10"/>
                <w:color w:val="auto"/>
              </w:rPr>
            </w:pPr>
          </w:p>
        </w:tc>
        <w:tc>
          <w:tcPr>
            <w:tcW w:w="8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0" w:type="dxa"/>
            <w:vAlign w:val="bottom"/>
          </w:tcPr>
          <w:p>
            <w:pPr>
              <w:spacing w:after="0"/>
              <w:rPr>
                <w:sz w:val="1"/>
                <w:szCs w:val="1"/>
                <w:color w:val="auto"/>
              </w:rPr>
            </w:pPr>
          </w:p>
        </w:tc>
      </w:tr>
      <w:tr>
        <w:trPr>
          <w:trHeight w:val="157"/>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2960" w:type="dxa"/>
            <w:vAlign w:val="bottom"/>
          </w:tcPr>
          <w:p>
            <w:pPr>
              <w:spacing w:after="0"/>
              <w:rPr>
                <w:sz w:val="13"/>
                <w:szCs w:val="13"/>
                <w:color w:val="auto"/>
              </w:rPr>
            </w:pP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5"/>
              </w:rPr>
              <w:t>Nature of Business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6"/>
              </w:rPr>
              <w:t>Interest (1), Maturity</w:t>
            </w:r>
          </w:p>
        </w:tc>
        <w:tc>
          <w:tcPr>
            <w:tcW w:w="1360" w:type="dxa"/>
            <w:vAlign w:val="bottom"/>
            <w:gridSpan w:val="2"/>
          </w:tcPr>
          <w:p>
            <w:pPr>
              <w:jc w:val="center"/>
              <w:ind w:right="465"/>
              <w:spacing w:after="0"/>
              <w:rPr>
                <w:sz w:val="20"/>
                <w:szCs w:val="20"/>
                <w:color w:val="auto"/>
              </w:rPr>
            </w:pPr>
            <w:r>
              <w:rPr>
                <w:rFonts w:ascii="Times New Roman" w:cs="Times New Roman" w:eastAsia="Times New Roman" w:hAnsi="Times New Roman"/>
                <w:sz w:val="12"/>
                <w:szCs w:val="12"/>
                <w:b w:val="1"/>
                <w:bCs w:val="1"/>
                <w:color w:val="auto"/>
                <w:w w:val="97"/>
              </w:rPr>
              <w:t>Ownership (2)</w:t>
            </w:r>
          </w:p>
        </w:tc>
        <w:tc>
          <w:tcPr>
            <w:tcW w:w="6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(in thousands)</w:t>
            </w:r>
          </w:p>
        </w:tc>
        <w:tc>
          <w:tcPr>
            <w:tcW w:w="0" w:type="dxa"/>
            <w:vAlign w:val="bottom"/>
          </w:tcPr>
          <w:p>
            <w:pPr>
              <w:spacing w:after="0"/>
              <w:rPr>
                <w:sz w:val="1"/>
                <w:szCs w:val="1"/>
                <w:color w:val="auto"/>
              </w:rPr>
            </w:pPr>
          </w:p>
        </w:tc>
      </w:tr>
      <w:tr>
        <w:trPr>
          <w:trHeight w:val="102"/>
        </w:trPr>
        <w:tc>
          <w:tcPr>
            <w:tcW w:w="448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color w:val="auto"/>
              </w:rPr>
              <w:t>By Light Professional IT Services, LLC</w:t>
            </w:r>
          </w:p>
        </w:tc>
        <w:tc>
          <w:tcPr>
            <w:tcW w:w="21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High Tech Industries</w:t>
            </w:r>
          </w:p>
        </w:tc>
        <w:tc>
          <w:tcPr>
            <w:tcW w:w="340" w:type="dxa"/>
            <w:vAlign w:val="bottom"/>
          </w:tcPr>
          <w:p>
            <w:pPr>
              <w:spacing w:after="0"/>
              <w:rPr>
                <w:sz w:val="8"/>
                <w:szCs w:val="8"/>
                <w:color w:val="auto"/>
              </w:rPr>
            </w:pPr>
          </w:p>
        </w:tc>
        <w:tc>
          <w:tcPr>
            <w:tcW w:w="17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First Lien Secured Debt(4),</w:t>
            </w:r>
          </w:p>
        </w:tc>
        <w:tc>
          <w:tcPr>
            <w:tcW w:w="340" w:type="dxa"/>
            <w:vAlign w:val="bottom"/>
          </w:tcPr>
          <w:p>
            <w:pPr>
              <w:spacing w:after="0"/>
              <w:rPr>
                <w:sz w:val="8"/>
                <w:szCs w:val="8"/>
                <w:color w:val="auto"/>
              </w:rPr>
            </w:pPr>
          </w:p>
        </w:tc>
        <w:tc>
          <w:tcPr>
            <w:tcW w:w="8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2.9</w:t>
            </w:r>
          </w:p>
        </w:tc>
        <w:tc>
          <w:tcPr>
            <w:tcW w:w="520" w:type="dxa"/>
            <w:vAlign w:val="bottom"/>
          </w:tcPr>
          <w:p>
            <w:pPr>
              <w:jc w:val="right"/>
              <w:ind w:right="365"/>
              <w:spacing w:after="0" w:line="102" w:lineRule="exact"/>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40,004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(By Light Investco, LP)</w:t>
            </w:r>
            <w:r>
              <w:rPr>
                <w:rFonts w:ascii="Times New Roman" w:cs="Times New Roman" w:eastAsia="Times New Roman" w:hAnsi="Times New Roman"/>
                <w:sz w:val="8"/>
                <w:szCs w:val="8"/>
                <w:color w:val="auto"/>
              </w:rPr>
              <w:t>(5)</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S+688, 05/16/2025</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8484 Westpark Drive Suite 600</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McLean, VA 22102</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Carisk Buyer, Inc.</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Healthcare Technology</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0.2%</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5,600</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(Carisk Parent, LP)</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S+575, 12/01/2029</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10685 North Kendall Drive</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Miami, FL 33176</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Carnegie Dartlet, LLC</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Professional Services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48,279</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(Carnegie HoldCo, LLC)</w:t>
            </w:r>
            <w:r>
              <w:rPr>
                <w:rFonts w:ascii="Times New Roman" w:cs="Times New Roman" w:eastAsia="Times New Roman" w:hAnsi="Times New Roman"/>
                <w:sz w:val="8"/>
                <w:szCs w:val="8"/>
                <w:color w:val="auto"/>
              </w:rPr>
              <w:t>(5)</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S+550, 02/07/2030</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210 Littleton Road, Suite 100</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Westford, MA 01886</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Cartessa Aesthetics, LLC</w:t>
            </w:r>
            <w:r>
              <w:rPr>
                <w:rFonts w:ascii="Times New Roman" w:cs="Times New Roman" w:eastAsia="Times New Roman" w:hAnsi="Times New Roman"/>
                <w:sz w:val="8"/>
                <w:szCs w:val="8"/>
                <w:color w:val="auto"/>
              </w:rPr>
              <w:t>(5)</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Distributors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0.8%</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15,787</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175 Broadhollow Road</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1M S+575, 06/14/2028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Melville, NY 11747</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Preferred Equity</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CF512, Inc.</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Media</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0.3%</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5,991</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(StellPen Holdings, LLC)</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S+619, 08/20/2026</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960B Harvest Drive</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Blue Bell, PA 19422</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Challenger Performance Optimization, Inc. 1201 Wilson Blvd</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Business Services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227</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Arlington, VA 22209</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auto"/>
              </w:rPr>
              <w:t>3M S+775 (PIK 2.00%),</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08/31/2024</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Compex Legal Services, Inc.</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Professional Services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9,160</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1100 Glendon Avenue</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S+555, 02/09/2026</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Suite 1200</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 Angeles, CA 90024</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Confluent Health, LLC</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6,948</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75 S English Station Road</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auto"/>
              </w:rPr>
              <w:t>3M S+500, 11/30/2028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Louisville, KY 40245</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Connatix Buyer, Inc.</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Media</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3,769</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(Connatix Parent, LLC)</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S+576, 07/13/2027</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666 Broadway, Floor 10</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New York, NY 10012</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Crane 1 Services, Inc.</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365"/>
              <w:spacing w:after="0"/>
              <w:rPr>
                <w:sz w:val="20"/>
                <w:szCs w:val="20"/>
                <w:color w:val="auto"/>
              </w:rPr>
            </w:pPr>
            <w:r>
              <w:rPr>
                <w:rFonts w:ascii="Times New Roman" w:cs="Times New Roman" w:eastAsia="Times New Roman" w:hAnsi="Times New Roman"/>
                <w:sz w:val="13"/>
                <w:szCs w:val="13"/>
                <w:color w:val="auto"/>
              </w:rPr>
              <w:t>0.5%</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1,228</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(Crane 1 Acquisition Parent Holdings, L.P.)</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S+501, 08/16/2027</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1027 Byers Rd</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Miamisburg, OH 45342</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 Squatch, LLC</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Personal Products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6,596</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2355 Westwood Blvd. #1834</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S+585, 08/31/2027</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 Angeles, CA 90064</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DRS Holdings III, Inc.</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15,810</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225 State Street</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auto"/>
              </w:rPr>
              <w:t>3M S+640, 11/03/2025</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Boston MA 02109</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Duraco Specialty Tapes LLC</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Containers and Packaging</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3,417</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7400 Industrial Dr.</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3M S+650, 06/30/2024</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Forest Park, IL 60130</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ECL Entertainment, LLC</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rPr>
              <w:t>Hotels, Restaurants and Leisure</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360" w:type="dxa"/>
            <w:vAlign w:val="bottom"/>
            <w:gridSpan w:val="2"/>
          </w:tcPr>
          <w:p>
            <w:pPr>
              <w:jc w:val="right"/>
              <w:ind w:right="50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5,928</w:t>
            </w: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(Kentucky Racing Holco, LLC)</w:t>
            </w:r>
            <w:r>
              <w:rPr>
                <w:rFonts w:ascii="Times New Roman" w:cs="Times New Roman" w:eastAsia="Times New Roman" w:hAnsi="Times New Roman"/>
                <w:sz w:val="8"/>
                <w:szCs w:val="8"/>
                <w:color w:val="auto"/>
              </w:rPr>
              <w:t>(5)</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1M S+475, 08/31/2030</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5629 Nashville Rd</w:t>
            </w:r>
          </w:p>
        </w:tc>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3"/>
                <w:szCs w:val="13"/>
                <w:color w:val="auto"/>
              </w:rPr>
              <w:t>Warrants</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Franklin, KY 42134</w:t>
            </w: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00"/>
          </w:cols>
          <w:pgMar w:left="320" w:top="270" w:right="379" w:bottom="1440" w:gutter="0" w:footer="0" w:header="0"/>
        </w:sectPr>
      </w:pPr>
    </w:p>
    <w:bookmarkStart w:id="28" w:name="page29"/>
    <w:bookmarkEnd w:id="28"/>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and</w:t>
      </w:r>
    </w:p>
    <w:p>
      <w:pPr>
        <w:spacing w:after="0" w:line="235" w:lineRule="auto"/>
        <w:rPr>
          <w:sz w:val="20"/>
          <w:szCs w:val="20"/>
          <w:color w:val="auto"/>
        </w:rPr>
      </w:pPr>
      <w:r>
        <w:rPr>
          <w:rFonts w:ascii="Times New Roman" w:cs="Times New Roman" w:eastAsia="Times New Roman" w:hAnsi="Times New Roman"/>
          <w:sz w:val="12"/>
          <w:szCs w:val="12"/>
          <w:b w:val="1"/>
          <w:bCs w:val="1"/>
          <w:u w:val="single" w:color="auto"/>
          <w:color w:val="auto"/>
        </w:rPr>
        <w:t>Address of Portfolio Company</w:t>
      </w:r>
    </w:p>
    <w:p>
      <w:pPr>
        <w:spacing w:after="0" w:line="220" w:lineRule="auto"/>
        <w:rPr>
          <w:sz w:val="20"/>
          <w:szCs w:val="20"/>
          <w:color w:val="auto"/>
        </w:rPr>
      </w:pPr>
      <w:r>
        <w:rPr>
          <w:rFonts w:ascii="Times New Roman" w:cs="Times New Roman" w:eastAsia="Times New Roman" w:hAnsi="Times New Roman"/>
          <w:sz w:val="13"/>
          <w:szCs w:val="13"/>
          <w:color w:val="auto"/>
        </w:rPr>
        <w:t>eCommission Holding Corporation</w:t>
      </w:r>
      <w:r>
        <w:rPr>
          <w:rFonts w:ascii="Times New Roman" w:cs="Times New Roman" w:eastAsia="Times New Roman" w:hAnsi="Times New Roman"/>
          <w:sz w:val="8"/>
          <w:szCs w:val="8"/>
          <w:color w:val="auto"/>
        </w:rPr>
        <w:t>(6)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11612 Bee Caves Road, Building II, Suite 200 Austin, TX, 78738</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EDS Buyer, LLC</w:t>
      </w:r>
    </w:p>
    <w:p>
      <w:pPr>
        <w:spacing w:after="0" w:line="222" w:lineRule="auto"/>
        <w:rPr>
          <w:sz w:val="20"/>
          <w:szCs w:val="20"/>
          <w:color w:val="auto"/>
        </w:rPr>
      </w:pPr>
      <w:r>
        <w:rPr>
          <w:rFonts w:ascii="Times New Roman" w:cs="Times New Roman" w:eastAsia="Times New Roman" w:hAnsi="Times New Roman"/>
          <w:sz w:val="13"/>
          <w:szCs w:val="13"/>
          <w:color w:val="auto"/>
        </w:rPr>
        <w:t>(EDS Topco, LP)</w:t>
      </w:r>
    </w:p>
    <w:p>
      <w:pPr>
        <w:spacing w:after="0" w:line="221" w:lineRule="auto"/>
        <w:rPr>
          <w:sz w:val="20"/>
          <w:szCs w:val="20"/>
          <w:color w:val="auto"/>
        </w:rPr>
      </w:pPr>
      <w:r>
        <w:rPr>
          <w:rFonts w:ascii="Times New Roman" w:cs="Times New Roman" w:eastAsia="Times New Roman" w:hAnsi="Times New Roman"/>
          <w:sz w:val="13"/>
          <w:szCs w:val="13"/>
          <w:color w:val="auto"/>
        </w:rPr>
        <w:t>810 7th Ave 12th floor</w:t>
      </w:r>
    </w:p>
    <w:p>
      <w:pPr>
        <w:spacing w:after="0"/>
        <w:rPr>
          <w:sz w:val="20"/>
          <w:szCs w:val="20"/>
          <w:color w:val="auto"/>
        </w:rPr>
      </w:pPr>
      <w:r>
        <w:rPr>
          <w:rFonts w:ascii="Times New Roman" w:cs="Times New Roman" w:eastAsia="Times New Roman" w:hAnsi="Times New Roman"/>
          <w:sz w:val="13"/>
          <w:szCs w:val="13"/>
          <w:color w:val="auto"/>
        </w:rPr>
        <w:t>New York, NY 10019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2"/>
          </w:tcPr>
          <w:p>
            <w:pPr>
              <w:jc w:val="center"/>
              <w:ind w:right="914"/>
              <w:spacing w:after="0"/>
              <w:rPr>
                <w:sz w:val="20"/>
                <w:szCs w:val="20"/>
                <w:color w:val="auto"/>
              </w:rPr>
            </w:pPr>
            <w:r>
              <w:rPr>
                <w:rFonts w:ascii="Times New Roman" w:cs="Times New Roman" w:eastAsia="Times New Roman" w:hAnsi="Times New Roman"/>
                <w:sz w:val="12"/>
                <w:szCs w:val="12"/>
                <w:b w:val="1"/>
                <w:bCs w:val="1"/>
                <w:color w:val="auto"/>
                <w:w w:val="92"/>
              </w:rPr>
              <w:t>Voting</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20" w:type="dxa"/>
            <w:vAlign w:val="bottom"/>
            <w:gridSpan w:val="2"/>
          </w:tcPr>
          <w:p>
            <w:pPr>
              <w:jc w:val="center"/>
              <w:ind w:right="840"/>
              <w:spacing w:after="0" w:line="125" w:lineRule="exact"/>
              <w:rPr>
                <w:sz w:val="20"/>
                <w:szCs w:val="20"/>
                <w:color w:val="auto"/>
              </w:rPr>
            </w:pPr>
            <w:r>
              <w:rPr>
                <w:rFonts w:ascii="Times New Roman" w:cs="Times New Roman" w:eastAsia="Times New Roman" w:hAnsi="Times New Roman"/>
                <w:sz w:val="12"/>
                <w:szCs w:val="12"/>
                <w:b w:val="1"/>
                <w:bCs w:val="1"/>
                <w:color w:val="auto"/>
                <w:w w:val="97"/>
              </w:rPr>
              <w:t>Type of Investment,</w:t>
            </w:r>
          </w:p>
        </w:tc>
        <w:tc>
          <w:tcPr>
            <w:tcW w:w="1700" w:type="dxa"/>
            <w:vAlign w:val="bottom"/>
            <w:gridSpan w:val="2"/>
          </w:tcPr>
          <w:p>
            <w:pPr>
              <w:jc w:val="center"/>
              <w:ind w:right="934"/>
              <w:spacing w:after="0" w:line="125" w:lineRule="exact"/>
              <w:rPr>
                <w:sz w:val="20"/>
                <w:szCs w:val="20"/>
                <w:color w:val="auto"/>
              </w:rPr>
            </w:pPr>
            <w:r>
              <w:rPr>
                <w:rFonts w:ascii="Times New Roman" w:cs="Times New Roman" w:eastAsia="Times New Roman" w:hAnsi="Times New Roman"/>
                <w:sz w:val="12"/>
                <w:szCs w:val="12"/>
                <w:b w:val="1"/>
                <w:bCs w:val="1"/>
                <w:color w:val="auto"/>
                <w:w w:val="95"/>
              </w:rPr>
              <w:t>Percentage</w:t>
            </w:r>
          </w:p>
        </w:tc>
        <w:tc>
          <w:tcPr>
            <w:tcW w:w="80" w:type="dxa"/>
            <w:vAlign w:val="bottom"/>
          </w:tcPr>
          <w:p>
            <w:pPr>
              <w:spacing w:after="0"/>
              <w:rPr>
                <w:sz w:val="10"/>
                <w:szCs w:val="10"/>
                <w:color w:val="auto"/>
              </w:rPr>
            </w:pPr>
          </w:p>
        </w:tc>
        <w:tc>
          <w:tcPr>
            <w:tcW w:w="640" w:type="dxa"/>
            <w:vAlign w:val="bottom"/>
          </w:tcPr>
          <w:p>
            <w:pPr>
              <w:jc w:val="right"/>
              <w:ind w:right="38"/>
              <w:spacing w:after="0" w:line="125"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0" w:type="dxa"/>
            <w:vAlign w:val="bottom"/>
          </w:tcPr>
          <w:p>
            <w:pPr>
              <w:spacing w:after="0"/>
              <w:rPr>
                <w:sz w:val="1"/>
                <w:szCs w:val="1"/>
                <w:color w:val="auto"/>
              </w:rPr>
            </w:pPr>
          </w:p>
        </w:tc>
      </w:tr>
      <w:tr>
        <w:trPr>
          <w:trHeight w:val="122"/>
        </w:trPr>
        <w:tc>
          <w:tcPr>
            <w:tcW w:w="2520" w:type="dxa"/>
            <w:vAlign w:val="bottom"/>
            <w:gridSpan w:val="2"/>
          </w:tcPr>
          <w:p>
            <w:pPr>
              <w:jc w:val="center"/>
              <w:ind w:right="840"/>
              <w:spacing w:after="0" w:line="122" w:lineRule="exact"/>
              <w:rPr>
                <w:sz w:val="20"/>
                <w:szCs w:val="20"/>
                <w:color w:val="auto"/>
              </w:rPr>
            </w:pPr>
            <w:r>
              <w:rPr>
                <w:rFonts w:ascii="Times New Roman" w:cs="Times New Roman" w:eastAsia="Times New Roman" w:hAnsi="Times New Roman"/>
                <w:sz w:val="12"/>
                <w:szCs w:val="12"/>
                <w:b w:val="1"/>
                <w:bCs w:val="1"/>
                <w:color w:val="auto"/>
                <w:w w:val="95"/>
              </w:rPr>
              <w:t>Nature of Business</w:t>
            </w:r>
          </w:p>
        </w:tc>
        <w:tc>
          <w:tcPr>
            <w:tcW w:w="2320" w:type="dxa"/>
            <w:vAlign w:val="bottom"/>
            <w:gridSpan w:val="2"/>
          </w:tcPr>
          <w:p>
            <w:pPr>
              <w:jc w:val="center"/>
              <w:ind w:right="840"/>
              <w:spacing w:after="0" w:line="122" w:lineRule="exact"/>
              <w:rPr>
                <w:sz w:val="20"/>
                <w:szCs w:val="20"/>
                <w:color w:val="auto"/>
              </w:rPr>
            </w:pPr>
            <w:r>
              <w:rPr>
                <w:rFonts w:ascii="Times New Roman" w:cs="Times New Roman" w:eastAsia="Times New Roman" w:hAnsi="Times New Roman"/>
                <w:sz w:val="12"/>
                <w:szCs w:val="12"/>
                <w:b w:val="1"/>
                <w:bCs w:val="1"/>
                <w:color w:val="auto"/>
                <w:w w:val="98"/>
              </w:rPr>
              <w:t>Interest (1), Maturity</w:t>
            </w:r>
          </w:p>
        </w:tc>
        <w:tc>
          <w:tcPr>
            <w:tcW w:w="1700" w:type="dxa"/>
            <w:vAlign w:val="bottom"/>
            <w:gridSpan w:val="2"/>
          </w:tcPr>
          <w:p>
            <w:pPr>
              <w:jc w:val="center"/>
              <w:ind w:right="914"/>
              <w:spacing w:after="0" w:line="122" w:lineRule="exact"/>
              <w:rPr>
                <w:sz w:val="20"/>
                <w:szCs w:val="20"/>
                <w:color w:val="auto"/>
              </w:rPr>
            </w:pPr>
            <w:r>
              <w:rPr>
                <w:rFonts w:ascii="Times New Roman" w:cs="Times New Roman" w:eastAsia="Times New Roman" w:hAnsi="Times New Roman"/>
                <w:sz w:val="12"/>
                <w:szCs w:val="12"/>
                <w:b w:val="1"/>
                <w:bCs w:val="1"/>
                <w:color w:val="auto"/>
                <w:w w:val="97"/>
              </w:rPr>
              <w:t>Ownership (2)</w:t>
            </w:r>
          </w:p>
        </w:tc>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b w:val="1"/>
                <w:bCs w:val="1"/>
                <w:color w:val="auto"/>
                <w:w w:val="95"/>
              </w:rPr>
              <w:t>(in thousands)</w:t>
            </w: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vMerge w:val="restart"/>
          </w:tcPr>
          <w:p>
            <w:pPr>
              <w:jc w:val="right"/>
              <w:ind w:right="814"/>
              <w:spacing w:after="0"/>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9"/>
        </w:trPr>
        <w:tc>
          <w:tcPr>
            <w:tcW w:w="168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Banking, Finance, Insurance &amp;</w:t>
            </w:r>
          </w:p>
        </w:tc>
        <w:tc>
          <w:tcPr>
            <w:tcW w:w="840" w:type="dxa"/>
            <w:vAlign w:val="bottom"/>
            <w:vMerge w:val="continue"/>
          </w:tcPr>
          <w:p>
            <w:pPr>
              <w:spacing w:after="0"/>
              <w:rPr>
                <w:sz w:val="9"/>
                <w:szCs w:val="9"/>
                <w:color w:val="auto"/>
              </w:rPr>
            </w:pPr>
          </w:p>
        </w:tc>
        <w:tc>
          <w:tcPr>
            <w:tcW w:w="148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color w:val="auto"/>
              </w:rPr>
              <w:t>Common Equity</w:t>
            </w:r>
          </w:p>
        </w:tc>
        <w:tc>
          <w:tcPr>
            <w:tcW w:w="840" w:type="dxa"/>
            <w:vAlign w:val="bottom"/>
            <w:vMerge w:val="continue"/>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1.4</w:t>
            </w:r>
          </w:p>
        </w:tc>
        <w:tc>
          <w:tcPr>
            <w:tcW w:w="980" w:type="dxa"/>
            <w:vAlign w:val="bottom"/>
            <w:vMerge w:val="continue"/>
          </w:tcPr>
          <w:p>
            <w:pPr>
              <w:spacing w:after="0"/>
              <w:rPr>
                <w:sz w:val="9"/>
                <w:szCs w:val="9"/>
                <w:color w:val="auto"/>
              </w:rPr>
            </w:pPr>
          </w:p>
        </w:tc>
        <w:tc>
          <w:tcPr>
            <w:tcW w:w="8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596</w:t>
            </w:r>
          </w:p>
        </w:tc>
        <w:tc>
          <w:tcPr>
            <w:tcW w:w="0" w:type="dxa"/>
            <w:vAlign w:val="bottom"/>
          </w:tcPr>
          <w:p>
            <w:pPr>
              <w:spacing w:after="0"/>
              <w:rPr>
                <w:sz w:val="1"/>
                <w:szCs w:val="1"/>
                <w:color w:val="auto"/>
              </w:rPr>
            </w:pPr>
          </w:p>
        </w:tc>
      </w:tr>
      <w:tr>
        <w:trPr>
          <w:trHeight w:val="172"/>
        </w:trPr>
        <w:tc>
          <w:tcPr>
            <w:tcW w:w="2520" w:type="dxa"/>
            <w:vAlign w:val="bottom"/>
            <w:gridSpan w:val="2"/>
          </w:tcPr>
          <w:p>
            <w:pPr>
              <w:jc w:val="center"/>
              <w:ind w:right="840"/>
              <w:spacing w:after="0"/>
              <w:rPr>
                <w:sz w:val="20"/>
                <w:szCs w:val="20"/>
                <w:color w:val="auto"/>
              </w:rPr>
            </w:pPr>
            <w:r>
              <w:rPr>
                <w:rFonts w:ascii="Times New Roman" w:cs="Times New Roman" w:eastAsia="Times New Roman" w:hAnsi="Times New Roman"/>
                <w:sz w:val="13"/>
                <w:szCs w:val="13"/>
                <w:color w:val="auto"/>
              </w:rPr>
              <w:t>Real Estate</w:t>
            </w: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20" w:type="dxa"/>
            <w:vAlign w:val="bottom"/>
            <w:gridSpan w:val="2"/>
          </w:tcPr>
          <w:p>
            <w:pPr>
              <w:jc w:val="center"/>
              <w:ind w:right="840"/>
              <w:spacing w:after="0"/>
              <w:rPr>
                <w:sz w:val="20"/>
                <w:szCs w:val="20"/>
                <w:color w:val="auto"/>
              </w:rPr>
            </w:pPr>
            <w:r>
              <w:rPr>
                <w:rFonts w:ascii="Times New Roman" w:cs="Times New Roman" w:eastAsia="Times New Roman" w:hAnsi="Times New Roman"/>
                <w:sz w:val="13"/>
                <w:szCs w:val="13"/>
                <w:color w:val="auto"/>
              </w:rPr>
              <w:t>Electronic Equipment,</w:t>
            </w:r>
          </w:p>
        </w:tc>
        <w:tc>
          <w:tcPr>
            <w:tcW w:w="2320" w:type="dxa"/>
            <w:vAlign w:val="bottom"/>
            <w:gridSpan w:val="2"/>
          </w:tcPr>
          <w:p>
            <w:pPr>
              <w:jc w:val="center"/>
              <w:ind w:right="8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700" w:type="dxa"/>
            <w:vAlign w:val="bottom"/>
            <w:gridSpan w:val="2"/>
          </w:tcPr>
          <w:p>
            <w:pPr>
              <w:jc w:val="right"/>
              <w:ind w:right="814"/>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4,952</w:t>
            </w:r>
          </w:p>
        </w:tc>
        <w:tc>
          <w:tcPr>
            <w:tcW w:w="0" w:type="dxa"/>
            <w:vAlign w:val="bottom"/>
          </w:tcPr>
          <w:p>
            <w:pPr>
              <w:spacing w:after="0"/>
              <w:rPr>
                <w:sz w:val="1"/>
                <w:szCs w:val="1"/>
                <w:color w:val="auto"/>
              </w:rPr>
            </w:pPr>
          </w:p>
        </w:tc>
      </w:tr>
      <w:tr>
        <w:trPr>
          <w:trHeight w:val="137"/>
        </w:trPr>
        <w:tc>
          <w:tcPr>
            <w:tcW w:w="2520" w:type="dxa"/>
            <w:vAlign w:val="bottom"/>
            <w:gridSpan w:val="2"/>
          </w:tcPr>
          <w:p>
            <w:pPr>
              <w:jc w:val="center"/>
              <w:ind w:right="840"/>
              <w:spacing w:after="0" w:line="138" w:lineRule="exact"/>
              <w:rPr>
                <w:sz w:val="20"/>
                <w:szCs w:val="20"/>
                <w:color w:val="auto"/>
              </w:rPr>
            </w:pPr>
            <w:r>
              <w:rPr>
                <w:rFonts w:ascii="Times New Roman" w:cs="Times New Roman" w:eastAsia="Times New Roman" w:hAnsi="Times New Roman"/>
                <w:sz w:val="13"/>
                <w:szCs w:val="13"/>
                <w:color w:val="auto"/>
              </w:rPr>
              <w:t>Instruments, and Components</w:t>
            </w:r>
          </w:p>
        </w:tc>
        <w:tc>
          <w:tcPr>
            <w:tcW w:w="2320" w:type="dxa"/>
            <w:vAlign w:val="bottom"/>
            <w:gridSpan w:val="2"/>
          </w:tcPr>
          <w:p>
            <w:pPr>
              <w:jc w:val="center"/>
              <w:ind w:right="840"/>
              <w:spacing w:after="0" w:line="138" w:lineRule="exact"/>
              <w:rPr>
                <w:sz w:val="20"/>
                <w:szCs w:val="20"/>
                <w:color w:val="auto"/>
              </w:rPr>
            </w:pPr>
            <w:r>
              <w:rPr>
                <w:rFonts w:ascii="Times New Roman" w:cs="Times New Roman" w:eastAsia="Times New Roman" w:hAnsi="Times New Roman"/>
                <w:sz w:val="13"/>
                <w:szCs w:val="13"/>
                <w:color w:val="auto"/>
              </w:rPr>
              <w:t>3M S+575, 01/10/2029</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2"/>
          </w:tcPr>
          <w:p>
            <w:pPr>
              <w:jc w:val="center"/>
              <w:ind w:right="840"/>
              <w:spacing w:after="0"/>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-855980</wp:posOffset>
            </wp:positionV>
            <wp:extent cx="7183755" cy="520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3500" w:space="460"/>
            <w:col w:w="7260"/>
          </w:cols>
          <w:pgMar w:left="320" w:top="270" w:right="359" w:bottom="1440" w:gutter="0" w:footer="0" w:header="0"/>
        </w:sect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Efficient Collaborative Retail Marketing Company, LLC</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Media: Diversified and</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First Lien Secured Debt,</w:t>
            </w:r>
          </w:p>
        </w:tc>
        <w:tc>
          <w:tcPr>
            <w:tcW w:w="160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5,706</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27070 Miles Road</w:t>
            </w:r>
          </w:p>
        </w:tc>
        <w:tc>
          <w:tcPr>
            <w:tcW w:w="25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Production</w:t>
            </w: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3M S+900 (PIK 1.50%),</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Solon, OH 44139</w:t>
            </w:r>
          </w:p>
        </w:tc>
        <w:tc>
          <w:tcPr>
            <w:tcW w:w="2580" w:type="dxa"/>
            <w:vAlign w:val="bottom"/>
          </w:tcPr>
          <w:p>
            <w:pPr>
              <w:spacing w:after="0"/>
              <w:rPr>
                <w:sz w:val="14"/>
                <w:szCs w:val="14"/>
                <w:color w:val="auto"/>
              </w:rPr>
            </w:pP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06/15/2024</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Eisner Advisory Group, LLC</w:t>
            </w:r>
          </w:p>
        </w:tc>
        <w:tc>
          <w:tcPr>
            <w:tcW w:w="258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Professional Services</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First Lien Secured Debt,</w:t>
            </w:r>
          </w:p>
        </w:tc>
        <w:tc>
          <w:tcPr>
            <w:tcW w:w="160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7,018</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733 Third Avenue</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3M S+400, 02/23/2031</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New York, NY 10017</w:t>
            </w:r>
          </w:p>
        </w:tc>
        <w:tc>
          <w:tcPr>
            <w:tcW w:w="2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ETE Intermediate II, LLC</w:t>
            </w:r>
          </w:p>
        </w:tc>
        <w:tc>
          <w:tcPr>
            <w:tcW w:w="258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Diversified Consumer Services</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First Lien Secured Debt,</w:t>
            </w:r>
          </w:p>
        </w:tc>
        <w:tc>
          <w:tcPr>
            <w:tcW w:w="160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0.2%</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(Gauge ETE Blocker, LLC)</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—(4), 05/25/2029</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1604 South West Avenue</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12.56% Fixed, 05/19/2029</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Waukesha, WI 53186</w:t>
            </w:r>
          </w:p>
        </w:tc>
        <w:tc>
          <w:tcPr>
            <w:tcW w:w="2580" w:type="dxa"/>
            <w:vAlign w:val="bottom"/>
          </w:tcPr>
          <w:p>
            <w:pPr>
              <w:spacing w:after="0"/>
              <w:rPr>
                <w:sz w:val="14"/>
                <w:szCs w:val="14"/>
                <w:color w:val="auto"/>
              </w:rPr>
            </w:pP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Common Equity</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Exigo Intermediate II, LLC</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Software</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0.5%</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(Exigo, LLC)</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 , 03/15/2027</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1256 Main Street, Suite 256</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Southlake, TX 76092</w:t>
            </w:r>
          </w:p>
        </w:tc>
        <w:tc>
          <w:tcPr>
            <w:tcW w:w="2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Fairbanks Morse Defense</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Aerospace and Defense</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First Lien Secured Debt,</w:t>
            </w:r>
          </w:p>
        </w:tc>
        <w:tc>
          <w:tcPr>
            <w:tcW w:w="160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655 3rd St Suite 301</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3M S+501, 06/23/2028</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Beloit, WI 53511</w:t>
            </w:r>
          </w:p>
        </w:tc>
        <w:tc>
          <w:tcPr>
            <w:tcW w:w="2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FedHC InvestCo LP</w:t>
            </w:r>
            <w:r>
              <w:rPr>
                <w:rFonts w:ascii="Times New Roman" w:cs="Times New Roman" w:eastAsia="Times New Roman" w:hAnsi="Times New Roman"/>
                <w:sz w:val="8"/>
                <w:szCs w:val="8"/>
                <w:color w:val="auto"/>
              </w:rPr>
              <w:t>(5)</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Aerospace and Defense</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Common Equity(4)</w:t>
            </w:r>
          </w:p>
        </w:tc>
        <w:tc>
          <w:tcPr>
            <w:tcW w:w="160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3100 Clarendon Blvd</w:t>
            </w:r>
          </w:p>
        </w:tc>
        <w:tc>
          <w:tcPr>
            <w:tcW w:w="25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Arlington, VA 22201</w:t>
            </w:r>
          </w:p>
        </w:tc>
        <w:tc>
          <w:tcPr>
            <w:tcW w:w="2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Five Star Buyer, Inc.</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Hotels, Restaurants and Leisure</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5,061</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(Five Star Parent Holdings, LLC)</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3M S+710, 02/23/2028</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3388 Green Mountain Dr</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Branson, MO 65616</w:t>
            </w:r>
          </w:p>
        </w:tc>
        <w:tc>
          <w:tcPr>
            <w:tcW w:w="2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GCOM InvestCo LP</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IT Services</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Common Equity</w:t>
            </w:r>
          </w:p>
        </w:tc>
        <w:tc>
          <w:tcPr>
            <w:tcW w:w="160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4,557</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9175 Guilford Road, Suite 101</w:t>
            </w:r>
          </w:p>
        </w:tc>
        <w:tc>
          <w:tcPr>
            <w:tcW w:w="25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Columbia, MD 21046</w:t>
            </w:r>
          </w:p>
        </w:tc>
        <w:tc>
          <w:tcPr>
            <w:tcW w:w="2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Global Holdings InterCo LLC</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Diversified Financial Services</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First Lien Secured Debt,</w:t>
            </w:r>
          </w:p>
        </w:tc>
        <w:tc>
          <w:tcPr>
            <w:tcW w:w="160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4,761</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4343 South 118th East Ave Suite 220</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3M S+610, 03/16/2026</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Tulsa, OK 74146</w:t>
            </w:r>
          </w:p>
        </w:tc>
        <w:tc>
          <w:tcPr>
            <w:tcW w:w="2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Graffiti Buyer, Inc.</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Trading Companies &amp;</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tcPr>
          <w:p>
            <w:pPr>
              <w:jc w:val="right"/>
              <w:ind w:right="694"/>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25195 Brest Road</w:t>
            </w:r>
          </w:p>
        </w:tc>
        <w:tc>
          <w:tcPr>
            <w:tcW w:w="25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Distributors</w:t>
            </w: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3M S+560, 08/10/2027</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Taylor, MI 48180</w:t>
            </w:r>
          </w:p>
        </w:tc>
        <w:tc>
          <w:tcPr>
            <w:tcW w:w="2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Hancock Roofing and Construction L.L.C.</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Insurance</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4,338</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(Hancock Claims Consultants Investors, LLC)</w:t>
            </w:r>
            <w:r>
              <w:rPr>
                <w:rFonts w:ascii="Times New Roman" w:cs="Times New Roman" w:eastAsia="Times New Roman" w:hAnsi="Times New Roman"/>
                <w:sz w:val="8"/>
                <w:szCs w:val="8"/>
                <w:color w:val="auto"/>
              </w:rPr>
              <w:t>(5)</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3M S+560, 12/31/2026</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6875 Shiloh Rd. East</w:t>
            </w:r>
          </w:p>
        </w:tc>
        <w:tc>
          <w:tcPr>
            <w:tcW w:w="2580" w:type="dxa"/>
            <w:vAlign w:val="bottom"/>
          </w:tcPr>
          <w:p>
            <w:pPr>
              <w:spacing w:after="0"/>
              <w:rPr>
                <w:sz w:val="14"/>
                <w:szCs w:val="14"/>
                <w:color w:val="auto"/>
              </w:rPr>
            </w:pP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Common Equity</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Alpharetta, GA 30005</w:t>
            </w:r>
          </w:p>
        </w:tc>
        <w:tc>
          <w:tcPr>
            <w:tcW w:w="2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Hills Distribution Inc.</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Distributors</w:t>
            </w:r>
          </w:p>
        </w:tc>
        <w:tc>
          <w:tcPr>
            <w:tcW w:w="258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2.7%</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12,460</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(GMP Hills, L.P.)</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3M S+600, 11/07/2029</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2 Brainard Road</w:t>
            </w:r>
          </w:p>
        </w:tc>
        <w:tc>
          <w:tcPr>
            <w:tcW w:w="2580" w:type="dxa"/>
            <w:vAlign w:val="bottom"/>
          </w:tcPr>
          <w:p>
            <w:pPr>
              <w:spacing w:after="0"/>
              <w:rPr>
                <w:sz w:val="11"/>
                <w:szCs w:val="11"/>
                <w:color w:val="auto"/>
              </w:rPr>
            </w:pPr>
          </w:p>
        </w:tc>
        <w:tc>
          <w:tcPr>
            <w:tcW w:w="2580" w:type="dxa"/>
            <w:vAlign w:val="bottom"/>
          </w:tcPr>
          <w:p>
            <w:pPr>
              <w:jc w:val="center"/>
              <w:ind w:right="194"/>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Hartford, CT 06114</w:t>
            </w:r>
          </w:p>
        </w:tc>
        <w:tc>
          <w:tcPr>
            <w:tcW w:w="2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20"/>
          </w:cols>
          <w:pgMar w:left="320" w:top="270" w:right="35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38"/>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gridSpan w:val="2"/>
          </w:tcPr>
          <w:p>
            <w:pPr>
              <w:jc w:val="center"/>
              <w:ind w:right="845"/>
              <w:spacing w:after="0"/>
              <w:rPr>
                <w:sz w:val="20"/>
                <w:szCs w:val="20"/>
                <w:color w:val="auto"/>
              </w:rPr>
            </w:pPr>
            <w:r>
              <w:rPr>
                <w:rFonts w:ascii="Times New Roman" w:cs="Times New Roman" w:eastAsia="Times New Roman" w:hAnsi="Times New Roman"/>
                <w:sz w:val="12"/>
                <w:szCs w:val="12"/>
                <w:b w:val="1"/>
                <w:bCs w:val="1"/>
                <w:color w:val="auto"/>
                <w:w w:val="92"/>
              </w:rPr>
              <w:t>Voting</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080" w:type="dxa"/>
            <w:vAlign w:val="bottom"/>
            <w:gridSpan w:val="2"/>
            <w:vMerge w:val="continue"/>
          </w:tcPr>
          <w:p>
            <w:pPr>
              <w:spacing w:after="0"/>
              <w:rPr>
                <w:sz w:val="10"/>
                <w:szCs w:val="10"/>
                <w:color w:val="auto"/>
              </w:rPr>
            </w:pPr>
          </w:p>
        </w:tc>
        <w:tc>
          <w:tcPr>
            <w:tcW w:w="1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20" w:type="dxa"/>
            <w:vAlign w:val="bottom"/>
            <w:gridSpan w:val="2"/>
          </w:tcPr>
          <w:p>
            <w:pPr>
              <w:jc w:val="center"/>
              <w:ind w:right="760"/>
              <w:spacing w:after="0" w:line="118" w:lineRule="exact"/>
              <w:rPr>
                <w:sz w:val="20"/>
                <w:szCs w:val="20"/>
                <w:color w:val="auto"/>
              </w:rPr>
            </w:pPr>
            <w:r>
              <w:rPr>
                <w:rFonts w:ascii="Times New Roman" w:cs="Times New Roman" w:eastAsia="Times New Roman" w:hAnsi="Times New Roman"/>
                <w:sz w:val="12"/>
                <w:szCs w:val="12"/>
                <w:b w:val="1"/>
                <w:bCs w:val="1"/>
                <w:color w:val="auto"/>
                <w:w w:val="95"/>
              </w:rPr>
              <w:t>Type of Investment,</w:t>
            </w:r>
          </w:p>
        </w:tc>
        <w:tc>
          <w:tcPr>
            <w:tcW w:w="1620" w:type="dxa"/>
            <w:vAlign w:val="bottom"/>
            <w:gridSpan w:val="2"/>
          </w:tcPr>
          <w:p>
            <w:pPr>
              <w:jc w:val="center"/>
              <w:ind w:right="845"/>
              <w:spacing w:after="0" w:line="11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80" w:type="dxa"/>
            <w:vAlign w:val="bottom"/>
          </w:tcPr>
          <w:p>
            <w:pPr>
              <w:spacing w:after="0"/>
              <w:rPr>
                <w:sz w:val="10"/>
                <w:szCs w:val="10"/>
                <w:color w:val="auto"/>
              </w:rPr>
            </w:pPr>
          </w:p>
        </w:tc>
        <w:tc>
          <w:tcPr>
            <w:tcW w:w="64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0" w:type="dxa"/>
            <w:vAlign w:val="bottom"/>
          </w:tcPr>
          <w:p>
            <w:pPr>
              <w:spacing w:after="0"/>
              <w:rPr>
                <w:sz w:val="1"/>
                <w:szCs w:val="1"/>
                <w:color w:val="auto"/>
              </w:rPr>
            </w:pPr>
          </w:p>
        </w:tc>
      </w:tr>
      <w:tr>
        <w:trPr>
          <w:trHeight w:val="157"/>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2560" w:type="dxa"/>
            <w:vAlign w:val="bottom"/>
          </w:tcPr>
          <w:p>
            <w:pPr>
              <w:spacing w:after="0"/>
              <w:rPr>
                <w:sz w:val="13"/>
                <w:szCs w:val="13"/>
                <w:color w:val="auto"/>
              </w:rPr>
            </w:pPr>
          </w:p>
        </w:tc>
        <w:tc>
          <w:tcPr>
            <w:tcW w:w="2580" w:type="dxa"/>
            <w:vAlign w:val="bottom"/>
            <w:gridSpan w:val="2"/>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w w:val="95"/>
              </w:rPr>
              <w:t>Nature of Business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6"/>
              </w:rPr>
              <w:t>Interest (1), Maturity</w:t>
            </w:r>
          </w:p>
        </w:tc>
        <w:tc>
          <w:tcPr>
            <w:tcW w:w="1620" w:type="dxa"/>
            <w:vAlign w:val="bottom"/>
            <w:gridSpan w:val="2"/>
          </w:tcPr>
          <w:p>
            <w:pPr>
              <w:jc w:val="center"/>
              <w:ind w:right="845"/>
              <w:spacing w:after="0"/>
              <w:rPr>
                <w:sz w:val="20"/>
                <w:szCs w:val="20"/>
                <w:color w:val="auto"/>
              </w:rPr>
            </w:pPr>
            <w:r>
              <w:rPr>
                <w:rFonts w:ascii="Times New Roman" w:cs="Times New Roman" w:eastAsia="Times New Roman" w:hAnsi="Times New Roman"/>
                <w:sz w:val="12"/>
                <w:szCs w:val="12"/>
                <w:b w:val="1"/>
                <w:bCs w:val="1"/>
                <w:color w:val="auto"/>
                <w:w w:val="97"/>
              </w:rPr>
              <w:t>Ownership (2)</w:t>
            </w:r>
          </w:p>
        </w:tc>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5"/>
              </w:rPr>
              <w:t>(in thousands)</w:t>
            </w:r>
          </w:p>
        </w:tc>
        <w:tc>
          <w:tcPr>
            <w:tcW w:w="0" w:type="dxa"/>
            <w:vAlign w:val="bottom"/>
          </w:tcPr>
          <w:p>
            <w:pPr>
              <w:spacing w:after="0"/>
              <w:rPr>
                <w:sz w:val="1"/>
                <w:szCs w:val="1"/>
                <w:color w:val="auto"/>
              </w:rPr>
            </w:pPr>
          </w:p>
        </w:tc>
      </w:tr>
      <w:tr>
        <w:trPr>
          <w:trHeight w:val="102"/>
        </w:trPr>
        <w:tc>
          <w:tcPr>
            <w:tcW w:w="408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color w:val="auto"/>
              </w:rPr>
              <w:t>HV Watterson Holdings, LLC</w:t>
            </w:r>
          </w:p>
        </w:tc>
        <w:tc>
          <w:tcPr>
            <w:tcW w:w="18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Professional Services</w:t>
            </w:r>
          </w:p>
        </w:tc>
        <w:tc>
          <w:tcPr>
            <w:tcW w:w="740" w:type="dxa"/>
            <w:vAlign w:val="bottom"/>
          </w:tcPr>
          <w:p>
            <w:pPr>
              <w:spacing w:after="0"/>
              <w:rPr>
                <w:sz w:val="8"/>
                <w:szCs w:val="8"/>
                <w:color w:val="auto"/>
              </w:rPr>
            </w:pPr>
          </w:p>
        </w:tc>
        <w:tc>
          <w:tcPr>
            <w:tcW w:w="14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Common Equity</w:t>
            </w:r>
          </w:p>
        </w:tc>
        <w:tc>
          <w:tcPr>
            <w:tcW w:w="740" w:type="dxa"/>
            <w:vAlign w:val="bottom"/>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0.1</w:t>
            </w:r>
          </w:p>
        </w:tc>
        <w:tc>
          <w:tcPr>
            <w:tcW w:w="900" w:type="dxa"/>
            <w:vAlign w:val="bottom"/>
          </w:tcPr>
          <w:p>
            <w:pPr>
              <w:jc w:val="right"/>
              <w:ind w:right="725"/>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84</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1821 Walden Office Square Unit 111</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Schaumburg, IL 60173</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HW Holdco, LLC</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Media</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20" w:type="dxa"/>
            <w:vAlign w:val="bottom"/>
            <w:gridSpan w:val="2"/>
          </w:tcPr>
          <w:p>
            <w:pPr>
              <w:jc w:val="right"/>
              <w:ind w:right="88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10,312</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One Thomas Circle, NW Suite 600</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1M S+640, 05/10/2026</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Washington, D.C. 20005</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Icon Partners V C, L.P.</w:t>
            </w:r>
          </w:p>
        </w:tc>
        <w:tc>
          <w:tcPr>
            <w:tcW w:w="258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222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Common Equity(4)</w:t>
            </w:r>
          </w:p>
        </w:tc>
        <w:tc>
          <w:tcPr>
            <w:tcW w:w="1620" w:type="dxa"/>
            <w:vAlign w:val="bottom"/>
            <w:gridSpan w:val="2"/>
          </w:tcPr>
          <w:p>
            <w:pPr>
              <w:jc w:val="right"/>
              <w:ind w:right="725"/>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315 Capitol St Suite 100</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Houston, TX 77002</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ITC Infusion Co-Invest, LP</w:t>
            </w:r>
            <w:r>
              <w:rPr>
                <w:rFonts w:ascii="Times New Roman" w:cs="Times New Roman" w:eastAsia="Times New Roman" w:hAnsi="Times New Roman"/>
                <w:sz w:val="8"/>
                <w:szCs w:val="8"/>
                <w:color w:val="auto"/>
              </w:rPr>
              <w:t>(5)</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Healthcare Equipment and</w:t>
            </w:r>
          </w:p>
        </w:tc>
        <w:tc>
          <w:tcPr>
            <w:tcW w:w="222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Common Equity</w:t>
            </w:r>
          </w:p>
        </w:tc>
        <w:tc>
          <w:tcPr>
            <w:tcW w:w="1620" w:type="dxa"/>
            <w:vAlign w:val="bottom"/>
            <w:gridSpan w:val="2"/>
          </w:tcPr>
          <w:p>
            <w:pPr>
              <w:jc w:val="right"/>
              <w:ind w:right="725"/>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3609 Park East Drive</w:t>
            </w:r>
          </w:p>
        </w:tc>
        <w:tc>
          <w:tcPr>
            <w:tcW w:w="258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Supplies</w:t>
            </w:r>
          </w:p>
        </w:tc>
        <w:tc>
          <w:tcPr>
            <w:tcW w:w="1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Beachwood, OH 44122</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IG Investments Holdings, LLC</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Professional Services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20" w:type="dxa"/>
            <w:vAlign w:val="bottom"/>
            <w:gridSpan w:val="2"/>
          </w:tcPr>
          <w:p>
            <w:pPr>
              <w:jc w:val="right"/>
              <w:ind w:right="88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4,308</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1224 Hammond Drive, Suite 1500</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3M S+610, 09/22/2028</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Atlanta, GA 30346</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Imagine Acquisitionco, LLC</w:t>
            </w:r>
          </w:p>
        </w:tc>
        <w:tc>
          <w:tcPr>
            <w:tcW w:w="258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Software</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20" w:type="dxa"/>
            <w:vAlign w:val="bottom"/>
            <w:gridSpan w:val="2"/>
          </w:tcPr>
          <w:p>
            <w:pPr>
              <w:jc w:val="right"/>
              <w:ind w:right="725"/>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(Imagine Topco, LP)</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 , 11/15/2027</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8757 Red Oak Blvd,</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Charlotte, NC 28217</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Inception Fertility Ventures, LLC</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w:t>
            </w:r>
          </w:p>
        </w:tc>
        <w:tc>
          <w:tcPr>
            <w:tcW w:w="1620" w:type="dxa"/>
            <w:vAlign w:val="bottom"/>
            <w:gridSpan w:val="2"/>
          </w:tcPr>
          <w:p>
            <w:pPr>
              <w:jc w:val="right"/>
              <w:ind w:right="88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23,538</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4828 Loop Central Drive, Suite 900</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3M S+725, 12/31/2024</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Houston, TX 77081</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Infinity Home Services Holdco, Inc.</w:t>
            </w:r>
          </w:p>
        </w:tc>
        <w:tc>
          <w:tcPr>
            <w:tcW w:w="258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20" w:type="dxa"/>
            <w:vAlign w:val="bottom"/>
            <w:gridSpan w:val="2"/>
          </w:tcPr>
          <w:p>
            <w:pPr>
              <w:jc w:val="right"/>
              <w:ind w:right="725"/>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5,834</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(IHS Parent Holdings, L.P.)</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3M S+685, 12/28/2028</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16600 W Cleveland Ave</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New Berlin, WI 53151</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Infolinks Media Buyco, LLC</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Media</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w:t>
            </w:r>
          </w:p>
        </w:tc>
        <w:tc>
          <w:tcPr>
            <w:tcW w:w="1620" w:type="dxa"/>
            <w:vAlign w:val="bottom"/>
            <w:gridSpan w:val="2"/>
          </w:tcPr>
          <w:p>
            <w:pPr>
              <w:jc w:val="right"/>
              <w:ind w:right="725"/>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3,321</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(Tower Arch Infolinks Media, LP)</w:t>
            </w:r>
            <w:r>
              <w:rPr>
                <w:rFonts w:ascii="Times New Roman" w:cs="Times New Roman" w:eastAsia="Times New Roman" w:hAnsi="Times New Roman"/>
                <w:sz w:val="8"/>
                <w:szCs w:val="8"/>
                <w:color w:val="auto"/>
              </w:rPr>
              <w:t>(5)</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3M S+585, 11/01/2026</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45 North Broad Street</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Common Equity(4)</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Ridgewood, NJ 07450</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Integrative Nutrition, LLC</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Consumer Services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w:t>
            </w:r>
          </w:p>
        </w:tc>
        <w:tc>
          <w:tcPr>
            <w:tcW w:w="1620" w:type="dxa"/>
            <w:vAlign w:val="bottom"/>
            <w:gridSpan w:val="2"/>
          </w:tcPr>
          <w:p>
            <w:pPr>
              <w:jc w:val="right"/>
              <w:ind w:right="725"/>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14,500</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(IIN Group Holdings, LLC)</w:t>
            </w:r>
            <w:r>
              <w:rPr>
                <w:rFonts w:ascii="Times New Roman" w:cs="Times New Roman" w:eastAsia="Times New Roman" w:hAnsi="Times New Roman"/>
                <w:sz w:val="8"/>
                <w:szCs w:val="8"/>
                <w:color w:val="auto"/>
              </w:rPr>
              <w:t>(5)</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3M S+715 (PIK 2.25%),</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245 5th Avenue</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01/31/2025</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New York, NY 10016</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Integrity Marketing Acquisition, LLC</w:t>
            </w:r>
          </w:p>
        </w:tc>
        <w:tc>
          <w:tcPr>
            <w:tcW w:w="258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Insurance</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20" w:type="dxa"/>
            <w:vAlign w:val="bottom"/>
            <w:gridSpan w:val="2"/>
          </w:tcPr>
          <w:p>
            <w:pPr>
              <w:jc w:val="right"/>
              <w:ind w:right="88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15,942</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1445 Ross Avenue, 22nd Floor</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3M S+615, 08/27/2026</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Dallas, TX 75202</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ITC Rumba, LLC</w:t>
            </w:r>
            <w:r>
              <w:rPr>
                <w:rFonts w:ascii="Times New Roman" w:cs="Times New Roman" w:eastAsia="Times New Roman" w:hAnsi="Times New Roman"/>
                <w:sz w:val="8"/>
                <w:szCs w:val="8"/>
                <w:color w:val="auto"/>
              </w:rPr>
              <w:t>(5)</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Healthcare and Pharmaceuticals</w:t>
            </w:r>
          </w:p>
        </w:tc>
        <w:tc>
          <w:tcPr>
            <w:tcW w:w="222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Common Equity</w:t>
            </w:r>
          </w:p>
        </w:tc>
        <w:tc>
          <w:tcPr>
            <w:tcW w:w="1620" w:type="dxa"/>
            <w:vAlign w:val="bottom"/>
            <w:gridSpan w:val="2"/>
          </w:tcPr>
          <w:p>
            <w:pPr>
              <w:jc w:val="right"/>
              <w:ind w:right="88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9725 NW 117th Ave #200,</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Miami, FL 33178</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Inventus Power, Inc.</w:t>
            </w:r>
          </w:p>
        </w:tc>
        <w:tc>
          <w:tcPr>
            <w:tcW w:w="258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Electronic Equipment,</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20" w:type="dxa"/>
            <w:vAlign w:val="bottom"/>
            <w:gridSpan w:val="2"/>
          </w:tcPr>
          <w:p>
            <w:pPr>
              <w:jc w:val="right"/>
              <w:ind w:right="88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4,829</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1200 Internationale Parkway</w:t>
            </w:r>
          </w:p>
        </w:tc>
        <w:tc>
          <w:tcPr>
            <w:tcW w:w="258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Instruments, and Components</w:t>
            </w: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3M S+761, 06/30/2025</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Woodridge, IL 60517</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ITI Holdings, Inc.</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IT Services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20" w:type="dxa"/>
            <w:vAlign w:val="bottom"/>
            <w:gridSpan w:val="2"/>
          </w:tcPr>
          <w:p>
            <w:pPr>
              <w:jc w:val="right"/>
              <w:ind w:right="88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2980 E. Coliseum Blvd.</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3M S+560, 03/03/2028</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Fort Wayne, IN 46805</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Keel Platform, LLC</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Metals and Mining</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20" w:type="dxa"/>
            <w:vAlign w:val="bottom"/>
            <w:gridSpan w:val="2"/>
          </w:tcPr>
          <w:p>
            <w:pPr>
              <w:jc w:val="right"/>
              <w:ind w:right="88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10,726</w:t>
            </w:r>
          </w:p>
        </w:tc>
        <w:tc>
          <w:tcPr>
            <w:tcW w:w="0" w:type="dxa"/>
            <w:vAlign w:val="bottom"/>
          </w:tcPr>
          <w:p>
            <w:pPr>
              <w:spacing w:after="0"/>
              <w:rPr>
                <w:sz w:val="1"/>
                <w:szCs w:val="1"/>
                <w:color w:val="auto"/>
              </w:rPr>
            </w:pPr>
          </w:p>
        </w:tc>
      </w:tr>
      <w:tr>
        <w:trPr>
          <w:trHeight w:val="137"/>
        </w:trPr>
        <w:tc>
          <w:tcPr>
            <w:tcW w:w="40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Building 1 9801, 9801 US-78</w:t>
            </w: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3M S+525, 01/19/2031</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Ladson, SC 29456</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20"/>
          </w:cols>
          <w:pgMar w:left="320" w:top="270"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3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5"/>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94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Type of Investment,</w:t>
            </w:r>
          </w:p>
        </w:tc>
        <w:tc>
          <w:tcPr>
            <w:tcW w:w="1260" w:type="dxa"/>
            <w:vAlign w:val="bottom"/>
            <w:gridSpan w:val="2"/>
          </w:tcPr>
          <w:p>
            <w:pPr>
              <w:jc w:val="center"/>
              <w:ind w:right="345"/>
              <w:spacing w:after="0" w:line="118" w:lineRule="exact"/>
              <w:rPr>
                <w:sz w:val="20"/>
                <w:szCs w:val="20"/>
                <w:color w:val="auto"/>
              </w:rPr>
            </w:pPr>
            <w:r>
              <w:rPr>
                <w:rFonts w:ascii="Times New Roman" w:cs="Times New Roman" w:eastAsia="Times New Roman" w:hAnsi="Times New Roman"/>
                <w:sz w:val="12"/>
                <w:szCs w:val="12"/>
                <w:b w:val="1"/>
                <w:bCs w:val="1"/>
                <w:color w:val="auto"/>
                <w:w w:val="95"/>
              </w:rPr>
              <w:t>Percentage</w:t>
            </w:r>
          </w:p>
        </w:tc>
        <w:tc>
          <w:tcPr>
            <w:tcW w:w="60" w:type="dxa"/>
            <w:vAlign w:val="bottom"/>
          </w:tcPr>
          <w:p>
            <w:pPr>
              <w:spacing w:after="0"/>
              <w:rPr>
                <w:sz w:val="10"/>
                <w:szCs w:val="10"/>
                <w:color w:val="auto"/>
              </w:rPr>
            </w:pPr>
          </w:p>
        </w:tc>
        <w:tc>
          <w:tcPr>
            <w:tcW w:w="8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0" w:type="dxa"/>
            <w:vAlign w:val="bottom"/>
          </w:tcPr>
          <w:p>
            <w:pPr>
              <w:spacing w:after="0"/>
              <w:rPr>
                <w:sz w:val="1"/>
                <w:szCs w:val="1"/>
                <w:color w:val="auto"/>
              </w:rPr>
            </w:pPr>
          </w:p>
        </w:tc>
      </w:tr>
      <w:tr>
        <w:trPr>
          <w:trHeight w:val="157"/>
        </w:trPr>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Nature of Business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Interest (1), Maturity</w:t>
            </w:r>
          </w:p>
        </w:tc>
        <w:tc>
          <w:tcPr>
            <w:tcW w:w="1260" w:type="dxa"/>
            <w:vAlign w:val="bottom"/>
            <w:gridSpan w:val="2"/>
          </w:tcPr>
          <w:p>
            <w:pPr>
              <w:jc w:val="center"/>
              <w:ind w:right="345"/>
              <w:spacing w:after="0"/>
              <w:rPr>
                <w:sz w:val="20"/>
                <w:szCs w:val="20"/>
                <w:color w:val="auto"/>
              </w:rPr>
            </w:pPr>
            <w:r>
              <w:rPr>
                <w:rFonts w:ascii="Times New Roman" w:cs="Times New Roman" w:eastAsia="Times New Roman" w:hAnsi="Times New Roman"/>
                <w:sz w:val="12"/>
                <w:szCs w:val="12"/>
                <w:b w:val="1"/>
                <w:bCs w:val="1"/>
                <w:color w:val="auto"/>
                <w:w w:val="94"/>
              </w:rPr>
              <w:t>Ownership (2)</w:t>
            </w:r>
          </w:p>
        </w:tc>
        <w:tc>
          <w:tcPr>
            <w:tcW w:w="6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(in thousands)</w:t>
            </w:r>
          </w:p>
        </w:tc>
        <w:tc>
          <w:tcPr>
            <w:tcW w:w="0" w:type="dxa"/>
            <w:vAlign w:val="bottom"/>
          </w:tcPr>
          <w:p>
            <w:pPr>
              <w:spacing w:after="0"/>
              <w:rPr>
                <w:sz w:val="1"/>
                <w:szCs w:val="1"/>
                <w:color w:val="auto"/>
              </w:rPr>
            </w:pPr>
          </w:p>
        </w:tc>
      </w:tr>
      <w:tr>
        <w:trPr>
          <w:trHeight w:val="102"/>
        </w:trPr>
        <w:tc>
          <w:tcPr>
            <w:tcW w:w="1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Kinetic Purchaser, LLC</w:t>
            </w:r>
          </w:p>
        </w:tc>
        <w:tc>
          <w:tcPr>
            <w:tcW w:w="3420" w:type="dxa"/>
            <w:vAlign w:val="bottom"/>
          </w:tcPr>
          <w:p>
            <w:pPr>
              <w:spacing w:after="0"/>
              <w:rPr>
                <w:sz w:val="8"/>
                <w:szCs w:val="8"/>
                <w:color w:val="auto"/>
              </w:rPr>
            </w:pPr>
          </w:p>
        </w:tc>
        <w:tc>
          <w:tcPr>
            <w:tcW w:w="20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Personal Products</w:t>
            </w:r>
          </w:p>
        </w:tc>
        <w:tc>
          <w:tcPr>
            <w:tcW w:w="220" w:type="dxa"/>
            <w:vAlign w:val="bottom"/>
          </w:tcPr>
          <w:p>
            <w:pPr>
              <w:spacing w:after="0"/>
              <w:rPr>
                <w:sz w:val="8"/>
                <w:szCs w:val="8"/>
                <w:color w:val="auto"/>
              </w:rPr>
            </w:pPr>
          </w:p>
        </w:tc>
        <w:tc>
          <w:tcPr>
            <w:tcW w:w="17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First Lien Secured Debt(4),</w:t>
            </w:r>
          </w:p>
        </w:tc>
        <w:tc>
          <w:tcPr>
            <w:tcW w:w="220" w:type="dxa"/>
            <w:vAlign w:val="bottom"/>
          </w:tcPr>
          <w:p>
            <w:pPr>
              <w:spacing w:after="0"/>
              <w:rPr>
                <w:sz w:val="8"/>
                <w:szCs w:val="8"/>
                <w:color w:val="auto"/>
              </w:rPr>
            </w:pPr>
          </w:p>
        </w:tc>
        <w:tc>
          <w:tcPr>
            <w:tcW w:w="8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2.3</w:t>
            </w:r>
          </w:p>
        </w:tc>
        <w:tc>
          <w:tcPr>
            <w:tcW w:w="400" w:type="dxa"/>
            <w:vAlign w:val="bottom"/>
          </w:tcPr>
          <w:p>
            <w:pPr>
              <w:jc w:val="right"/>
              <w:ind w:right="245"/>
              <w:spacing w:after="0" w:line="102" w:lineRule="exact"/>
              <w:rPr>
                <w:sz w:val="20"/>
                <w:szCs w:val="20"/>
                <w:color w:val="auto"/>
              </w:rPr>
            </w:pPr>
            <w:r>
              <w:rPr>
                <w:rFonts w:ascii="Times New Roman" w:cs="Times New Roman" w:eastAsia="Times New Roman" w:hAnsi="Times New Roman"/>
                <w:sz w:val="11"/>
                <w:szCs w:val="11"/>
                <w:color w:val="auto"/>
                <w:w w:val="86"/>
              </w:rPr>
              <w:t>%</w:t>
            </w:r>
          </w:p>
        </w:tc>
        <w:tc>
          <w:tcPr>
            <w:tcW w:w="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19,735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12552 S. 125 West</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3M S+615, 11/10/2027</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Draper, UT 84020</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Common Equity</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Lash OpCo, LLC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60" w:type="dxa"/>
            <w:vAlign w:val="bottom"/>
            <w:gridSpan w:val="2"/>
          </w:tcPr>
          <w:p>
            <w:pPr>
              <w:jc w:val="right"/>
              <w:ind w:right="245"/>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21,041</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(Gauge Lash Coinvest LLC)</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1M S+810 (PIK 5.10%),</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1256 Main Street, Suite 256</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02/18/2027</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Southlake, TX 76092</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Common Equity</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LAV Gear Holdings, Inc.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Capital Equipment</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60" w:type="dxa"/>
            <w:vAlign w:val="bottom"/>
            <w:gridSpan w:val="2"/>
          </w:tcPr>
          <w:p>
            <w:pPr>
              <w:jc w:val="right"/>
              <w:ind w:right="38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14,594</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3165 W Sunset Rd,</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1M S+640, 10/31/25</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Las Vegas, NV 89118</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Ledge Lounger,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Leisure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60" w:type="dxa"/>
            <w:vAlign w:val="bottom"/>
            <w:gridSpan w:val="2"/>
          </w:tcPr>
          <w:p>
            <w:pPr>
              <w:jc w:val="right"/>
              <w:ind w:right="245"/>
              <w:spacing w:after="0"/>
              <w:rPr>
                <w:sz w:val="20"/>
                <w:szCs w:val="20"/>
                <w:color w:val="auto"/>
              </w:rPr>
            </w:pPr>
            <w:r>
              <w:rPr>
                <w:rFonts w:ascii="Times New Roman" w:cs="Times New Roman" w:eastAsia="Times New Roman" w:hAnsi="Times New Roman"/>
                <w:sz w:val="13"/>
                <w:szCs w:val="13"/>
                <w:color w:val="auto"/>
              </w:rPr>
              <w:t>0.5%</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4,468</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(SP L2 Holdings, LLC)</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3M S+665, 11/09/2026</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616 Cane Island Pkwy Suite 200</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Katy, TX 77494</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Lightspeed Buyer Inc.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Healthcare Technology</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60" w:type="dxa"/>
            <w:vAlign w:val="bottom"/>
            <w:gridSpan w:val="2"/>
          </w:tcPr>
          <w:p>
            <w:pPr>
              <w:jc w:val="right"/>
              <w:ind w:right="245"/>
              <w:spacing w:after="0"/>
              <w:rPr>
                <w:sz w:val="20"/>
                <w:szCs w:val="20"/>
                <w:color w:val="auto"/>
              </w:rPr>
            </w:pPr>
            <w:r>
              <w:rPr>
                <w:rFonts w:ascii="Times New Roman" w:cs="Times New Roman" w:eastAsia="Times New Roman" w:hAnsi="Times New Roman"/>
                <w:sz w:val="13"/>
                <w:szCs w:val="13"/>
                <w:color w:val="auto"/>
              </w:rPr>
              <w:t>0.3%</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24,268</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(Lightspeed Investment Holdco LLC)</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1M S+535, 02/03/2026</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1457 East 40th Street</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Cleveland, OH 44103</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LJ Avalon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Construction &amp; Engineering</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60" w:type="dxa"/>
            <w:vAlign w:val="bottom"/>
            <w:gridSpan w:val="2"/>
          </w:tcPr>
          <w:p>
            <w:pPr>
              <w:jc w:val="right"/>
              <w:ind w:right="245"/>
              <w:spacing w:after="0"/>
              <w:rPr>
                <w:sz w:val="20"/>
                <w:szCs w:val="20"/>
                <w:color w:val="auto"/>
              </w:rPr>
            </w:pPr>
            <w:r>
              <w:rPr>
                <w:rFonts w:ascii="Times New Roman" w:cs="Times New Roman" w:eastAsia="Times New Roman" w:hAnsi="Times New Roman"/>
                <w:sz w:val="13"/>
                <w:szCs w:val="13"/>
                <w:color w:val="auto"/>
              </w:rPr>
              <w:t>0.5%</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3,001</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(LJ Avalon LP)</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3M S+640, 02/01/2030</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4921 Memorial Hwy, Suite 300</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Tampa, FL 33634</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Loving Tan Intermediate II, Inc.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60" w:type="dxa"/>
            <w:vAlign w:val="bottom"/>
            <w:gridSpan w:val="2"/>
          </w:tcPr>
          <w:p>
            <w:pPr>
              <w:jc w:val="right"/>
              <w:ind w:right="245"/>
              <w:spacing w:after="0"/>
              <w:rPr>
                <w:sz w:val="20"/>
                <w:szCs w:val="20"/>
                <w:color w:val="auto"/>
              </w:rPr>
            </w:pPr>
            <w:r>
              <w:rPr>
                <w:rFonts w:ascii="Times New Roman" w:cs="Times New Roman" w:eastAsia="Times New Roman" w:hAnsi="Times New Roman"/>
                <w:sz w:val="13"/>
                <w:szCs w:val="13"/>
                <w:color w:val="auto"/>
              </w:rPr>
              <w:t>3.2%</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22,121</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(Gauge Loving Tan, LP)</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3M S+700, 05/31/2028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857 Post Rd, Suite 348</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Fairfield, CT 06824</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LSF9 Atlantis Holdings, LLC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Specialty Retail</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First Lien Secured Debt,</w:t>
            </w:r>
          </w:p>
        </w:tc>
        <w:tc>
          <w:tcPr>
            <w:tcW w:w="1260" w:type="dxa"/>
            <w:vAlign w:val="bottom"/>
            <w:gridSpan w:val="2"/>
          </w:tcPr>
          <w:p>
            <w:pPr>
              <w:jc w:val="right"/>
              <w:ind w:right="38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5,581</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8510 Colonnade Center Dr.</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3M S+650, 06/30/2029</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Unit 300</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Raleigh, MN 27615</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Lucky Bucks, LLC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Hotels, Restaurants and Leisure</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First Lien Secured Debt,</w:t>
            </w:r>
          </w:p>
        </w:tc>
        <w:tc>
          <w:tcPr>
            <w:tcW w:w="1260" w:type="dxa"/>
            <w:vAlign w:val="bottom"/>
            <w:gridSpan w:val="2"/>
          </w:tcPr>
          <w:p>
            <w:pPr>
              <w:jc w:val="right"/>
              <w:ind w:right="38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2,885</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5820 Live Oak Parkway #300</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3M S+765, 10/02/2028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Norcross, GA 30093</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Common Equity</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MAG DS Corp.</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Aerospace and Defense</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First Lien Secured Debt,</w:t>
            </w:r>
          </w:p>
        </w:tc>
        <w:tc>
          <w:tcPr>
            <w:tcW w:w="1260" w:type="dxa"/>
            <w:vAlign w:val="bottom"/>
            <w:gridSpan w:val="2"/>
          </w:tcPr>
          <w:p>
            <w:pPr>
              <w:jc w:val="right"/>
              <w:ind w:right="38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3,485</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2730 Fair Lakes Circle</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1M S+550, 04/01/2027</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Fairfax VA, 22033</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Magnolia Topco LP</w:t>
            </w:r>
            <w:r>
              <w:rPr>
                <w:rFonts w:ascii="Times New Roman" w:cs="Times New Roman" w:eastAsia="Times New Roman" w:hAnsi="Times New Roman"/>
                <w:sz w:val="8"/>
                <w:szCs w:val="8"/>
                <w:color w:val="auto"/>
              </w:rPr>
              <w:t>(5)</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Automobiles</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Preferred Equity</w:t>
            </w:r>
          </w:p>
        </w:tc>
        <w:tc>
          <w:tcPr>
            <w:tcW w:w="1260" w:type="dxa"/>
            <w:vAlign w:val="bottom"/>
            <w:gridSpan w:val="2"/>
          </w:tcPr>
          <w:p>
            <w:pPr>
              <w:jc w:val="right"/>
              <w:ind w:right="38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5821 Fairview Road</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Charlotte, NC 28209</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Mars Acquisition Holdings Corp.</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Media</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60" w:type="dxa"/>
            <w:vAlign w:val="bottom"/>
            <w:gridSpan w:val="2"/>
          </w:tcPr>
          <w:p>
            <w:pPr>
              <w:jc w:val="right"/>
              <w:ind w:right="245"/>
              <w:spacing w:after="0"/>
              <w:rPr>
                <w:sz w:val="20"/>
                <w:szCs w:val="20"/>
                <w:color w:val="auto"/>
              </w:rPr>
            </w:pPr>
            <w:r>
              <w:rPr>
                <w:rFonts w:ascii="Times New Roman" w:cs="Times New Roman" w:eastAsia="Times New Roman" w:hAnsi="Times New Roman"/>
                <w:sz w:val="13"/>
                <w:szCs w:val="13"/>
                <w:color w:val="auto"/>
              </w:rPr>
              <w:t>0.7%</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10,213</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(Mars Intermediate Holdings II, Inc.)</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3M S+565, 05/14/2026</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25200 Telegraph Rd., 5th Floor</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Southfield, MI 48033</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Common Equity</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MBS Holdings, Inc.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60" w:type="dxa"/>
            <w:vAlign w:val="bottom"/>
            <w:gridSpan w:val="2"/>
          </w:tcPr>
          <w:p>
            <w:pPr>
              <w:jc w:val="right"/>
              <w:ind w:right="385"/>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880 Montclair Road Suite 400</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 , 04/16/2027</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Birmingham, AL 35213</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MDI Buyer, Inc.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Commodity Chemicals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260" w:type="dxa"/>
            <w:vAlign w:val="bottom"/>
            <w:gridSpan w:val="2"/>
          </w:tcPr>
          <w:p>
            <w:pPr>
              <w:jc w:val="right"/>
              <w:ind w:right="245"/>
              <w:spacing w:after="0"/>
              <w:rPr>
                <w:sz w:val="20"/>
                <w:szCs w:val="20"/>
                <w:color w:val="auto"/>
              </w:rPr>
            </w:pPr>
            <w:r>
              <w:rPr>
                <w:rFonts w:ascii="Times New Roman" w:cs="Times New Roman" w:eastAsia="Times New Roman" w:hAnsi="Times New Roman"/>
                <w:sz w:val="13"/>
                <w:szCs w:val="13"/>
                <w:color w:val="auto"/>
              </w:rPr>
              <w:t>0.6%</w:t>
            </w:r>
          </w:p>
        </w:tc>
        <w:tc>
          <w:tcPr>
            <w:tcW w:w="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3,702</w:t>
            </w: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(MDI Aggregator, LP)</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3M S+550, 07/25/2028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740 W Knox Road</w:t>
            </w: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Tempe, AZ 85284</w:t>
            </w: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00"/>
          </w:cols>
          <w:pgMar w:left="320" w:top="270" w:right="3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38"/>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gridSpan w:val="2"/>
          </w:tcPr>
          <w:p>
            <w:pPr>
              <w:jc w:val="center"/>
              <w:ind w:right="705"/>
              <w:spacing w:after="0"/>
              <w:rPr>
                <w:sz w:val="20"/>
                <w:szCs w:val="20"/>
                <w:color w:val="auto"/>
              </w:rPr>
            </w:pPr>
            <w:r>
              <w:rPr>
                <w:rFonts w:ascii="Times New Roman" w:cs="Times New Roman" w:eastAsia="Times New Roman" w:hAnsi="Times New Roman"/>
                <w:sz w:val="12"/>
                <w:szCs w:val="12"/>
                <w:b w:val="1"/>
                <w:bCs w:val="1"/>
                <w:color w:val="auto"/>
                <w:w w:val="92"/>
              </w:rPr>
              <w:t>Voting</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660" w:type="dxa"/>
            <w:vAlign w:val="bottom"/>
            <w:gridSpan w:val="2"/>
            <w:vMerge w:val="continue"/>
          </w:tcPr>
          <w:p>
            <w:pPr>
              <w:spacing w:after="0"/>
              <w:rPr>
                <w:sz w:val="10"/>
                <w:szCs w:val="10"/>
                <w:color w:val="auto"/>
              </w:rPr>
            </w:pPr>
          </w:p>
        </w:tc>
        <w:tc>
          <w:tcPr>
            <w:tcW w:w="1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80" w:type="dxa"/>
            <w:vAlign w:val="bottom"/>
            <w:gridSpan w:val="2"/>
          </w:tcPr>
          <w:p>
            <w:pPr>
              <w:jc w:val="center"/>
              <w:ind w:right="620"/>
              <w:spacing w:after="0" w:line="118" w:lineRule="exact"/>
              <w:rPr>
                <w:sz w:val="20"/>
                <w:szCs w:val="20"/>
                <w:color w:val="auto"/>
              </w:rPr>
            </w:pPr>
            <w:r>
              <w:rPr>
                <w:rFonts w:ascii="Times New Roman" w:cs="Times New Roman" w:eastAsia="Times New Roman" w:hAnsi="Times New Roman"/>
                <w:sz w:val="12"/>
                <w:szCs w:val="12"/>
                <w:b w:val="1"/>
                <w:bCs w:val="1"/>
                <w:color w:val="auto"/>
                <w:w w:val="95"/>
              </w:rPr>
              <w:t>Type of Investment,</w:t>
            </w:r>
          </w:p>
        </w:tc>
        <w:tc>
          <w:tcPr>
            <w:tcW w:w="1480" w:type="dxa"/>
            <w:vAlign w:val="bottom"/>
            <w:gridSpan w:val="2"/>
          </w:tcPr>
          <w:p>
            <w:pPr>
              <w:jc w:val="center"/>
              <w:ind w:right="705"/>
              <w:spacing w:after="0" w:line="11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8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57"/>
        </w:trPr>
        <w:tc>
          <w:tcPr>
            <w:tcW w:w="4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28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7"/>
              </w:rPr>
              <w:t>Nature of Business</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6"/>
              </w:rPr>
              <w:t>Interest (1), Maturity</w:t>
            </w:r>
          </w:p>
        </w:tc>
        <w:tc>
          <w:tcPr>
            <w:tcW w:w="1480" w:type="dxa"/>
            <w:vAlign w:val="bottom"/>
            <w:gridSpan w:val="2"/>
          </w:tcPr>
          <w:p>
            <w:pPr>
              <w:jc w:val="center"/>
              <w:ind w:right="705"/>
              <w:spacing w:after="0"/>
              <w:rPr>
                <w:sz w:val="20"/>
                <w:szCs w:val="20"/>
                <w:color w:val="auto"/>
              </w:rPr>
            </w:pPr>
            <w:r>
              <w:rPr>
                <w:rFonts w:ascii="Times New Roman" w:cs="Times New Roman" w:eastAsia="Times New Roman" w:hAnsi="Times New Roman"/>
                <w:sz w:val="12"/>
                <w:szCs w:val="12"/>
                <w:b w:val="1"/>
                <w:bCs w:val="1"/>
                <w:color w:val="auto"/>
                <w:w w:val="97"/>
              </w:rPr>
              <w:t>Ownership (2)</w:t>
            </w: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2"/>
        </w:trPr>
        <w:tc>
          <w:tcPr>
            <w:tcW w:w="1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Meadowlark Acquirer, LLC</w:t>
            </w:r>
          </w:p>
        </w:tc>
        <w:tc>
          <w:tcPr>
            <w:tcW w:w="3140" w:type="dxa"/>
            <w:vAlign w:val="bottom"/>
          </w:tcPr>
          <w:p>
            <w:pPr>
              <w:spacing w:after="0"/>
              <w:rPr>
                <w:sz w:val="8"/>
                <w:szCs w:val="8"/>
                <w:color w:val="auto"/>
              </w:rPr>
            </w:pPr>
          </w:p>
        </w:tc>
        <w:tc>
          <w:tcPr>
            <w:tcW w:w="166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Professional Services</w:t>
            </w:r>
          </w:p>
        </w:tc>
        <w:tc>
          <w:tcPr>
            <w:tcW w:w="620" w:type="dxa"/>
            <w:vAlign w:val="bottom"/>
          </w:tcPr>
          <w:p>
            <w:pPr>
              <w:spacing w:after="0"/>
              <w:rPr>
                <w:sz w:val="8"/>
                <w:szCs w:val="8"/>
                <w:color w:val="auto"/>
              </w:rPr>
            </w:pPr>
          </w:p>
        </w:tc>
        <w:tc>
          <w:tcPr>
            <w:tcW w:w="146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First Lien Secured Debt(4),</w:t>
            </w:r>
          </w:p>
        </w:tc>
        <w:tc>
          <w:tcPr>
            <w:tcW w:w="620" w:type="dxa"/>
            <w:vAlign w:val="bottom"/>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1.1</w:t>
            </w:r>
          </w:p>
        </w:tc>
        <w:tc>
          <w:tcPr>
            <w:tcW w:w="760" w:type="dxa"/>
            <w:vAlign w:val="bottom"/>
          </w:tcPr>
          <w:p>
            <w:pPr>
              <w:jc w:val="right"/>
              <w:ind w:right="585"/>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1,895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(Meadowlark Title, LLC)</w:t>
            </w:r>
            <w:r>
              <w:rPr>
                <w:rFonts w:ascii="Times New Roman" w:cs="Times New Roman" w:eastAsia="Times New Roman" w:hAnsi="Times New Roman"/>
                <w:sz w:val="8"/>
                <w:szCs w:val="8"/>
                <w:color w:val="auto"/>
              </w:rPr>
              <w:t>(5)</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S+565, 12/10/2027</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888 Boylston, Ste. 1600,</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Boston, MA, 02199</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Medina Health, LLC</w:t>
            </w:r>
          </w:p>
        </w:tc>
        <w:tc>
          <w:tcPr>
            <w:tcW w:w="22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Healthcare Providers and</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585"/>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21,471</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(New Medina Health, LLC)</w:t>
            </w:r>
            <w:r>
              <w:rPr>
                <w:rFonts w:ascii="Times New Roman" w:cs="Times New Roman" w:eastAsia="Times New Roman" w:hAnsi="Times New Roman"/>
                <w:sz w:val="8"/>
                <w:szCs w:val="8"/>
                <w:color w:val="auto"/>
              </w:rPr>
              <w:t>(5)</w:t>
            </w:r>
          </w:p>
        </w:tc>
        <w:tc>
          <w:tcPr>
            <w:tcW w:w="22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Services</w:t>
            </w: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S+625, 10/20/2028</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One Parkview Plaza,</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Oakbrook Terrace, IL 60181</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Megawatt Acquisitionco, Inc.</w:t>
            </w:r>
          </w:p>
        </w:tc>
        <w:tc>
          <w:tcPr>
            <w:tcW w:w="22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rPr>
              <w:t>Electronic Equipment,</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585"/>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23,449</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(Megawatt Acquisition Partners, LLC)</w:t>
            </w:r>
          </w:p>
        </w:tc>
        <w:tc>
          <w:tcPr>
            <w:tcW w:w="22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Instruments, and Components</w:t>
            </w: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S+625, 03/01/2030</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6060 Phyllis Dr</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Cypress, CA 90630</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Mission Critical Electronics, Inc.</w:t>
            </w:r>
          </w:p>
        </w:tc>
        <w:tc>
          <w:tcPr>
            <w:tcW w:w="22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rPr>
              <w:t>Capital Equipment</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74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3,202</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15272 Newsboy Circle</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S+625, 03/31/2025</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Huntington, CA 92649</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MOREGroup Holdings, Inc.</w:t>
            </w:r>
          </w:p>
        </w:tc>
        <w:tc>
          <w:tcPr>
            <w:tcW w:w="22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Construction &amp; Engineering</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74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31,614</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801 Cherry Street Suite 500</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S+590, 01/16/2030</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Fort Worth, TX 76102</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Municipal Emergency Services, Inc.</w:t>
            </w:r>
          </w:p>
        </w:tc>
        <w:tc>
          <w:tcPr>
            <w:tcW w:w="22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rPr>
              <w:t>Distributors</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585"/>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4,095</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12 Turnberry Ln</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S+515, 10/01/2027</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Sandy Hook, CT 06482</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NBH Group LLC</w:t>
            </w:r>
          </w:p>
        </w:tc>
        <w:tc>
          <w:tcPr>
            <w:tcW w:w="22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Healthcare Equipment and</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74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3035 S Maryland Pkwy #110</w:t>
            </w:r>
          </w:p>
        </w:tc>
        <w:tc>
          <w:tcPr>
            <w:tcW w:w="22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Supplies</w:t>
            </w: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w w:val="99"/>
              </w:rPr>
              <w:t>— , 08/19/2026</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Las Vegas, NV 89109</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Neptune Flood Incorporated</w:t>
            </w:r>
          </w:p>
        </w:tc>
        <w:tc>
          <w:tcPr>
            <w:tcW w:w="22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rPr>
              <w:t>Insurance</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74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400 6th St S</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w w:val="99"/>
              </w:rPr>
              <w:t>— , 05/09/2029</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 Petersburg, FL 33701</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NORA Acquisition, LLC</w:t>
            </w:r>
          </w:p>
        </w:tc>
        <w:tc>
          <w:tcPr>
            <w:tcW w:w="22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Healthcare Providers and</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585"/>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22,741</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(NORA Parent Holdings, LLC)</w:t>
            </w:r>
            <w:r>
              <w:rPr>
                <w:rFonts w:ascii="Times New Roman" w:cs="Times New Roman" w:eastAsia="Times New Roman" w:hAnsi="Times New Roman"/>
                <w:sz w:val="8"/>
                <w:szCs w:val="8"/>
                <w:color w:val="auto"/>
              </w:rPr>
              <w:t>(5)</w:t>
            </w:r>
          </w:p>
        </w:tc>
        <w:tc>
          <w:tcPr>
            <w:tcW w:w="22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Services</w:t>
            </w: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S+635, 08/31/2029</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3805 E Main St.</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 Charlees, IL 60174</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OHCP V BC COI, L.P.</w:t>
            </w:r>
          </w:p>
        </w:tc>
        <w:tc>
          <w:tcPr>
            <w:tcW w:w="22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rPr>
              <w:t>Distributors</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Common Equity(4)</w:t>
            </w:r>
          </w:p>
        </w:tc>
        <w:tc>
          <w:tcPr>
            <w:tcW w:w="1480" w:type="dxa"/>
            <w:vAlign w:val="bottom"/>
            <w:gridSpan w:val="2"/>
          </w:tcPr>
          <w:p>
            <w:pPr>
              <w:jc w:val="right"/>
              <w:ind w:right="74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525 West Monroe Street</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Chicago, IL 60661</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Omnia Exterior Solutions, LLC</w:t>
            </w:r>
          </w:p>
        </w:tc>
        <w:tc>
          <w:tcPr>
            <w:tcW w:w="22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Diversified Consumer Services</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74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10,790</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6650 Walnut Street</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S+550, 12/29/2029</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New Albany, OH 43054</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One Stop Mailing, LLC</w:t>
            </w:r>
          </w:p>
        </w:tc>
        <w:tc>
          <w:tcPr>
            <w:tcW w:w="22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Air Freight and Logistics</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w:t>
            </w:r>
          </w:p>
        </w:tc>
        <w:tc>
          <w:tcPr>
            <w:tcW w:w="1480" w:type="dxa"/>
            <w:vAlign w:val="bottom"/>
            <w:gridSpan w:val="2"/>
          </w:tcPr>
          <w:p>
            <w:pPr>
              <w:jc w:val="right"/>
              <w:ind w:right="74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8,471</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601 Regency Drive</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S+636, 05/07/2027</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Glendale Heights, IL 60139</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ORL Acquisition, Inc.</w:t>
            </w:r>
          </w:p>
        </w:tc>
        <w:tc>
          <w:tcPr>
            <w:tcW w:w="22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rPr>
              <w:t>Consumer Finance</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585"/>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3,523</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(ORL Holdco, Inc.)</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S+940 (PIK 2.00%),</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5555 N Beach St #4100,</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09/03/2027</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Fort Worth, TX 76137</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OSP Embedded Purchaser, LLC</w:t>
            </w:r>
          </w:p>
        </w:tc>
        <w:tc>
          <w:tcPr>
            <w:tcW w:w="22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Aerospace and Defense</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480" w:type="dxa"/>
            <w:vAlign w:val="bottom"/>
            <w:gridSpan w:val="2"/>
          </w:tcPr>
          <w:p>
            <w:pPr>
              <w:jc w:val="right"/>
              <w:ind w:right="585"/>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14,486</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(OSP Embedded Aggregator, LP)</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S+585, 12/15/2029</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2680 Grand Island Blvd, Suite 2</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Grand Island, NY 14072</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Output Services Group, Inc.</w:t>
            </w:r>
          </w:p>
        </w:tc>
        <w:tc>
          <w:tcPr>
            <w:tcW w:w="22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rPr>
              <w:t>Business Services</w:t>
            </w: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First Lien Secured Debt,</w:t>
            </w:r>
          </w:p>
        </w:tc>
        <w:tc>
          <w:tcPr>
            <w:tcW w:w="1480" w:type="dxa"/>
            <w:vAlign w:val="bottom"/>
            <w:gridSpan w:val="2"/>
          </w:tcPr>
          <w:p>
            <w:pPr>
              <w:jc w:val="right"/>
              <w:ind w:right="745"/>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2,253</w:t>
            </w:r>
          </w:p>
        </w:tc>
        <w:tc>
          <w:tcPr>
            <w:tcW w:w="0" w:type="dxa"/>
            <w:vAlign w:val="bottom"/>
          </w:tcPr>
          <w:p>
            <w:pPr>
              <w:spacing w:after="0"/>
              <w:rPr>
                <w:sz w:val="1"/>
                <w:szCs w:val="1"/>
                <w:color w:val="auto"/>
              </w:rPr>
            </w:pPr>
          </w:p>
        </w:tc>
      </w:tr>
      <w:tr>
        <w:trPr>
          <w:trHeight w:val="137"/>
        </w:trPr>
        <w:tc>
          <w:tcPr>
            <w:tcW w:w="46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775 Washington Ave</w:t>
            </w:r>
          </w:p>
        </w:tc>
        <w:tc>
          <w:tcPr>
            <w:tcW w:w="1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80" w:type="dxa"/>
            <w:vAlign w:val="bottom"/>
            <w:gridSpan w:val="2"/>
          </w:tcPr>
          <w:p>
            <w:pPr>
              <w:jc w:val="center"/>
              <w:ind w:right="620"/>
              <w:spacing w:after="0" w:line="138" w:lineRule="exact"/>
              <w:rPr>
                <w:sz w:val="20"/>
                <w:szCs w:val="20"/>
                <w:color w:val="auto"/>
              </w:rPr>
            </w:pPr>
            <w:r>
              <w:rPr>
                <w:rFonts w:ascii="Times New Roman" w:cs="Times New Roman" w:eastAsia="Times New Roman" w:hAnsi="Times New Roman"/>
                <w:sz w:val="13"/>
                <w:szCs w:val="13"/>
                <w:color w:val="auto"/>
              </w:rPr>
              <w:t>3M S+843, 11/30/2028</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Carlstadt, NJ 07072</w:t>
            </w: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20"/>
          </w:cols>
          <w:pgMar w:left="320" w:top="270"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38"/>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40" w:type="dxa"/>
            <w:vAlign w:val="bottom"/>
            <w:gridSpan w:val="2"/>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180" w:type="dxa"/>
            <w:vAlign w:val="bottom"/>
            <w:gridSpan w:val="2"/>
            <w:vMerge w:val="continue"/>
          </w:tcPr>
          <w:p>
            <w:pPr>
              <w:spacing w:after="0"/>
              <w:rPr>
                <w:sz w:val="10"/>
                <w:szCs w:val="10"/>
                <w:color w:val="auto"/>
              </w:rPr>
            </w:pPr>
          </w:p>
        </w:tc>
        <w:tc>
          <w:tcPr>
            <w:tcW w:w="1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20" w:type="dxa"/>
            <w:vAlign w:val="bottom"/>
            <w:gridSpan w:val="2"/>
          </w:tcPr>
          <w:p>
            <w:pPr>
              <w:jc w:val="center"/>
              <w:ind w:right="760"/>
              <w:spacing w:after="0" w:line="118" w:lineRule="exact"/>
              <w:rPr>
                <w:sz w:val="20"/>
                <w:szCs w:val="20"/>
                <w:color w:val="auto"/>
              </w:rPr>
            </w:pPr>
            <w:r>
              <w:rPr>
                <w:rFonts w:ascii="Times New Roman" w:cs="Times New Roman" w:eastAsia="Times New Roman" w:hAnsi="Times New Roman"/>
                <w:sz w:val="12"/>
                <w:szCs w:val="12"/>
                <w:b w:val="1"/>
                <w:bCs w:val="1"/>
                <w:color w:val="auto"/>
                <w:w w:val="95"/>
              </w:rPr>
              <w:t>Type of Investment,</w:t>
            </w:r>
          </w:p>
        </w:tc>
        <w:tc>
          <w:tcPr>
            <w:tcW w:w="1740" w:type="dxa"/>
            <w:vAlign w:val="bottom"/>
            <w:gridSpan w:val="2"/>
          </w:tcPr>
          <w:p>
            <w:pPr>
              <w:jc w:val="center"/>
              <w:ind w:right="1000"/>
              <w:spacing w:after="0" w:line="118" w:lineRule="exact"/>
              <w:rPr>
                <w:sz w:val="20"/>
                <w:szCs w:val="20"/>
                <w:color w:val="auto"/>
              </w:rPr>
            </w:pPr>
            <w:r>
              <w:rPr>
                <w:rFonts w:ascii="Times New Roman" w:cs="Times New Roman" w:eastAsia="Times New Roman" w:hAnsi="Times New Roman"/>
                <w:sz w:val="12"/>
                <w:szCs w:val="12"/>
                <w:b w:val="1"/>
                <w:bCs w:val="1"/>
                <w:color w:val="auto"/>
                <w:w w:val="95"/>
              </w:rPr>
              <w:t>Percentage</w:t>
            </w:r>
          </w:p>
        </w:tc>
        <w:tc>
          <w:tcPr>
            <w:tcW w:w="8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57"/>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w w:val="97"/>
              </w:rPr>
              <w:t>Nature of Business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6"/>
              </w:rPr>
              <w:t>Interest (1), Maturity</w:t>
            </w:r>
          </w:p>
        </w:tc>
        <w:tc>
          <w:tcPr>
            <w:tcW w:w="1740" w:type="dxa"/>
            <w:vAlign w:val="bottom"/>
            <w:gridSpan w:val="2"/>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w w:val="94"/>
              </w:rPr>
              <w:t>Ownership (2)</w:t>
            </w: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2"/>
        </w:trPr>
        <w:tc>
          <w:tcPr>
            <w:tcW w:w="1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Owl Acquisition, LLC</w:t>
            </w:r>
          </w:p>
        </w:tc>
        <w:tc>
          <w:tcPr>
            <w:tcW w:w="2660" w:type="dxa"/>
            <w:vAlign w:val="bottom"/>
          </w:tcPr>
          <w:p>
            <w:pPr>
              <w:spacing w:after="0"/>
              <w:rPr>
                <w:sz w:val="8"/>
                <w:szCs w:val="8"/>
                <w:color w:val="auto"/>
              </w:rPr>
            </w:pPr>
          </w:p>
        </w:tc>
        <w:tc>
          <w:tcPr>
            <w:tcW w:w="16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Professional Services</w:t>
            </w:r>
          </w:p>
        </w:tc>
        <w:tc>
          <w:tcPr>
            <w:tcW w:w="760" w:type="dxa"/>
            <w:vAlign w:val="bottom"/>
          </w:tcPr>
          <w:p>
            <w:pPr>
              <w:spacing w:after="0"/>
              <w:rPr>
                <w:sz w:val="8"/>
                <w:szCs w:val="8"/>
                <w:color w:val="auto"/>
              </w:rPr>
            </w:pPr>
          </w:p>
        </w:tc>
        <w:tc>
          <w:tcPr>
            <w:tcW w:w="146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First Lien Secured Debt,</w:t>
            </w:r>
          </w:p>
        </w:tc>
        <w:tc>
          <w:tcPr>
            <w:tcW w:w="760" w:type="dxa"/>
            <w:vAlign w:val="bottom"/>
          </w:tcPr>
          <w:p>
            <w:pPr>
              <w:spacing w:after="0"/>
              <w:rPr>
                <w:sz w:val="8"/>
                <w:szCs w:val="8"/>
                <w:color w:val="auto"/>
              </w:rPr>
            </w:pPr>
          </w:p>
        </w:tc>
        <w:tc>
          <w:tcPr>
            <w:tcW w:w="720" w:type="dxa"/>
            <w:vAlign w:val="bottom"/>
            <w:tcBorders>
              <w:top w:val="single" w:sz="8" w:color="auto"/>
            </w:tcBorders>
          </w:tcPr>
          <w:p>
            <w:pPr>
              <w:ind w:left="540"/>
              <w:spacing w:after="0" w:line="102" w:lineRule="exact"/>
              <w:rPr>
                <w:sz w:val="20"/>
                <w:szCs w:val="20"/>
                <w:color w:val="auto"/>
              </w:rPr>
            </w:pPr>
            <w:r>
              <w:rPr>
                <w:rFonts w:ascii="Times New Roman" w:cs="Times New Roman" w:eastAsia="Times New Roman" w:hAnsi="Times New Roman"/>
                <w:sz w:val="11"/>
                <w:szCs w:val="11"/>
                <w:color w:val="auto"/>
                <w:w w:val="96"/>
              </w:rPr>
              <w:t>— </w:t>
            </w:r>
          </w:p>
        </w:tc>
        <w:tc>
          <w:tcPr>
            <w:tcW w:w="1020" w:type="dxa"/>
            <w:vAlign w:val="bottom"/>
          </w:tcPr>
          <w:p>
            <w:pPr>
              <w:spacing w:after="0"/>
              <w:rPr>
                <w:sz w:val="8"/>
                <w:szCs w:val="8"/>
                <w:color w:val="auto"/>
              </w:rPr>
            </w:pPr>
          </w:p>
        </w:tc>
        <w:tc>
          <w:tcPr>
            <w:tcW w:w="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3,834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47 Old Webster Road</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3M S+550, 02/04/2028</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Oxford, MA 01540</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Ox Two, LLC</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Construction and Building</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22,736</w:t>
            </w: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22260 Haggerty Road #365</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1M S+651, 05/18/2026</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Northville, MI 48167</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Pacific Purchaser, LLC</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Professional Services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6,016</w:t>
            </w: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(Consello Pacific Aggregator, LLC)</w:t>
            </w:r>
            <w:r>
              <w:rPr>
                <w:rFonts w:ascii="Times New Roman" w:cs="Times New Roman" w:eastAsia="Times New Roman" w:hAnsi="Times New Roman"/>
                <w:sz w:val="8"/>
                <w:szCs w:val="8"/>
                <w:color w:val="auto"/>
              </w:rPr>
              <w:t>(5)</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3M S+625, 09/30/2028</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3250 Wilshire Blvd # 900</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 Angeles, CA 90010</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PCS Midco, Inc.</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Professional Services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(PCS Parent, LP)</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3M S+575, 03/01/2030</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9450 SW Gemini Dr</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Beaverton, OR 97008</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PennantPark-TSO Senior Loan Fund, LP</w:t>
            </w:r>
            <w:r>
              <w:rPr>
                <w:rFonts w:ascii="Times New Roman" w:cs="Times New Roman" w:eastAsia="Times New Roman" w:hAnsi="Times New Roman"/>
                <w:sz w:val="8"/>
                <w:szCs w:val="8"/>
                <w:color w:val="auto"/>
              </w:rPr>
              <w:t>(6)</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Financial Services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Common Equity</w:t>
            </w: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color w:val="auto"/>
              </w:rPr>
              <w:t>4.99%</w:t>
            </w:r>
            <w:r>
              <w:rPr>
                <w:rFonts w:ascii="Times New Roman" w:cs="Times New Roman" w:eastAsia="Times New Roman" w:hAnsi="Times New Roman"/>
                <w:sz w:val="8"/>
                <w:szCs w:val="8"/>
                <w:color w:val="auto"/>
              </w:rPr>
              <w:t>(3)</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9,705</w:t>
            </w: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1691 Michigan Avenue</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Miami, FL 33139</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PL Acquisitionco, LLC</w:t>
            </w:r>
          </w:p>
        </w:tc>
        <w:tc>
          <w:tcPr>
            <w:tcW w:w="236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Textiles, Apparel and Luxury</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4,879</w:t>
            </w: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(Pink Lily Holdco, LLC)</w:t>
            </w:r>
            <w:r>
              <w:rPr>
                <w:rFonts w:ascii="Times New Roman" w:cs="Times New Roman" w:eastAsia="Times New Roman" w:hAnsi="Times New Roman"/>
                <w:sz w:val="8"/>
                <w:szCs w:val="8"/>
                <w:color w:val="auto"/>
              </w:rPr>
              <w:t>(5)</w:t>
            </w:r>
          </w:p>
        </w:tc>
        <w:tc>
          <w:tcPr>
            <w:tcW w:w="236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Goods</w:t>
            </w: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3M S+710 (PIK 3.50%),</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323 Mitch McConnell Way</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11/09/2027</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Bowling Green KY 42101</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PlayPower, Inc.</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Leisure Products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3,314</w:t>
            </w: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13310 James E. Casey Ave.</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1M S+565, 05/08/2026</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Englewood, CO 80112</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Pragmatic Institute, LLC</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Professional Services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8910 East Raintree Drive</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3M S+575, 07/06/2028</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Scottsdale, AZ 85620</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Quad (U.S.) Co-Invest, L.P.</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Professional Services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Common Equity</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330 Old Country Rd</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Suite 300</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Mineola, NY 11501</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Quantic Electronics, LLC</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Electronic Equipment,</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6,467</w:t>
            </w: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Four Embarcadero Center, Suite 3460</w:t>
            </w:r>
          </w:p>
        </w:tc>
        <w:tc>
          <w:tcPr>
            <w:tcW w:w="236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Instruments, and Components</w:t>
            </w: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1M S+635, 11/19/2026</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San Francisco, CA 94111</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QuantiTech LLC</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Aerospace and Defense</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Second Lien Secured Debt,</w:t>
            </w: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(QuantiTech Investco LP)</w:t>
            </w:r>
            <w:r>
              <w:rPr>
                <w:rFonts w:ascii="Times New Roman" w:cs="Times New Roman" w:eastAsia="Times New Roman" w:hAnsi="Times New Roman"/>
                <w:sz w:val="8"/>
                <w:szCs w:val="8"/>
                <w:color w:val="auto"/>
              </w:rPr>
              <w:t>(5)</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3M S+1010, 02/04/2027</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(QuantiTech InvestCo II LP)</w:t>
            </w:r>
            <w:r>
              <w:rPr>
                <w:rFonts w:ascii="Times New Roman" w:cs="Times New Roman" w:eastAsia="Times New Roman" w:hAnsi="Times New Roman"/>
                <w:sz w:val="8"/>
                <w:szCs w:val="8"/>
                <w:color w:val="auto"/>
              </w:rPr>
              <w:t>(5)</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Common Equity(4)</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360A-360D Quality Circle, Suite 100/430</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Huntsville, AL 35806</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Questex, LLC</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Media: Diversified and</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6,731</w:t>
            </w: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275 Grove Street, Suite 2-130</w:t>
            </w:r>
          </w:p>
        </w:tc>
        <w:tc>
          <w:tcPr>
            <w:tcW w:w="236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Production</w:t>
            </w: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3M S+440, 09/09/2024</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Newton, MA 02466</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Rancho Health MSO, Inc.</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Healthcare Equipment and</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1,481</w:t>
            </w: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(RFMG Parent, LP)</w:t>
            </w:r>
          </w:p>
        </w:tc>
        <w:tc>
          <w:tcPr>
            <w:tcW w:w="2360" w:type="dxa"/>
            <w:vAlign w:val="bottom"/>
            <w:gridSpan w:val="2"/>
          </w:tcPr>
          <w:p>
            <w:pPr>
              <w:jc w:val="center"/>
              <w:ind w:right="740"/>
              <w:spacing w:after="0" w:line="138" w:lineRule="exact"/>
              <w:rPr>
                <w:sz w:val="20"/>
                <w:szCs w:val="20"/>
                <w:color w:val="auto"/>
              </w:rPr>
            </w:pPr>
            <w:r>
              <w:rPr>
                <w:rFonts w:ascii="Times New Roman" w:cs="Times New Roman" w:eastAsia="Times New Roman" w:hAnsi="Times New Roman"/>
                <w:sz w:val="13"/>
                <w:szCs w:val="13"/>
                <w:color w:val="auto"/>
              </w:rPr>
              <w:t>Supplies</w:t>
            </w: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3M S+440, 12/18/2025</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31720 Temecula Pkwy Suite 100</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Temecula, CA 92592</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Recteq, LLC</w:t>
            </w:r>
          </w:p>
        </w:tc>
        <w:tc>
          <w:tcPr>
            <w:tcW w:w="23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color w:val="auto"/>
              </w:rPr>
              <w:t>Leisure Products</w:t>
            </w:r>
          </w:p>
        </w:tc>
        <w:tc>
          <w:tcPr>
            <w:tcW w:w="222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1,758</w:t>
            </w: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(NEPRT Parent Holdings, LLC )</w:t>
            </w:r>
            <w:r>
              <w:rPr>
                <w:rFonts w:ascii="Times New Roman" w:cs="Times New Roman" w:eastAsia="Times New Roman" w:hAnsi="Times New Roman"/>
                <w:sz w:val="8"/>
                <w:szCs w:val="8"/>
                <w:color w:val="auto"/>
              </w:rPr>
              <w:t>(5)</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3M S+715, 01/29/2026</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1061 Triad Ct., Ste. 3</w:t>
            </w:r>
          </w:p>
        </w:tc>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jc w:val="center"/>
              <w:ind w:right="76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Marietta, GA 30062</w:t>
            </w: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20"/>
          </w:cols>
          <w:pgMar w:left="320" w:top="270"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38"/>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0" w:type="dxa"/>
            <w:vAlign w:val="bottom"/>
            <w:gridSpan w:val="2"/>
          </w:tcPr>
          <w:p>
            <w:pPr>
              <w:jc w:val="center"/>
              <w:ind w:right="880"/>
              <w:spacing w:after="0"/>
              <w:rPr>
                <w:sz w:val="20"/>
                <w:szCs w:val="20"/>
                <w:color w:val="auto"/>
              </w:rPr>
            </w:pPr>
            <w:r>
              <w:rPr>
                <w:rFonts w:ascii="Times New Roman" w:cs="Times New Roman" w:eastAsia="Times New Roman" w:hAnsi="Times New Roman"/>
                <w:sz w:val="12"/>
                <w:szCs w:val="12"/>
                <w:b w:val="1"/>
                <w:bCs w:val="1"/>
                <w:color w:val="auto"/>
                <w:w w:val="92"/>
              </w:rPr>
              <w:t>Voting</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30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0" w:type="dxa"/>
            <w:vAlign w:val="bottom"/>
            <w:gridSpan w:val="2"/>
          </w:tcPr>
          <w:p>
            <w:pPr>
              <w:jc w:val="center"/>
              <w:ind w:right="700"/>
              <w:spacing w:after="0" w:line="118" w:lineRule="exact"/>
              <w:rPr>
                <w:sz w:val="20"/>
                <w:szCs w:val="20"/>
                <w:color w:val="auto"/>
              </w:rPr>
            </w:pPr>
            <w:r>
              <w:rPr>
                <w:rFonts w:ascii="Times New Roman" w:cs="Times New Roman" w:eastAsia="Times New Roman" w:hAnsi="Times New Roman"/>
                <w:sz w:val="12"/>
                <w:szCs w:val="12"/>
                <w:b w:val="1"/>
                <w:bCs w:val="1"/>
                <w:color w:val="auto"/>
                <w:w w:val="95"/>
              </w:rPr>
              <w:t>Type of Investment,</w:t>
            </w:r>
          </w:p>
        </w:tc>
        <w:tc>
          <w:tcPr>
            <w:tcW w:w="1600" w:type="dxa"/>
            <w:vAlign w:val="bottom"/>
            <w:gridSpan w:val="2"/>
          </w:tcPr>
          <w:p>
            <w:pPr>
              <w:jc w:val="center"/>
              <w:ind w:right="860"/>
              <w:spacing w:after="0" w:line="118" w:lineRule="exact"/>
              <w:rPr>
                <w:sz w:val="20"/>
                <w:szCs w:val="20"/>
                <w:color w:val="auto"/>
              </w:rPr>
            </w:pPr>
            <w:r>
              <w:rPr>
                <w:rFonts w:ascii="Times New Roman" w:cs="Times New Roman" w:eastAsia="Times New Roman" w:hAnsi="Times New Roman"/>
                <w:sz w:val="12"/>
                <w:szCs w:val="12"/>
                <w:b w:val="1"/>
                <w:bCs w:val="1"/>
                <w:color w:val="auto"/>
                <w:w w:val="95"/>
              </w:rPr>
              <w:t>Percentage</w:t>
            </w:r>
          </w:p>
        </w:tc>
        <w:tc>
          <w:tcPr>
            <w:tcW w:w="8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57"/>
        </w:trPr>
        <w:tc>
          <w:tcPr>
            <w:tcW w:w="4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w w:val="95"/>
              </w:rPr>
              <w:t>Nature of Business</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6"/>
              </w:rPr>
              <w:t>Interest (1), Maturity</w:t>
            </w:r>
          </w:p>
        </w:tc>
        <w:tc>
          <w:tcPr>
            <w:tcW w:w="1600" w:type="dxa"/>
            <w:vAlign w:val="bottom"/>
            <w:gridSpan w:val="2"/>
          </w:tcPr>
          <w:p>
            <w:pPr>
              <w:jc w:val="center"/>
              <w:ind w:right="880"/>
              <w:spacing w:after="0"/>
              <w:rPr>
                <w:sz w:val="20"/>
                <w:szCs w:val="20"/>
                <w:color w:val="auto"/>
              </w:rPr>
            </w:pPr>
            <w:r>
              <w:rPr>
                <w:rFonts w:ascii="Times New Roman" w:cs="Times New Roman" w:eastAsia="Times New Roman" w:hAnsi="Times New Roman"/>
                <w:sz w:val="12"/>
                <w:szCs w:val="12"/>
                <w:b w:val="1"/>
                <w:bCs w:val="1"/>
                <w:color w:val="auto"/>
                <w:w w:val="97"/>
              </w:rPr>
              <w:t>Ownership (2)</w:t>
            </w: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2"/>
        </w:trPr>
        <w:tc>
          <w:tcPr>
            <w:tcW w:w="1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Research Now Group, LLC</w:t>
            </w:r>
          </w:p>
        </w:tc>
        <w:tc>
          <w:tcPr>
            <w:tcW w:w="278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and Dynata, LLC</w:t>
            </w:r>
          </w:p>
        </w:tc>
        <w:tc>
          <w:tcPr>
            <w:tcW w:w="16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Business Services</w:t>
            </w:r>
          </w:p>
        </w:tc>
        <w:tc>
          <w:tcPr>
            <w:tcW w:w="720" w:type="dxa"/>
            <w:vAlign w:val="bottom"/>
          </w:tcPr>
          <w:p>
            <w:pPr>
              <w:spacing w:after="0"/>
              <w:rPr>
                <w:sz w:val="8"/>
                <w:szCs w:val="8"/>
                <w:color w:val="auto"/>
              </w:rPr>
            </w:pPr>
          </w:p>
        </w:tc>
        <w:tc>
          <w:tcPr>
            <w:tcW w:w="14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First Lien Secured Debt,</w:t>
            </w:r>
          </w:p>
        </w:tc>
        <w:tc>
          <w:tcPr>
            <w:tcW w:w="720" w:type="dxa"/>
            <w:vAlign w:val="bottom"/>
          </w:tcPr>
          <w:p>
            <w:pPr>
              <w:spacing w:after="0"/>
              <w:rPr>
                <w:sz w:val="8"/>
                <w:szCs w:val="8"/>
                <w:color w:val="auto"/>
              </w:rPr>
            </w:pPr>
          </w:p>
        </w:tc>
        <w:tc>
          <w:tcPr>
            <w:tcW w:w="720" w:type="dxa"/>
            <w:vAlign w:val="bottom"/>
            <w:tcBorders>
              <w:top w:val="single" w:sz="8" w:color="auto"/>
            </w:tcBorders>
          </w:tcPr>
          <w:p>
            <w:pPr>
              <w:ind w:left="520"/>
              <w:spacing w:after="0" w:line="102" w:lineRule="exact"/>
              <w:rPr>
                <w:sz w:val="20"/>
                <w:szCs w:val="20"/>
                <w:color w:val="auto"/>
              </w:rPr>
            </w:pPr>
            <w:r>
              <w:rPr>
                <w:rFonts w:ascii="Times New Roman" w:cs="Times New Roman" w:eastAsia="Times New Roman" w:hAnsi="Times New Roman"/>
                <w:sz w:val="11"/>
                <w:szCs w:val="11"/>
                <w:color w:val="auto"/>
              </w:rPr>
              <w:t>— </w:t>
            </w:r>
          </w:p>
        </w:tc>
        <w:tc>
          <w:tcPr>
            <w:tcW w:w="880" w:type="dxa"/>
            <w:vAlign w:val="bottom"/>
          </w:tcPr>
          <w:p>
            <w:pPr>
              <w:spacing w:after="0"/>
              <w:rPr>
                <w:sz w:val="8"/>
                <w:szCs w:val="8"/>
                <w:color w:val="auto"/>
              </w:rPr>
            </w:pPr>
          </w:p>
        </w:tc>
        <w:tc>
          <w:tcPr>
            <w:tcW w:w="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14,341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5800 Tennyson Parkway, Suite 600</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3M S+576, 12/20/2024</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Plano, TX 75024</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Riverpoint Medical,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Healthcare Equipment and</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10,122</w:t>
            </w: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825 NE 25th Avenue</w:t>
            </w:r>
          </w:p>
        </w:tc>
        <w:tc>
          <w:tcPr>
            <w:tcW w:w="2400" w:type="dxa"/>
            <w:vAlign w:val="bottom"/>
            <w:gridSpan w:val="2"/>
          </w:tcPr>
          <w:p>
            <w:pPr>
              <w:jc w:val="center"/>
              <w:ind w:right="700"/>
              <w:spacing w:after="0" w:line="138" w:lineRule="exact"/>
              <w:rPr>
                <w:sz w:val="20"/>
                <w:szCs w:val="20"/>
                <w:color w:val="auto"/>
              </w:rPr>
            </w:pPr>
            <w:r>
              <w:rPr>
                <w:rFonts w:ascii="Times New Roman" w:cs="Times New Roman" w:eastAsia="Times New Roman" w:hAnsi="Times New Roman"/>
                <w:sz w:val="13"/>
                <w:szCs w:val="13"/>
                <w:color w:val="auto"/>
              </w:rPr>
              <w:t>Supplies</w:t>
            </w: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3M S+515, 06/20/2025</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Portland, OR 97232</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Rural Sourcing Holdings, Inc.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Professional Services</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1,015</w:t>
            </w: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(HPA SPQ Aggregator LP)</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3M S+625, 06/15/2029</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817 West Peachtree St. Suite M100</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Atlanta, GA 30308</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S101 Holdings,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color w:val="auto"/>
              </w:rPr>
              <w:t>Electronic Equipment,</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12,377</w:t>
            </w: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1450 Centrepark Blvd.</w:t>
            </w:r>
          </w:p>
        </w:tc>
        <w:tc>
          <w:tcPr>
            <w:tcW w:w="24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Instruments, and Components</w:t>
            </w: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3M S+615, 12/29/2026</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Suite 210</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West Palm Beach, FL 33401</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Sales Benchmark Index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Professional Services</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(SBI Holdings Investments LLC)</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3M S+620, 01/03/2025</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2021 McKinney Avenue Suite 550</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Dallas, TX 75201</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Sargent &amp; Greenleaf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color w:val="auto"/>
              </w:rPr>
              <w:t>Electronic Equipment,</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One Security Drive</w:t>
            </w:r>
          </w:p>
        </w:tc>
        <w:tc>
          <w:tcPr>
            <w:tcW w:w="24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Instruments, and Components</w:t>
            </w: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1M S+760 (PIK 1.00%),</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Nicholasville, KY 40356</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12/20/2024</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Schlesinger Global, Inc.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Professional Services</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16,420</w:t>
            </w: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(Gauge Schlesinger Coinvest, LLC)</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3M S+825 (PIK 5.60%),</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101 Wood Avenue South, Suite 501</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07/14/2025</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Iselin, NJ 08830</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00"/>
              <w:spacing w:after="0" w:line="138" w:lineRule="exact"/>
              <w:rPr>
                <w:sz w:val="20"/>
                <w:szCs w:val="20"/>
                <w:color w:val="auto"/>
              </w:rPr>
            </w:pPr>
            <w:r>
              <w:rPr>
                <w:rFonts w:ascii="Times New Roman" w:cs="Times New Roman" w:eastAsia="Times New Roman" w:hAnsi="Times New Roman"/>
                <w:sz w:val="13"/>
                <w:szCs w:val="13"/>
                <w:color w:val="auto"/>
              </w:rPr>
              <w:t>Subordinate Debt</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3M S+700, 07/26/2024</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Seaway Buyer,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2,078</w:t>
            </w: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(Seaway Topco, LP)</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3M S+615, 06/13/2029</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6006 Siesta Lane</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Port Richey, FL 34668</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Sigma Defense Systems,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color w:val="auto"/>
              </w:rPr>
              <w:t>IT Services</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23,587</w:t>
            </w: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(Delta InvestCo LP)</w:t>
            </w:r>
            <w:r>
              <w:rPr>
                <w:rFonts w:ascii="Times New Roman" w:cs="Times New Roman" w:eastAsia="Times New Roman" w:hAnsi="Times New Roman"/>
                <w:sz w:val="8"/>
                <w:szCs w:val="8"/>
                <w:color w:val="auto"/>
              </w:rPr>
              <w:t>(5)</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3M S+715, 12/18/2027</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1812 Macon Rd</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Common Equity(4)</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Perry, GA 31069</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Simplicity Financial Marketing Group Holdings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color w:val="auto"/>
              </w:rPr>
              <w:t>Diversified Financial Services</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4,331</w:t>
            </w:r>
          </w:p>
        </w:tc>
        <w:tc>
          <w:tcPr>
            <w:tcW w:w="0" w:type="dxa"/>
            <w:vAlign w:val="bottom"/>
          </w:tcPr>
          <w:p>
            <w:pPr>
              <w:spacing w:after="0"/>
              <w:rPr>
                <w:sz w:val="1"/>
                <w:szCs w:val="1"/>
                <w:color w:val="auto"/>
              </w:rPr>
            </w:pPr>
          </w:p>
        </w:tc>
      </w:tr>
      <w:tr>
        <w:trPr>
          <w:trHeight w:val="17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86 Summit Avenue Suite 303</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color w:val="auto"/>
              </w:rPr>
              <w:t>3M S+640, 12/02/2026</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300" w:type="dxa"/>
            <w:vAlign w:val="bottom"/>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Summit, NJ 07901</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Skopima Consilio Parent,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color w:val="auto"/>
              </w:rPr>
              <w:t>Business Services</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1828 L Street NW Suite 1070</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1M S+450, 05/17/2028</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Washington, DC 20036</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Smartronix,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Aerospace and Defense</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15,326</w:t>
            </w: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(OceanSound Discovery Equity, LP)</w:t>
            </w:r>
            <w:r>
              <w:rPr>
                <w:rFonts w:ascii="Times New Roman" w:cs="Times New Roman" w:eastAsia="Times New Roman" w:hAnsi="Times New Roman"/>
                <w:sz w:val="8"/>
                <w:szCs w:val="8"/>
                <w:color w:val="auto"/>
              </w:rPr>
              <w:t>(5)</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1M S+635, 11/23/2028</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310 The Bridge Street, Suite 350</w:t>
            </w:r>
          </w:p>
        </w:tc>
        <w:tc>
          <w:tcPr>
            <w:tcW w:w="1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Huntsville, AL 35806</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Smile Brands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color w:val="auto"/>
              </w:rPr>
              <w:t>Healthcare and</w:t>
            </w:r>
          </w:p>
        </w:tc>
        <w:tc>
          <w:tcPr>
            <w:tcW w:w="220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2,576</w:t>
            </w:r>
          </w:p>
        </w:tc>
        <w:tc>
          <w:tcPr>
            <w:tcW w:w="0" w:type="dxa"/>
            <w:vAlign w:val="bottom"/>
          </w:tcPr>
          <w:p>
            <w:pPr>
              <w:spacing w:after="0"/>
              <w:rPr>
                <w:sz w:val="1"/>
                <w:szCs w:val="1"/>
                <w:color w:val="auto"/>
              </w:rPr>
            </w:pPr>
          </w:p>
        </w:tc>
      </w:tr>
      <w:tr>
        <w:trPr>
          <w:trHeight w:val="137"/>
        </w:trPr>
        <w:tc>
          <w:tcPr>
            <w:tcW w:w="43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100 Spectrum Center Drive, Suite 100</w:t>
            </w:r>
          </w:p>
        </w:tc>
        <w:tc>
          <w:tcPr>
            <w:tcW w:w="24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Pharmaceuticals</w:t>
            </w:r>
          </w:p>
        </w:tc>
        <w:tc>
          <w:tcPr>
            <w:tcW w:w="2200" w:type="dxa"/>
            <w:vAlign w:val="bottom"/>
            <w:gridSpan w:val="2"/>
          </w:tcPr>
          <w:p>
            <w:pPr>
              <w:jc w:val="center"/>
              <w:ind w:right="720"/>
              <w:spacing w:after="0" w:line="138" w:lineRule="exact"/>
              <w:rPr>
                <w:sz w:val="20"/>
                <w:szCs w:val="20"/>
                <w:color w:val="auto"/>
              </w:rPr>
            </w:pPr>
            <w:r>
              <w:rPr>
                <w:rFonts w:ascii="Times New Roman" w:cs="Times New Roman" w:eastAsia="Times New Roman" w:hAnsi="Times New Roman"/>
                <w:sz w:val="13"/>
                <w:szCs w:val="13"/>
                <w:color w:val="auto"/>
              </w:rPr>
              <w:t>1M S+450, 10/14/2025</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Irvine, CA 92618</w:t>
            </w: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20"/>
          </w:cols>
          <w:pgMar w:left="320" w:top="270"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38"/>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2"/>
              </w:rPr>
              <w:t>Voting</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72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2"/>
                <w:szCs w:val="12"/>
                <w:b w:val="1"/>
                <w:bCs w:val="1"/>
                <w:color w:val="auto"/>
                <w:w w:val="95"/>
              </w:rPr>
              <w:t>Type of Investment,</w:t>
            </w:r>
          </w:p>
        </w:tc>
        <w:tc>
          <w:tcPr>
            <w:tcW w:w="1360" w:type="dxa"/>
            <w:vAlign w:val="bottom"/>
            <w:gridSpan w:val="2"/>
          </w:tcPr>
          <w:p>
            <w:pPr>
              <w:jc w:val="center"/>
              <w:ind w:right="600"/>
              <w:spacing w:after="0" w:line="11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100" w:type="dxa"/>
            <w:vAlign w:val="bottom"/>
          </w:tcPr>
          <w:p>
            <w:pPr>
              <w:spacing w:after="0"/>
              <w:rPr>
                <w:sz w:val="10"/>
                <w:szCs w:val="10"/>
                <w:color w:val="auto"/>
              </w:rPr>
            </w:pPr>
          </w:p>
        </w:tc>
        <w:tc>
          <w:tcPr>
            <w:tcW w:w="6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0" w:type="dxa"/>
            <w:vAlign w:val="bottom"/>
          </w:tcPr>
          <w:p>
            <w:pPr>
              <w:spacing w:after="0"/>
              <w:rPr>
                <w:sz w:val="1"/>
                <w:szCs w:val="1"/>
                <w:color w:val="auto"/>
              </w:rPr>
            </w:pPr>
          </w:p>
        </w:tc>
      </w:tr>
      <w:tr>
        <w:trPr>
          <w:trHeight w:val="157"/>
        </w:trPr>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7"/>
              </w:rPr>
              <w:t>Nature of Business</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6"/>
              </w:rPr>
              <w:t>Interest (1), Maturity</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7"/>
              </w:rPr>
              <w:t>Ownership (2)</w:t>
            </w: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2"/>
        </w:trPr>
        <w:tc>
          <w:tcPr>
            <w:tcW w:w="1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Solutionreach, Inc.</w:t>
            </w:r>
          </w:p>
        </w:tc>
        <w:tc>
          <w:tcPr>
            <w:tcW w:w="3200" w:type="dxa"/>
            <w:vAlign w:val="bottom"/>
          </w:tcPr>
          <w:p>
            <w:pPr>
              <w:spacing w:after="0"/>
              <w:rPr>
                <w:sz w:val="8"/>
                <w:szCs w:val="8"/>
                <w:color w:val="auto"/>
              </w:rPr>
            </w:pPr>
          </w:p>
        </w:tc>
        <w:tc>
          <w:tcPr>
            <w:tcW w:w="1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Healthcare Technology</w:t>
            </w:r>
          </w:p>
        </w:tc>
        <w:tc>
          <w:tcPr>
            <w:tcW w:w="440" w:type="dxa"/>
            <w:vAlign w:val="bottom"/>
          </w:tcPr>
          <w:p>
            <w:pPr>
              <w:spacing w:after="0"/>
              <w:rPr>
                <w:sz w:val="8"/>
                <w:szCs w:val="8"/>
                <w:color w:val="auto"/>
              </w:rPr>
            </w:pPr>
          </w:p>
        </w:tc>
        <w:tc>
          <w:tcPr>
            <w:tcW w:w="154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First Lien Secured Debt(4),</w:t>
            </w:r>
          </w:p>
        </w:tc>
        <w:tc>
          <w:tcPr>
            <w:tcW w:w="460" w:type="dxa"/>
            <w:vAlign w:val="bottom"/>
          </w:tcPr>
          <w:p>
            <w:pPr>
              <w:spacing w:after="0"/>
              <w:rPr>
                <w:sz w:val="8"/>
                <w:szCs w:val="8"/>
                <w:color w:val="auto"/>
              </w:rPr>
            </w:pPr>
          </w:p>
        </w:tc>
        <w:tc>
          <w:tcPr>
            <w:tcW w:w="760" w:type="dxa"/>
            <w:vAlign w:val="bottom"/>
            <w:tcBorders>
              <w:top w:val="single" w:sz="8" w:color="auto"/>
            </w:tcBorders>
          </w:tcPr>
          <w:p>
            <w:pPr>
              <w:ind w:left="560"/>
              <w:spacing w:after="0" w:line="102"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tcPr>
          <w:p>
            <w:pPr>
              <w:spacing w:after="0"/>
              <w:rPr>
                <w:sz w:val="8"/>
                <w:szCs w:val="8"/>
                <w:color w:val="auto"/>
              </w:rPr>
            </w:pPr>
          </w:p>
        </w:tc>
        <w:tc>
          <w:tcPr>
            <w:tcW w:w="1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4,652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2600 N. Ashton Blvd.</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3M S+700, 07/17/2025</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Lehi, UT 84043</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Spendmend Holdings LLC</w:t>
            </w: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color w:val="auto"/>
              </w:rPr>
              <w:t>Healthcare Technology</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2,804</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(North Haven Saints Equity Holdings, LP)</w:t>
            </w:r>
            <w:r>
              <w:rPr>
                <w:rFonts w:ascii="Times New Roman" w:cs="Times New Roman" w:eastAsia="Times New Roman" w:hAnsi="Times New Roman"/>
                <w:sz w:val="8"/>
                <w:szCs w:val="8"/>
                <w:color w:val="auto"/>
              </w:rPr>
              <w:t>(5)</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3M S+565, 03/01/2028,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2680 Horizon Dr SE,</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Grand Rapids, MI 49546</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SSC Dominion Holdings, LLC</w:t>
            </w: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color w:val="auto"/>
              </w:rPr>
              <w:t>Capital Equipment</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color w:val="auto"/>
              </w:rPr>
              <w:t>Common Equity</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1,001</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(US Dominion, Inc.)</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215 Spadina Avenue, Suite 200</w:t>
            </w:r>
          </w:p>
        </w:tc>
        <w:tc>
          <w:tcPr>
            <w:tcW w:w="1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Toronto, ON MST 2C7</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Summit Behavioral Healthcare, LLC</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1,990</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501 Corporate Centre Dr. #600</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1M S+501, 11/24/2028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Franklin, TN 37067</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System Planning and Analysis, Inc. (f/k/a Management Consulting &amp; Research,</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Aerospace and Defense</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20,622</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LLC)</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3M S+590, 08/16/2027</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1220 12th Street SE</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Washington DC, 20003</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TAC LifePort Purchaser, LLC</w:t>
            </w:r>
            <w:r>
              <w:rPr>
                <w:rFonts w:ascii="Times New Roman" w:cs="Times New Roman" w:eastAsia="Times New Roman" w:hAnsi="Times New Roman"/>
                <w:sz w:val="8"/>
                <w:szCs w:val="8"/>
                <w:color w:val="auto"/>
              </w:rPr>
              <w:t>(5)</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Aerospace and Defense</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color w:val="auto"/>
              </w:rPr>
              <w:t>Common Equity</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897</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1610 Heritage St</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Woodland, WA 98674</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TCG 3.0 Jogger Acquisitionco, Inc.</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Media</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27,893</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(TCG 3.0 Jogger Co-Invest, LP)</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3M S+650, 01/26/2029</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3344 Walnut Street</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Denver, CO 80205</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Team Services Group, LLC</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1,990</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131 Camino Del Rio N, Suite 650</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3M S+543, 12/20/2027</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San Diego, CA 92108</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Bluebird Group LLC</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Professional Services</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2,576</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81 South Ninth Street, Suite 420,</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3M S+665, 07/28/2026</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Minneapolis, MN, 55402</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Vertex Companies, LLC</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Construction &amp; Engineering</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3,856</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(TWD Parent Holdings, LLC)</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1M S+610, 08/30/2027</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398 Libbey Industrial Pkwy,</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Weymouth, MA 02189</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color w:val="auto"/>
              </w:rPr>
              <w:t>Common Equity</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TPC US Parent, LLC</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Food Products</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12,853</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(TPC Holding Company, LP)</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3M S+565, 11/24/2025</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151 Struthers Street</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Warren, PA 16365</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color w:val="auto"/>
              </w:rPr>
              <w:t>Common Equity</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TransGo, LLC</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Auto Components</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15,569</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(Aftermarket Drivetrain Products Holdings, LLC)</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3M S+600, 12/29/2028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2621 Merced Avenue</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color w:val="auto"/>
              </w:rPr>
              <w:t>Common Equity</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720" w:type="dxa"/>
            <w:vAlign w:val="bottom"/>
            <w:gridSpan w:val="2"/>
            <w:vMerge w:val="continue"/>
          </w:tcPr>
          <w:p>
            <w:pPr>
              <w:spacing w:after="0"/>
              <w:rPr>
                <w:sz w:val="9"/>
                <w:szCs w:val="9"/>
                <w:color w:val="auto"/>
              </w:rPr>
            </w:pPr>
          </w:p>
        </w:tc>
        <w:tc>
          <w:tcPr>
            <w:tcW w:w="1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 Monte, CA, 91733</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TWS Acquisition Corporation</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Diversified Consumer Services</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3,657</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120 N. 44th Street #230</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1M S+640, 06/16/2025</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Phoenix, AZ 85034</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Tyto Athene, LLC</w:t>
            </w: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IT Services</w:t>
            </w: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12,692</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(NXOF Holdings, Inc)</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1M S+565, 04/01/2028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510 Spring Street, Suite 200</w:t>
            </w:r>
          </w:p>
        </w:tc>
        <w:tc>
          <w:tcPr>
            <w:tcW w:w="1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color w:val="auto"/>
              </w:rPr>
              <w:t>Preferred Equity</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Herndon, VA 20170</w:t>
            </w: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color w:val="auto"/>
              </w:rPr>
              <w:t>Common Equity</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00"/>
          </w:cols>
          <w:pgMar w:left="320" w:top="270" w:right="3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3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2"/>
              </w:rPr>
              <w:t>Voting</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460" w:type="dxa"/>
            <w:vAlign w:val="bottom"/>
            <w:gridSpan w:val="2"/>
            <w:vMerge w:val="continue"/>
          </w:tcPr>
          <w:p>
            <w:pPr>
              <w:spacing w:after="0"/>
              <w:rPr>
                <w:sz w:val="10"/>
                <w:szCs w:val="10"/>
                <w:color w:val="auto"/>
              </w:rPr>
            </w:pPr>
          </w:p>
        </w:tc>
        <w:tc>
          <w:tcPr>
            <w:tcW w:w="1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00" w:type="dxa"/>
            <w:vAlign w:val="bottom"/>
            <w:gridSpan w:val="2"/>
          </w:tcPr>
          <w:p>
            <w:pPr>
              <w:jc w:val="center"/>
              <w:ind w:right="600"/>
              <w:spacing w:after="0" w:line="118" w:lineRule="exact"/>
              <w:rPr>
                <w:sz w:val="20"/>
                <w:szCs w:val="20"/>
                <w:color w:val="auto"/>
              </w:rPr>
            </w:pPr>
            <w:r>
              <w:rPr>
                <w:rFonts w:ascii="Times New Roman" w:cs="Times New Roman" w:eastAsia="Times New Roman" w:hAnsi="Times New Roman"/>
                <w:sz w:val="12"/>
                <w:szCs w:val="12"/>
                <w:b w:val="1"/>
                <w:bCs w:val="1"/>
                <w:color w:val="auto"/>
                <w:w w:val="95"/>
              </w:rPr>
              <w:t>Type of Investment,</w:t>
            </w:r>
          </w:p>
        </w:tc>
        <w:tc>
          <w:tcPr>
            <w:tcW w:w="1520" w:type="dxa"/>
            <w:vAlign w:val="bottom"/>
            <w:gridSpan w:val="2"/>
          </w:tcPr>
          <w:p>
            <w:pPr>
              <w:jc w:val="center"/>
              <w:ind w:right="800"/>
              <w:spacing w:after="0" w:line="118"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8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57"/>
        </w:trPr>
        <w:tc>
          <w:tcPr>
            <w:tcW w:w="44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5"/>
              </w:rPr>
              <w:t>Nature of Business</w:t>
            </w:r>
          </w:p>
        </w:tc>
        <w:tc>
          <w:tcPr>
            <w:tcW w:w="210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6"/>
              </w:rPr>
              <w:t>Interest (1), Maturity</w:t>
            </w:r>
          </w:p>
        </w:tc>
        <w:tc>
          <w:tcPr>
            <w:tcW w:w="152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7"/>
              </w:rPr>
              <w:t>Ownership (2)</w:t>
            </w: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2"/>
        </w:trPr>
        <w:tc>
          <w:tcPr>
            <w:tcW w:w="1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UniTek Global Services Inc.</w:t>
            </w:r>
          </w:p>
        </w:tc>
        <w:tc>
          <w:tcPr>
            <w:tcW w:w="2940" w:type="dxa"/>
            <w:vAlign w:val="bottom"/>
          </w:tcPr>
          <w:p>
            <w:pPr>
              <w:spacing w:after="0"/>
              <w:rPr>
                <w:sz w:val="8"/>
                <w:szCs w:val="8"/>
                <w:color w:val="auto"/>
              </w:rPr>
            </w:pPr>
          </w:p>
        </w:tc>
        <w:tc>
          <w:tcPr>
            <w:tcW w:w="18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Telecommunications</w:t>
            </w:r>
          </w:p>
        </w:tc>
        <w:tc>
          <w:tcPr>
            <w:tcW w:w="540" w:type="dxa"/>
            <w:vAlign w:val="bottom"/>
          </w:tcPr>
          <w:p>
            <w:pPr>
              <w:spacing w:after="0"/>
              <w:rPr>
                <w:sz w:val="8"/>
                <w:szCs w:val="8"/>
                <w:color w:val="auto"/>
              </w:rPr>
            </w:pPr>
          </w:p>
        </w:tc>
        <w:tc>
          <w:tcPr>
            <w:tcW w:w="15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Preferred Equity</w:t>
            </w:r>
          </w:p>
        </w:tc>
        <w:tc>
          <w:tcPr>
            <w:tcW w:w="580" w:type="dxa"/>
            <w:vAlign w:val="bottom"/>
          </w:tcPr>
          <w:p>
            <w:pPr>
              <w:spacing w:after="0"/>
              <w:rPr>
                <w:sz w:val="8"/>
                <w:szCs w:val="8"/>
                <w:color w:val="auto"/>
              </w:rPr>
            </w:pPr>
          </w:p>
        </w:tc>
        <w:tc>
          <w:tcPr>
            <w:tcW w:w="720" w:type="dxa"/>
            <w:vAlign w:val="bottom"/>
            <w:tcBorders>
              <w:top w:val="single" w:sz="8" w:color="auto"/>
            </w:tcBorders>
          </w:tcPr>
          <w:p>
            <w:pPr>
              <w:ind w:left="520"/>
              <w:spacing w:after="0" w:line="102" w:lineRule="exact"/>
              <w:rPr>
                <w:sz w:val="20"/>
                <w:szCs w:val="20"/>
                <w:color w:val="auto"/>
              </w:rPr>
            </w:pPr>
            <w:r>
              <w:rPr>
                <w:rFonts w:ascii="Times New Roman" w:cs="Times New Roman" w:eastAsia="Times New Roman" w:hAnsi="Times New Roman"/>
                <w:sz w:val="11"/>
                <w:szCs w:val="11"/>
                <w:color w:val="auto"/>
              </w:rPr>
              <w:t>— </w:t>
            </w:r>
          </w:p>
        </w:tc>
        <w:tc>
          <w:tcPr>
            <w:tcW w:w="800" w:type="dxa"/>
            <w:vAlign w:val="bottom"/>
          </w:tcPr>
          <w:p>
            <w:pPr>
              <w:spacing w:after="0"/>
              <w:rPr>
                <w:sz w:val="8"/>
                <w:szCs w:val="8"/>
                <w:color w:val="auto"/>
              </w:rPr>
            </w:pPr>
          </w:p>
        </w:tc>
        <w:tc>
          <w:tcPr>
            <w:tcW w:w="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1817 Crane Ridge Drive, Suite 500</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Jackson, MS 39216</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Warrants</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UniVista Insurance</w:t>
            </w:r>
            <w:r>
              <w:rPr>
                <w:rFonts w:ascii="Times New Roman" w:cs="Times New Roman" w:eastAsia="Times New Roman" w:hAnsi="Times New Roman"/>
                <w:sz w:val="8"/>
                <w:szCs w:val="8"/>
                <w:color w:val="auto"/>
              </w:rPr>
              <w:t>(5)</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Insurance</w:t>
            </w: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Common Equity</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1817 Crane Ridge Drive, Suite 500</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Jackson, MS 39216</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Urology Partners Co., LP</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Common Equity</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500 East Broward Blvd, Suite 2150</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Fort Lauderdale, FL 33394</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Walker Edison Furniture Company LLC</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Wholesale</w:t>
            </w:r>
          </w:p>
        </w:tc>
        <w:tc>
          <w:tcPr>
            <w:tcW w:w="210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4,947</w:t>
            </w: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(Walker Edison Holdco LLC)</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 03/01/2029</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1553 W 9000 S</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West Jordan, UT 84088</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Watchtower Intermediate, LLC</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Electronic Equipment, Instruments,</w:t>
            </w:r>
          </w:p>
        </w:tc>
        <w:tc>
          <w:tcPr>
            <w:tcW w:w="210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(Watchtower Holdings, LLC)</w:t>
            </w:r>
            <w:r>
              <w:rPr>
                <w:rFonts w:ascii="Times New Roman" w:cs="Times New Roman" w:eastAsia="Times New Roman" w:hAnsi="Times New Roman"/>
                <w:sz w:val="8"/>
                <w:szCs w:val="8"/>
                <w:color w:val="auto"/>
              </w:rPr>
              <w:t>(5)</w:t>
            </w:r>
          </w:p>
        </w:tc>
        <w:tc>
          <w:tcPr>
            <w:tcW w:w="242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and Components</w:t>
            </w: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3M S+600 , 12/01/2029</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127 Weldon Parkway</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Maryland Heights, MO 63043</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WCP IvyRehab QP CF Feeder, LP</w:t>
            </w:r>
            <w:r>
              <w:rPr>
                <w:rFonts w:ascii="Times New Roman" w:cs="Times New Roman" w:eastAsia="Times New Roman" w:hAnsi="Times New Roman"/>
                <w:sz w:val="8"/>
                <w:szCs w:val="8"/>
                <w:color w:val="auto"/>
              </w:rPr>
              <w:t>(5)</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Common Equity</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4,173</w:t>
            </w: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 xml:space="preserve">(WCP IvyRehab Coinvestment, LP) </w:t>
            </w:r>
            <w:r>
              <w:rPr>
                <w:rFonts w:ascii="Times New Roman" w:cs="Times New Roman" w:eastAsia="Times New Roman" w:hAnsi="Times New Roman"/>
                <w:sz w:val="8"/>
                <w:szCs w:val="8"/>
                <w:color w:val="auto"/>
              </w:rPr>
              <w:t>(5)</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1311 Mamaroneck Avenue, Suite 140</w:t>
            </w:r>
          </w:p>
        </w:tc>
        <w:tc>
          <w:tcPr>
            <w:tcW w:w="1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White Plains, NY 10605</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Wildcat Buyerco, Inc.</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Electronic Equipment, Instruments,</w:t>
            </w:r>
          </w:p>
        </w:tc>
        <w:tc>
          <w:tcPr>
            <w:tcW w:w="210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13,378</w:t>
            </w: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(Wildcat Parent, LP)</w:t>
            </w:r>
          </w:p>
        </w:tc>
        <w:tc>
          <w:tcPr>
            <w:tcW w:w="242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and Components</w:t>
            </w: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3M S+575, 02/26/2027</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9730 Northcross Center Court</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Huntersville, NC 28078</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Wrench Group, LLC</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3,509</w:t>
            </w: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1819 Main Street Suite 1300</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3M S+426, 10/30/2028</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Sarasota, FL 34236</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Zips Car Wash, LLC</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Automobiles</w:t>
            </w: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12,960</w:t>
            </w: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1809 East Parker Road</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3M S+735 (PIK 1.50%),</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auto"/>
              </w:rPr>
              <w:t>Jonesboro, AR 72404</w:t>
            </w:r>
          </w:p>
        </w:tc>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auto"/>
              </w:rPr>
              <w:t>12/31/2024</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Companies 25% or More Owned</w:t>
            </w:r>
          </w:p>
        </w:tc>
        <w:tc>
          <w:tcPr>
            <w:tcW w:w="1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Marketplace Events LLC</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Media: Diversified and Production</w:t>
            </w:r>
          </w:p>
        </w:tc>
        <w:tc>
          <w:tcPr>
            <w:tcW w:w="210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color w:val="auto"/>
              </w:rPr>
              <w:t>First Lien Secured Debt(4),</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32.6%</w:t>
            </w:r>
            <w:r>
              <w:rPr>
                <w:rFonts w:ascii="Times New Roman" w:cs="Times New Roman" w:eastAsia="Times New Roman" w:hAnsi="Times New Roman"/>
                <w:sz w:val="8"/>
                <w:szCs w:val="8"/>
                <w:color w:val="auto"/>
              </w:rPr>
              <w:t>(3)</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38,004</w:t>
            </w: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(New MPE Holdings, LLC)</w:t>
            </w:r>
            <w:r>
              <w:rPr>
                <w:rFonts w:ascii="Times New Roman" w:cs="Times New Roman" w:eastAsia="Times New Roman" w:hAnsi="Times New Roman"/>
                <w:sz w:val="8"/>
                <w:szCs w:val="8"/>
                <w:color w:val="auto"/>
              </w:rPr>
              <w:t>(5)</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3M S+550, 09/30/2026</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31105 Bainbridge Road, Suite 3</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Solon, OH 44139</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PennantPark Senior Secured Loan Fund I LLC</w:t>
            </w:r>
            <w:r>
              <w:rPr>
                <w:rFonts w:ascii="Times New Roman" w:cs="Times New Roman" w:eastAsia="Times New Roman" w:hAnsi="Times New Roman"/>
                <w:sz w:val="8"/>
                <w:szCs w:val="8"/>
                <w:color w:val="auto"/>
              </w:rPr>
              <w:t>(6)</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Financial Services</w:t>
            </w: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First Lien Secured Debt,</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50.0%</w:t>
            </w:r>
            <w:r>
              <w:rPr>
                <w:rFonts w:ascii="Times New Roman" w:cs="Times New Roman" w:eastAsia="Times New Roman" w:hAnsi="Times New Roman"/>
                <w:sz w:val="8"/>
                <w:szCs w:val="8"/>
                <w:color w:val="auto"/>
              </w:rPr>
              <w:t>(3)</w:t>
            </w:r>
          </w:p>
        </w:tc>
        <w:tc>
          <w:tcPr>
            <w:tcW w:w="8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263,199</w:t>
            </w:r>
          </w:p>
        </w:tc>
        <w:tc>
          <w:tcPr>
            <w:tcW w:w="0" w:type="dxa"/>
            <w:vAlign w:val="bottom"/>
          </w:tcPr>
          <w:p>
            <w:pPr>
              <w:spacing w:after="0"/>
              <w:rPr>
                <w:sz w:val="1"/>
                <w:szCs w:val="1"/>
                <w:color w:val="auto"/>
              </w:rPr>
            </w:pPr>
          </w:p>
        </w:tc>
      </w:tr>
      <w:tr>
        <w:trPr>
          <w:trHeight w:val="137"/>
        </w:trPr>
        <w:tc>
          <w:tcPr>
            <w:tcW w:w="44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1691 Michigan Avenue</w:t>
            </w: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00" w:type="dxa"/>
            <w:vAlign w:val="bottom"/>
            <w:gridSpan w:val="2"/>
          </w:tcPr>
          <w:p>
            <w:pPr>
              <w:jc w:val="center"/>
              <w:ind w:right="540"/>
              <w:spacing w:after="0" w:line="138" w:lineRule="exact"/>
              <w:rPr>
                <w:sz w:val="20"/>
                <w:szCs w:val="20"/>
                <w:color w:val="auto"/>
              </w:rPr>
            </w:pPr>
            <w:r>
              <w:rPr>
                <w:rFonts w:ascii="Times New Roman" w:cs="Times New Roman" w:eastAsia="Times New Roman" w:hAnsi="Times New Roman"/>
                <w:sz w:val="13"/>
                <w:szCs w:val="13"/>
                <w:color w:val="auto"/>
              </w:rPr>
              <w:t>3M S+800, 05/06/2024</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Miami, FL 33139</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Common Equity</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Total Investments</w:t>
            </w:r>
          </w:p>
        </w:tc>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1,477,883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ind w:left="440" w:hanging="440"/>
        <w:spacing w:after="0" w:line="250" w:lineRule="auto"/>
        <w:tabs>
          <w:tab w:leader="none" w:pos="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floating rate instruments that accrue interest at a predetermined spread relative to an index, typically the applicable Secured Overnight Financing Rate, or “S”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270" w:right="339" w:bottom="1440" w:gutter="0" w:footer="0" w:header="0"/>
        </w:sectPr>
      </w:pPr>
    </w:p>
    <w:bookmarkStart w:id="36" w:name="page37"/>
    <w:bookmarkEnd w:id="36"/>
    <w:p>
      <w:pPr>
        <w:ind w:left="440" w:hanging="440"/>
        <w:spacing w:after="0"/>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755" cy="52070"/>
                    </a:xfrm>
                    <a:prstGeom prst="rect">
                      <a:avLst/>
                    </a:prstGeom>
                    <a:noFill/>
                  </pic:spPr>
                </pic:pic>
              </a:graphicData>
            </a:graphic>
          </wp:anchor>
        </w:drawing>
        <w:t>Voting ownership percentage refers only to common equity, preferred equity and warrants held, if any, were we to have voting rights.</w:t>
      </w:r>
    </w:p>
    <w:p>
      <w:pPr>
        <w:spacing w:after="0" w:line="20"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hold one or more voting seats on the portfolio company’s board of directors/managers.</w:t>
      </w:r>
    </w:p>
    <w:p>
      <w:pPr>
        <w:spacing w:after="0" w:line="4" w:lineRule="exact"/>
        <w:rPr>
          <w:rFonts w:ascii="Times New Roman" w:cs="Times New Roman" w:eastAsia="Times New Roman" w:hAnsi="Times New Roman"/>
          <w:sz w:val="17"/>
          <w:szCs w:val="17"/>
          <w:color w:val="auto"/>
        </w:rPr>
      </w:pPr>
    </w:p>
    <w:p>
      <w:pPr>
        <w:ind w:left="440" w:right="100" w:hanging="440"/>
        <w:spacing w:after="0" w:line="244" w:lineRule="auto"/>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purchase of a security with delayed settlement or a revolving line of credit that is currently an unfunded investment, that does not earn a basis point spread above an index while it is unfunded.</w:t>
      </w:r>
    </w:p>
    <w:p>
      <w:pPr>
        <w:spacing w:after="0" w:line="1"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is held through our Taxable Subsidiary.</w:t>
      </w:r>
    </w:p>
    <w:p>
      <w:pPr>
        <w:spacing w:after="0" w:line="4" w:lineRule="exact"/>
        <w:rPr>
          <w:rFonts w:ascii="Times New Roman" w:cs="Times New Roman" w:eastAsia="Times New Roman" w:hAnsi="Times New Roman"/>
          <w:sz w:val="17"/>
          <w:szCs w:val="17"/>
          <w:color w:val="auto"/>
        </w:rPr>
      </w:pPr>
    </w:p>
    <w:p>
      <w:pPr>
        <w:ind w:left="440" w:hanging="440"/>
        <w:spacing w:after="0" w:line="247" w:lineRule="auto"/>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2024, qualifying assets represent 83% of our total assets and non-qualifying assets represent 17% of our total assets.</w:t>
      </w:r>
    </w:p>
    <w:p>
      <w:pPr>
        <w:spacing w:after="0" w:line="17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Set forth below is a brief description of each portfolio company in which we have made an investment that represents greater than 5% of our total assets as of March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PennantPark Senior Secured Loan Fund I LLC (Financial Services)</w:t>
      </w:r>
    </w:p>
    <w:p>
      <w:pPr>
        <w:spacing w:after="0" w:line="104"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PennantPark Senior Secured Loan Fund I LLC is an unconsolidated joint venture between the Company and certain entities of Kemper Insurance Corporation, or Kemper, which invests primarily in floating rate loans, with an emphasis on senior secured loans, in middle-market leveraged companies.</w:t>
      </w:r>
    </w:p>
    <w:p>
      <w:pPr>
        <w:spacing w:after="0" w:line="159" w:lineRule="exact"/>
        <w:rPr>
          <w:sz w:val="20"/>
          <w:szCs w:val="20"/>
          <w:color w:val="auto"/>
        </w:rPr>
      </w:pPr>
    </w:p>
    <w:p>
      <w:pPr>
        <w:ind w:right="240" w:firstLine="450"/>
        <w:spacing w:after="0" w:line="270" w:lineRule="auto"/>
        <w:rPr>
          <w:sz w:val="20"/>
          <w:szCs w:val="20"/>
          <w:color w:val="auto"/>
        </w:rPr>
      </w:pPr>
      <w:r>
        <w:rPr>
          <w:rFonts w:ascii="Times New Roman" w:cs="Times New Roman" w:eastAsia="Times New Roman" w:hAnsi="Times New Roman"/>
          <w:sz w:val="17"/>
          <w:szCs w:val="17"/>
          <w:color w:val="auto"/>
        </w:rPr>
        <w:t>The table below describes investments by industry classification and enumerates the percentage, by fair value, of the total portfolio assets (excluding cash and cash equivalents) in such industries:</w:t>
      </w:r>
    </w:p>
    <w:p>
      <w:pPr>
        <w:spacing w:after="0" w:line="178" w:lineRule="exact"/>
        <w:rPr>
          <w:sz w:val="20"/>
          <w:szCs w:val="20"/>
          <w:color w:val="auto"/>
        </w:rPr>
      </w:pPr>
    </w:p>
    <w:tbl>
      <w:tblPr>
        <w:tblLayout w:type="fixed"/>
        <w:tblInd w:w="1360" w:type="dxa"/>
        <w:tblCellMar>
          <w:top w:w="0" w:type="dxa"/>
          <w:left w:w="0" w:type="dxa"/>
          <w:bottom w:w="0" w:type="dxa"/>
          <w:right w:w="0" w:type="dxa"/>
        </w:tblCellMar>
      </w:tblPr>
      <w:tr>
        <w:trPr>
          <w:trHeight w:val="159"/>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2100" w:type="dxa"/>
            <w:vAlign w:val="bottom"/>
          </w:tcPr>
          <w:p>
            <w:pPr>
              <w:spacing w:after="0"/>
              <w:rPr>
                <w:sz w:val="13"/>
                <w:szCs w:val="13"/>
                <w:color w:val="auto"/>
              </w:rPr>
            </w:pPr>
          </w:p>
        </w:tc>
        <w:tc>
          <w:tcPr>
            <w:tcW w:w="3160" w:type="dxa"/>
            <w:vAlign w:val="bottom"/>
            <w:gridSpan w:val="3"/>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March 31, 2024 (1)</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2023 (1)</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132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00" w:type="dxa"/>
            <w:vAlign w:val="bottom"/>
            <w:gridSpan w:val="2"/>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840" w:type="dxa"/>
            <w:vAlign w:val="bottom"/>
            <w:gridSpan w:val="2"/>
            <w:shd w:val="clear" w:color="auto" w:fill="CCEEFF"/>
          </w:tcPr>
          <w:p>
            <w:pPr>
              <w:jc w:val="right"/>
              <w:ind w:right="620"/>
              <w:spacing w:after="0" w:line="185" w:lineRule="exact"/>
              <w:rPr>
                <w:sz w:val="20"/>
                <w:szCs w:val="20"/>
                <w:color w:val="auto"/>
              </w:rPr>
            </w:pPr>
            <w:r>
              <w:rPr>
                <w:rFonts w:ascii="Times New Roman" w:cs="Times New Roman" w:eastAsia="Times New Roman" w:hAnsi="Times New Roman"/>
                <w:sz w:val="17"/>
                <w:szCs w:val="17"/>
                <w:color w:val="auto"/>
              </w:rPr>
              <w:t>10%</w:t>
            </w:r>
          </w:p>
        </w:tc>
        <w:tc>
          <w:tcPr>
            <w:tcW w:w="640" w:type="dxa"/>
            <w:vAlign w:val="bottom"/>
            <w:vMerge w:val="continue"/>
            <w:shd w:val="clear" w:color="auto" w:fill="CCEEFF"/>
          </w:tcPr>
          <w:p>
            <w:pPr>
              <w:spacing w:after="0"/>
              <w:rPr>
                <w:sz w:val="16"/>
                <w:szCs w:val="16"/>
                <w:color w:val="auto"/>
              </w:rPr>
            </w:pPr>
          </w:p>
        </w:tc>
        <w:tc>
          <w:tcPr>
            <w:tcW w:w="1340" w:type="dxa"/>
            <w:vAlign w:val="bottom"/>
            <w:tcBorders>
              <w:right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Aerospace and Defense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Media</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Healthcare Providers and Services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83"/>
        </w:trPr>
        <w:tc>
          <w:tcPr>
            <w:tcW w:w="34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Electronic Equipment, Instruments, and</w:t>
            </w:r>
          </w:p>
        </w:tc>
        <w:tc>
          <w:tcPr>
            <w:tcW w:w="1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Components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760" w:type="dxa"/>
            <w:vAlign w:val="bottom"/>
            <w:shd w:val="clear" w:color="auto" w:fill="CCEEFF"/>
          </w:tcPr>
          <w:p>
            <w:pPr>
              <w:spacing w:after="0"/>
              <w:rPr>
                <w:sz w:val="18"/>
                <w:szCs w:val="18"/>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 &amp; Engineering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Personal Products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 Services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Distributors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Media: Diversified and Production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Healthcare Technology</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High Tech Industries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Services &amp; Supplies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 and Building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 Equipment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Air Freight and Logistics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Auto Components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Automobiles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Business Services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Chemicals, Plastics and Rubber</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 Services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Diversified Consumer Services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Diversified Financial Services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Energy Equipment and Services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0"/>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Financial Services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Food Products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shd w:val="clear" w:color="auto" w:fill="CCEEFF"/>
          </w:tcPr>
          <w:p>
            <w:pPr>
              <w:spacing w:after="0"/>
              <w:rPr>
                <w:sz w:val="17"/>
                <w:szCs w:val="17"/>
                <w:color w:val="auto"/>
              </w:rPr>
            </w:pP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37"/>
        </w:trPr>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2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rPr>
              <w:t>34</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285" w:right="37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tbl>
      <w:tblPr>
        <w:tblLayout w:type="fixed"/>
        <w:tblInd w:w="1360" w:type="dxa"/>
        <w:tblCellMar>
          <w:top w:w="0" w:type="dxa"/>
          <w:left w:w="0" w:type="dxa"/>
          <w:bottom w:w="0" w:type="dxa"/>
          <w:right w:w="0" w:type="dxa"/>
        </w:tblCellMar>
      </w:tblPr>
      <w:tr>
        <w:trPr>
          <w:trHeight w:val="179"/>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2200" w:type="dxa"/>
            <w:vAlign w:val="bottom"/>
          </w:tcPr>
          <w:p>
            <w:pPr>
              <w:spacing w:after="0"/>
              <w:rPr>
                <w:sz w:val="15"/>
                <w:szCs w:val="15"/>
                <w:color w:val="auto"/>
              </w:rPr>
            </w:pPr>
          </w:p>
        </w:tc>
        <w:tc>
          <w:tcPr>
            <w:tcW w:w="2920" w:type="dxa"/>
            <w:vAlign w:val="bottom"/>
            <w:gridSpan w:val="3"/>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March 31, 2024 (1)</w:t>
            </w:r>
          </w:p>
        </w:tc>
        <w:tc>
          <w:tcPr>
            <w:tcW w:w="21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September 30, 2023 (1)</w:t>
            </w:r>
          </w:p>
        </w:tc>
      </w:tr>
      <w:tr>
        <w:trPr>
          <w:trHeight w:val="184"/>
        </w:trPr>
        <w:tc>
          <w:tcPr>
            <w:tcW w:w="350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Healthcare Equipment and Supplies</w:t>
            </w:r>
          </w:p>
        </w:tc>
        <w:tc>
          <w:tcPr>
            <w:tcW w:w="10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w:t>
            </w:r>
          </w:p>
        </w:tc>
        <w:tc>
          <w:tcPr>
            <w:tcW w:w="7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top w:val="single" w:sz="8" w:color="CCEEFF"/>
            </w:tcBorders>
            <w:shd w:val="clear" w:color="auto" w:fill="CCEEFF"/>
          </w:tcPr>
          <w:p>
            <w:pPr>
              <w:spacing w:after="0"/>
              <w:rPr>
                <w:sz w:val="16"/>
                <w:szCs w:val="16"/>
                <w:color w:val="auto"/>
              </w:rPr>
            </w:pPr>
          </w:p>
        </w:tc>
      </w:tr>
      <w:tr>
        <w:trPr>
          <w:trHeight w:val="200"/>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Hotels, Restaurants and Leisure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7"/>
                <w:szCs w:val="17"/>
                <w:color w:val="auto"/>
              </w:rPr>
            </w:pPr>
          </w:p>
        </w:tc>
      </w:tr>
      <w:tr>
        <w:trPr>
          <w:trHeight w:val="20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Internet Software and Services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7"/>
                <w:szCs w:val="17"/>
                <w:color w:val="auto"/>
              </w:rPr>
            </w:pPr>
          </w:p>
        </w:tc>
      </w:tr>
      <w:tr>
        <w:trPr>
          <w:trHeight w:val="200"/>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Leisure Products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7"/>
                <w:szCs w:val="17"/>
                <w:color w:val="auto"/>
              </w:rPr>
            </w:pPr>
          </w:p>
        </w:tc>
      </w:tr>
      <w:tr>
        <w:trPr>
          <w:trHeight w:val="20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Metals and Mining</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r>
      <w:tr>
        <w:trPr>
          <w:trHeight w:val="200"/>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Textiles, Apparel and Luxury Goods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6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7"/>
                <w:szCs w:val="17"/>
                <w:color w:val="auto"/>
              </w:rPr>
            </w:pPr>
          </w:p>
        </w:tc>
      </w:tr>
      <w:tr>
        <w:trPr>
          <w:trHeight w:val="20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Other</w:t>
            </w:r>
          </w:p>
        </w:tc>
        <w:tc>
          <w:tcPr>
            <w:tcW w:w="10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7"/>
                <w:szCs w:val="17"/>
                <w:color w:val="auto"/>
              </w:rPr>
            </w:pPr>
          </w:p>
        </w:tc>
      </w:tr>
      <w:tr>
        <w:trPr>
          <w:trHeight w:val="204"/>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Pr>
          <w:p>
            <w:pPr>
              <w:spacing w:after="0"/>
              <w:rPr>
                <w:sz w:val="17"/>
                <w:szCs w:val="17"/>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100%</w:t>
            </w:r>
          </w:p>
        </w:tc>
        <w:tc>
          <w:tcPr>
            <w:tcW w:w="64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8422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84225" cy="762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8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85"/>
              </w:rPr>
              <w:t>(1)</w:t>
            </w:r>
          </w:p>
        </w:tc>
        <w:tc>
          <w:tcPr>
            <w:tcW w:w="5420" w:type="dxa"/>
            <w:vAlign w:val="bottom"/>
            <w:vMerge w:val="restart"/>
          </w:tcPr>
          <w:p>
            <w:pPr>
              <w:jc w:val="right"/>
              <w:ind w:right="3097"/>
              <w:spacing w:after="0"/>
              <w:rPr>
                <w:sz w:val="20"/>
                <w:szCs w:val="20"/>
                <w:color w:val="auto"/>
              </w:rPr>
            </w:pPr>
            <w:r>
              <w:rPr>
                <w:rFonts w:ascii="Times New Roman" w:cs="Times New Roman" w:eastAsia="Times New Roman" w:hAnsi="Times New Roman"/>
                <w:sz w:val="17"/>
                <w:szCs w:val="17"/>
                <w:color w:val="auto"/>
              </w:rPr>
              <w:t>Excludes investments in PSSL.</w:t>
            </w:r>
          </w:p>
        </w:tc>
        <w:tc>
          <w:tcPr>
            <w:tcW w:w="0" w:type="dxa"/>
            <w:vAlign w:val="bottom"/>
          </w:tcPr>
          <w:p>
            <w:pPr>
              <w:spacing w:after="0"/>
              <w:rPr>
                <w:sz w:val="1"/>
                <w:szCs w:val="1"/>
                <w:color w:val="auto"/>
              </w:rPr>
            </w:pPr>
          </w:p>
        </w:tc>
      </w:tr>
      <w:tr>
        <w:trPr>
          <w:trHeight w:val="82"/>
        </w:trPr>
        <w:tc>
          <w:tcPr>
            <w:tcW w:w="280" w:type="dxa"/>
            <w:vAlign w:val="bottom"/>
          </w:tcPr>
          <w:p>
            <w:pPr>
              <w:spacing w:after="0"/>
              <w:rPr>
                <w:sz w:val="7"/>
                <w:szCs w:val="7"/>
                <w:color w:val="auto"/>
              </w:rPr>
            </w:pPr>
          </w:p>
        </w:tc>
        <w:tc>
          <w:tcPr>
            <w:tcW w:w="5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280" w:type="dxa"/>
            <w:vAlign w:val="bottom"/>
          </w:tcPr>
          <w:p>
            <w:pPr>
              <w:spacing w:after="0"/>
              <w:rPr>
                <w:sz w:val="24"/>
                <w:szCs w:val="24"/>
                <w:color w:val="auto"/>
              </w:rPr>
            </w:pPr>
          </w:p>
        </w:tc>
        <w:tc>
          <w:tcPr>
            <w:tcW w:w="5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bl>
    <w:p>
      <w:pPr>
        <w:sectPr>
          <w:pgSz w:w="11900" w:h="16838" w:orient="portrait"/>
          <w:cols w:equalWidth="0" w:num="1">
            <w:col w:w="10139"/>
          </w:cols>
          <w:pgMar w:left="320" w:top="279"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755" cy="52070"/>
                    </a:xfrm>
                    <a:prstGeom prst="rect">
                      <a:avLst/>
                    </a:prstGeom>
                    <a:noFill/>
                  </pic:spPr>
                </pic:pic>
              </a:graphicData>
            </a:graphic>
          </wp:anchor>
        </w:drawing>
        <w:t>PORTFOLIO MANAGEMENT</w:t>
      </w:r>
    </w:p>
    <w:p>
      <w:pPr>
        <w:spacing w:after="0" w:line="208" w:lineRule="exact"/>
        <w:rPr>
          <w:sz w:val="20"/>
          <w:szCs w:val="20"/>
          <w:color w:val="auto"/>
        </w:rPr>
      </w:pPr>
    </w:p>
    <w:p>
      <w:pPr>
        <w:ind w:right="220" w:firstLine="450"/>
        <w:spacing w:after="0" w:line="248" w:lineRule="auto"/>
        <w:rPr>
          <w:sz w:val="20"/>
          <w:szCs w:val="20"/>
          <w:color w:val="auto"/>
        </w:rPr>
      </w:pPr>
      <w:r>
        <w:rPr>
          <w:rFonts w:ascii="Times New Roman" w:cs="Times New Roman" w:eastAsia="Times New Roman" w:hAnsi="Times New Roman"/>
          <w:sz w:val="17"/>
          <w:szCs w:val="17"/>
          <w:color w:val="auto"/>
        </w:rPr>
        <w:t>Our Investment Adviser, which manages our day-to-day investment activities under the supervision of our board of directors, has seven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0" w:lineRule="exact"/>
        <w:rPr>
          <w:sz w:val="20"/>
          <w:szCs w:val="20"/>
          <w:color w:val="auto"/>
        </w:rPr>
      </w:pPr>
    </w:p>
    <w:p>
      <w:pPr>
        <w:ind w:right="180" w:firstLine="450"/>
        <w:spacing w:after="0" w:line="263" w:lineRule="auto"/>
        <w:rPr>
          <w:sz w:val="20"/>
          <w:szCs w:val="20"/>
          <w:color w:val="auto"/>
        </w:rPr>
      </w:pPr>
      <w:r>
        <w:rPr>
          <w:rFonts w:ascii="Times New Roman" w:cs="Times New Roman" w:eastAsia="Times New Roman" w:hAnsi="Times New Roman"/>
          <w:sz w:val="16"/>
          <w:szCs w:val="16"/>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w:t>
      </w:r>
    </w:p>
    <w:p>
      <w:pPr>
        <w:spacing w:after="0" w:line="2"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17"/>
          <w:szCs w:val="17"/>
          <w:color w:val="auto"/>
        </w:rPr>
        <w:t>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76" w:lineRule="exact"/>
        <w:rPr>
          <w:sz w:val="20"/>
          <w:szCs w:val="20"/>
          <w:color w:val="auto"/>
        </w:rPr>
      </w:pPr>
    </w:p>
    <w:p>
      <w:pPr>
        <w:ind w:right="140" w:firstLine="450"/>
        <w:spacing w:after="0" w:line="251" w:lineRule="auto"/>
        <w:rPr>
          <w:sz w:val="20"/>
          <w:szCs w:val="20"/>
          <w:color w:val="auto"/>
        </w:rPr>
      </w:pPr>
      <w:r>
        <w:rPr>
          <w:rFonts w:ascii="Times New Roman" w:cs="Times New Roman" w:eastAsia="Times New Roman" w:hAnsi="Times New Roman"/>
          <w:sz w:val="17"/>
          <w:szCs w:val="17"/>
          <w:color w:val="auto"/>
        </w:rPr>
        <w:t>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75"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5" w:lineRule="exact"/>
        <w:rPr>
          <w:sz w:val="20"/>
          <w:szCs w:val="20"/>
          <w:color w:val="auto"/>
        </w:rPr>
      </w:pPr>
    </w:p>
    <w:p>
      <w:pPr>
        <w:ind w:right="300" w:firstLine="450"/>
        <w:spacing w:after="0" w:line="270" w:lineRule="auto"/>
        <w:rPr>
          <w:sz w:val="20"/>
          <w:szCs w:val="20"/>
          <w:color w:val="auto"/>
        </w:rPr>
      </w:pPr>
      <w:r>
        <w:rPr>
          <w:rFonts w:ascii="Times New Roman" w:cs="Times New Roman" w:eastAsia="Times New Roman" w:hAnsi="Times New Roman"/>
          <w:sz w:val="17"/>
          <w:szCs w:val="17"/>
          <w:color w:val="auto"/>
        </w:rPr>
        <w:t>Michael Appelbaum joined PennantPark Investment Advisers in August 2011. Previously, Mr. Appelbaum was an Analyst in the Leveraged Finance Group at Bank of America Merrill Lynch from 2010 to 2011 and an Analyst in Aerospace and Defense Finance at CIT Group from 2007 to 2010.</w:t>
      </w:r>
    </w:p>
    <w:p>
      <w:pPr>
        <w:spacing w:after="0" w:line="159" w:lineRule="exact"/>
        <w:rPr>
          <w:sz w:val="20"/>
          <w:szCs w:val="20"/>
          <w:color w:val="auto"/>
        </w:rPr>
      </w:pPr>
    </w:p>
    <w:p>
      <w:pPr>
        <w:ind w:right="420" w:firstLine="450"/>
        <w:spacing w:after="0" w:line="302" w:lineRule="auto"/>
        <w:rPr>
          <w:sz w:val="20"/>
          <w:szCs w:val="20"/>
          <w:color w:val="auto"/>
        </w:rPr>
      </w:pPr>
      <w:r>
        <w:rPr>
          <w:rFonts w:ascii="Times New Roman" w:cs="Times New Roman" w:eastAsia="Times New Roman" w:hAnsi="Times New Roman"/>
          <w:sz w:val="16"/>
          <w:szCs w:val="16"/>
          <w:color w:val="auto"/>
        </w:rPr>
        <w:t>Terence Clerkin joined PennantPark Investment Advisers in September 2012. Previously, Mr. Clerkin was an Associate in the Mezzanine Group at Crescent Capital from 2010 to 2012. Before that, he was an Analyst at Moelis &amp; Company from 2008 to 2010 and an Analyst at Bear, Stearns &amp; Co. from 2007 to 2008.</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281" w:right="339" w:bottom="1440" w:gutter="0" w:footer="0" w:header="0"/>
        </w:sectPr>
      </w:pPr>
    </w:p>
    <w:bookmarkStart w:id="39" w:name="page40"/>
    <w:bookmarkEnd w:id="39"/>
    <w:p>
      <w:pPr>
        <w:ind w:right="300" w:firstLine="450"/>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755" cy="52070"/>
                    </a:xfrm>
                    <a:prstGeom prst="rect">
                      <a:avLst/>
                    </a:prstGeom>
                    <a:noFill/>
                  </pic:spPr>
                </pic:pic>
              </a:graphicData>
            </a:graphic>
          </wp:anchor>
        </w:drawing>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173" w:lineRule="exact"/>
        <w:rPr>
          <w:sz w:val="20"/>
          <w:szCs w:val="20"/>
          <w:color w:val="auto"/>
        </w:rPr>
      </w:pPr>
    </w:p>
    <w:p>
      <w:pPr>
        <w:ind w:right="320" w:firstLine="450"/>
        <w:spacing w:after="0" w:line="270" w:lineRule="auto"/>
        <w:rPr>
          <w:sz w:val="20"/>
          <w:szCs w:val="20"/>
          <w:color w:val="auto"/>
        </w:rPr>
      </w:pPr>
      <w:r>
        <w:rPr>
          <w:rFonts w:ascii="Times New Roman" w:cs="Times New Roman" w:eastAsia="Times New Roman" w:hAnsi="Times New Roman"/>
          <w:sz w:val="17"/>
          <w:szCs w:val="17"/>
          <w:color w:val="auto"/>
        </w:rPr>
        <w:t>Ryan Raskopf joined PennantPark Investment Advisers in August 2007. Previously, Mr. Raskopf was an Analyst in the Financial Institutions Group at Credit Suisse Securities (USA) LLC from 2005 to 2007.</w:t>
      </w:r>
    </w:p>
    <w:p>
      <w:pPr>
        <w:spacing w:after="0" w:line="159" w:lineRule="exact"/>
        <w:rPr>
          <w:sz w:val="20"/>
          <w:szCs w:val="20"/>
          <w:color w:val="auto"/>
        </w:rPr>
      </w:pPr>
    </w:p>
    <w:p>
      <w:pPr>
        <w:jc w:val="both"/>
        <w:ind w:right="80" w:firstLine="450"/>
        <w:spacing w:after="0" w:line="253" w:lineRule="auto"/>
        <w:rPr>
          <w:sz w:val="20"/>
          <w:szCs w:val="20"/>
          <w:color w:val="auto"/>
        </w:rPr>
      </w:pPr>
      <w:r>
        <w:rPr>
          <w:rFonts w:ascii="Times New Roman" w:cs="Times New Roman" w:eastAsia="Times New Roman" w:hAnsi="Times New Roman"/>
          <w:sz w:val="17"/>
          <w:szCs w:val="17"/>
          <w:color w:val="auto"/>
        </w:rPr>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73"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7"/>
          <w:szCs w:val="17"/>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addition to managing our investments, as of March 31, 2024, our portfolio managers also managed investments on behalf of the following entities: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vMerge w:val="restart"/>
          </w:tcPr>
          <w:p>
            <w:pPr>
              <w:ind w:left="17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800" w:type="dxa"/>
            <w:vAlign w:val="bottom"/>
            <w:vMerge w:val="restart"/>
          </w:tcPr>
          <w:p>
            <w:pPr>
              <w:ind w:left="140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3780" w:type="dxa"/>
            <w:vAlign w:val="bottom"/>
            <w:vMerge w:val="restart"/>
          </w:tcPr>
          <w:p>
            <w:pPr>
              <w:ind w:left="1420"/>
              <w:spacing w:after="0"/>
              <w:rPr>
                <w:sz w:val="20"/>
                <w:szCs w:val="20"/>
                <w:color w:val="auto"/>
              </w:rPr>
            </w:pPr>
            <w:r>
              <w:rPr>
                <w:rFonts w:ascii="Times New Roman" w:cs="Times New Roman" w:eastAsia="Times New Roman" w:hAnsi="Times New Roman"/>
                <w:sz w:val="13"/>
                <w:szCs w:val="13"/>
                <w:b w:val="1"/>
                <w:bCs w:val="1"/>
                <w:color w:val="auto"/>
              </w:rPr>
              <w:t>Investment Focus</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Gross Assets</w:t>
            </w:r>
          </w:p>
        </w:tc>
        <w:tc>
          <w:tcPr>
            <w:tcW w:w="0" w:type="dxa"/>
            <w:vAlign w:val="bottom"/>
          </w:tcPr>
          <w:p>
            <w:pPr>
              <w:spacing w:after="0"/>
              <w:rPr>
                <w:sz w:val="1"/>
                <w:szCs w:val="1"/>
                <w:color w:val="auto"/>
              </w:rPr>
            </w:pPr>
          </w:p>
        </w:tc>
      </w:tr>
      <w:tr>
        <w:trPr>
          <w:trHeight w:val="159"/>
        </w:trPr>
        <w:tc>
          <w:tcPr>
            <w:tcW w:w="362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3780" w:type="dxa"/>
            <w:vAlign w:val="bottom"/>
            <w:vMerge w:val="continue"/>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PennantPark Investment Corporation</w:t>
            </w:r>
          </w:p>
        </w:tc>
        <w:tc>
          <w:tcPr>
            <w:tcW w:w="2800" w:type="dxa"/>
            <w:vAlign w:val="bottom"/>
            <w:shd w:val="clear" w:color="auto" w:fill="CCEEFF"/>
          </w:tcPr>
          <w:p>
            <w:pPr>
              <w:ind w:left="500"/>
              <w:spacing w:after="0" w:line="183" w:lineRule="exact"/>
              <w:rPr>
                <w:sz w:val="20"/>
                <w:szCs w:val="20"/>
                <w:color w:val="auto"/>
              </w:rPr>
            </w:pPr>
            <w:r>
              <w:rPr>
                <w:rFonts w:ascii="Times New Roman" w:cs="Times New Roman" w:eastAsia="Times New Roman" w:hAnsi="Times New Roman"/>
                <w:sz w:val="17"/>
                <w:szCs w:val="17"/>
                <w:color w:val="auto"/>
              </w:rPr>
              <w:t>Business development company</w:t>
            </w:r>
          </w:p>
        </w:tc>
        <w:tc>
          <w:tcPr>
            <w:tcW w:w="3780" w:type="dxa"/>
            <w:vAlign w:val="bottom"/>
            <w:shd w:val="clear" w:color="auto" w:fill="CCEEFF"/>
          </w:tcPr>
          <w:p>
            <w:pPr>
              <w:ind w:left="160"/>
              <w:spacing w:after="0" w:line="183" w:lineRule="exact"/>
              <w:rPr>
                <w:sz w:val="20"/>
                <w:szCs w:val="20"/>
                <w:color w:val="auto"/>
              </w:rPr>
            </w:pPr>
            <w:r>
              <w:rPr>
                <w:rFonts w:ascii="Times New Roman" w:cs="Times New Roman" w:eastAsia="Times New Roman" w:hAnsi="Times New Roman"/>
                <w:sz w:val="17"/>
                <w:szCs w:val="17"/>
                <w:color w:val="auto"/>
              </w:rPr>
              <w:t>Primarily in U.S. middle market companies in the</w:t>
            </w:r>
          </w:p>
        </w:tc>
        <w:tc>
          <w:tcPr>
            <w:tcW w:w="460" w:type="dxa"/>
            <w:vAlign w:val="bottom"/>
            <w:shd w:val="clear" w:color="auto" w:fill="CCEEFF"/>
          </w:tcPr>
          <w:p>
            <w:pPr>
              <w:ind w:left="220"/>
              <w:spacing w:after="0" w:line="183"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1,291</w:t>
            </w: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form of first lien secured loans, second lien secured</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debt, subordinated debt and equity investments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PennantPark Senior Secured Loan Fund I LLC</w:t>
            </w:r>
          </w:p>
        </w:tc>
        <w:tc>
          <w:tcPr>
            <w:tcW w:w="28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Joint Venture</w:t>
            </w:r>
          </w:p>
        </w:tc>
        <w:tc>
          <w:tcPr>
            <w:tcW w:w="3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Primarily floating rate loans, with an emphasis on</w:t>
            </w:r>
          </w:p>
        </w:tc>
        <w:tc>
          <w:tcPr>
            <w:tcW w:w="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200"/>
        </w:trPr>
        <w:tc>
          <w:tcPr>
            <w:tcW w:w="3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senior secured loans, in middle-market leveraged</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companies.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36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PennantPark Senior Loan Fund, LLC</w:t>
            </w:r>
          </w:p>
        </w:tc>
        <w:tc>
          <w:tcPr>
            <w:tcW w:w="2800" w:type="dxa"/>
            <w:vAlign w:val="bottom"/>
            <w:shd w:val="clear" w:color="auto" w:fill="CCEEFF"/>
          </w:tcPr>
          <w:p>
            <w:pPr>
              <w:ind w:left="500"/>
              <w:spacing w:after="0" w:line="183" w:lineRule="exact"/>
              <w:rPr>
                <w:sz w:val="20"/>
                <w:szCs w:val="20"/>
                <w:color w:val="auto"/>
              </w:rPr>
            </w:pPr>
            <w:r>
              <w:rPr>
                <w:rFonts w:ascii="Times New Roman" w:cs="Times New Roman" w:eastAsia="Times New Roman" w:hAnsi="Times New Roman"/>
                <w:sz w:val="17"/>
                <w:szCs w:val="17"/>
                <w:color w:val="auto"/>
              </w:rPr>
              <w:t>Joint Venture</w:t>
            </w:r>
          </w:p>
        </w:tc>
        <w:tc>
          <w:tcPr>
            <w:tcW w:w="3780" w:type="dxa"/>
            <w:vAlign w:val="bottom"/>
            <w:shd w:val="clear" w:color="auto" w:fill="CCEEFF"/>
          </w:tcPr>
          <w:p>
            <w:pPr>
              <w:ind w:left="160"/>
              <w:spacing w:after="0" w:line="183" w:lineRule="exact"/>
              <w:rPr>
                <w:sz w:val="20"/>
                <w:szCs w:val="20"/>
                <w:color w:val="auto"/>
              </w:rPr>
            </w:pPr>
            <w:r>
              <w:rPr>
                <w:rFonts w:ascii="Times New Roman" w:cs="Times New Roman" w:eastAsia="Times New Roman" w:hAnsi="Times New Roman"/>
                <w:sz w:val="17"/>
                <w:szCs w:val="17"/>
                <w:color w:val="auto"/>
              </w:rPr>
              <w:t>Primarily invests in middle-market and other</w:t>
            </w:r>
          </w:p>
        </w:tc>
        <w:tc>
          <w:tcPr>
            <w:tcW w:w="460" w:type="dxa"/>
            <w:vAlign w:val="bottom"/>
            <w:shd w:val="clear" w:color="auto" w:fill="CCEEFF"/>
          </w:tcPr>
          <w:p>
            <w:pPr>
              <w:ind w:left="220"/>
              <w:spacing w:after="0" w:line="183"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corporate debt consistent with PennantPark</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Investment Corporation’s strategy.</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Other Managed Funds</w:t>
            </w:r>
          </w:p>
        </w:tc>
        <w:tc>
          <w:tcPr>
            <w:tcW w:w="28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Direct Lending Funds</w:t>
            </w:r>
          </w:p>
        </w:tc>
        <w:tc>
          <w:tcPr>
            <w:tcW w:w="3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credit opportunities</w:t>
            </w:r>
          </w:p>
        </w:tc>
        <w:tc>
          <w:tcPr>
            <w:tcW w:w="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w:t>
            </w:r>
          </w:p>
        </w:tc>
        <w:tc>
          <w:tcPr>
            <w:tcW w:w="0" w:type="dxa"/>
            <w:vAlign w:val="bottom"/>
          </w:tcPr>
          <w:p>
            <w:pPr>
              <w:spacing w:after="0"/>
              <w:rPr>
                <w:sz w:val="1"/>
                <w:szCs w:val="1"/>
                <w:color w:val="auto"/>
              </w:rPr>
            </w:pPr>
          </w:p>
        </w:tc>
      </w:tr>
      <w:tr>
        <w:trPr>
          <w:trHeight w:val="337"/>
        </w:trPr>
        <w:tc>
          <w:tcPr>
            <w:tcW w:w="3620" w:type="dxa"/>
            <w:vAlign w:val="bottom"/>
          </w:tcPr>
          <w:p>
            <w:pPr>
              <w:spacing w:after="0"/>
              <w:rPr>
                <w:sz w:val="24"/>
                <w:szCs w:val="24"/>
                <w:color w:val="auto"/>
              </w:rPr>
            </w:pPr>
          </w:p>
        </w:tc>
        <w:tc>
          <w:tcPr>
            <w:tcW w:w="280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37</w:t>
            </w:r>
          </w:p>
        </w:tc>
        <w:tc>
          <w:tcPr>
            <w:tcW w:w="3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5" w:right="339" w:bottom="1440" w:gutter="0" w:footer="0" w:header="0"/>
        </w:sectPr>
      </w:pPr>
    </w:p>
    <w:bookmarkStart w:id="40" w:name="page41"/>
    <w:bookmarkEnd w:id="40"/>
    <w:p>
      <w:pPr>
        <w:ind w:firstLine="45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following table sets forth the dollar range of our common stock beneficially owned by each of our senior investment professionals as of March 31, 2024. Information as to the beneficial ownerships is based on information furnished to us by such persons. We are not part of a “family of investment companies,” as that term is defined in the 1940 Act.</w:t>
      </w:r>
    </w:p>
    <w:p>
      <w:pPr>
        <w:spacing w:after="0" w:line="177" w:lineRule="exact"/>
        <w:rPr>
          <w:sz w:val="20"/>
          <w:szCs w:val="20"/>
          <w:color w:val="auto"/>
        </w:rPr>
      </w:pPr>
    </w:p>
    <w:tbl>
      <w:tblPr>
        <w:tblLayout w:type="fixed"/>
        <w:tblInd w:w="180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4100" w:type="dxa"/>
            <w:vAlign w:val="bottom"/>
            <w:gridSpan w:val="2"/>
          </w:tcPr>
          <w:p>
            <w:pPr>
              <w:jc w:val="center"/>
              <w:ind w:left="1542"/>
              <w:spacing w:after="0"/>
              <w:rPr>
                <w:sz w:val="20"/>
                <w:szCs w:val="20"/>
                <w:color w:val="auto"/>
              </w:rPr>
            </w:pPr>
            <w:r>
              <w:rPr>
                <w:rFonts w:ascii="Times New Roman" w:cs="Times New Roman" w:eastAsia="Times New Roman" w:hAnsi="Times New Roman"/>
                <w:sz w:val="13"/>
                <w:szCs w:val="13"/>
                <w:b w:val="1"/>
                <w:bCs w:val="1"/>
                <w:color w:val="auto"/>
              </w:rPr>
              <w:t>Dollar Range of the</w:t>
            </w:r>
          </w:p>
        </w:tc>
      </w:tr>
      <w:tr>
        <w:trPr>
          <w:trHeight w:val="137"/>
        </w:trPr>
        <w:tc>
          <w:tcPr>
            <w:tcW w:w="3560" w:type="dxa"/>
            <w:vAlign w:val="bottom"/>
          </w:tcPr>
          <w:p>
            <w:pPr>
              <w:spacing w:after="0"/>
              <w:rPr>
                <w:sz w:val="11"/>
                <w:szCs w:val="11"/>
                <w:color w:val="auto"/>
              </w:rPr>
            </w:pPr>
          </w:p>
        </w:tc>
        <w:tc>
          <w:tcPr>
            <w:tcW w:w="4100" w:type="dxa"/>
            <w:vAlign w:val="bottom"/>
            <w:gridSpan w:val="2"/>
          </w:tcPr>
          <w:p>
            <w:pPr>
              <w:jc w:val="center"/>
              <w:ind w:left="1522"/>
              <w:spacing w:after="0" w:line="138" w:lineRule="exact"/>
              <w:rPr>
                <w:sz w:val="20"/>
                <w:szCs w:val="20"/>
                <w:color w:val="auto"/>
              </w:rPr>
            </w:pPr>
            <w:r>
              <w:rPr>
                <w:rFonts w:ascii="Times New Roman" w:cs="Times New Roman" w:eastAsia="Times New Roman" w:hAnsi="Times New Roman"/>
                <w:sz w:val="13"/>
                <w:szCs w:val="13"/>
                <w:b w:val="1"/>
                <w:bCs w:val="1"/>
                <w:color w:val="auto"/>
              </w:rPr>
              <w:t>Common Stock of</w:t>
            </w:r>
          </w:p>
        </w:tc>
      </w:tr>
      <w:tr>
        <w:trPr>
          <w:trHeight w:val="137"/>
        </w:trPr>
        <w:tc>
          <w:tcPr>
            <w:tcW w:w="3560" w:type="dxa"/>
            <w:vAlign w:val="bottom"/>
          </w:tcPr>
          <w:p>
            <w:pPr>
              <w:spacing w:after="0"/>
              <w:rPr>
                <w:sz w:val="11"/>
                <w:szCs w:val="11"/>
                <w:color w:val="auto"/>
              </w:rPr>
            </w:pPr>
          </w:p>
        </w:tc>
        <w:tc>
          <w:tcPr>
            <w:tcW w:w="4100" w:type="dxa"/>
            <w:vAlign w:val="bottom"/>
            <w:gridSpan w:val="2"/>
          </w:tcPr>
          <w:p>
            <w:pPr>
              <w:jc w:val="center"/>
              <w:ind w:left="1542"/>
              <w:spacing w:after="0" w:line="138" w:lineRule="exact"/>
              <w:rPr>
                <w:sz w:val="20"/>
                <w:szCs w:val="20"/>
                <w:color w:val="auto"/>
              </w:rPr>
            </w:pPr>
            <w:r>
              <w:rPr>
                <w:rFonts w:ascii="Times New Roman" w:cs="Times New Roman" w:eastAsia="Times New Roman" w:hAnsi="Times New Roman"/>
                <w:sz w:val="13"/>
                <w:szCs w:val="13"/>
                <w:b w:val="1"/>
                <w:bCs w:val="1"/>
                <w:color w:val="auto"/>
              </w:rPr>
              <w:t>PennantPark Floating Rate</w:t>
            </w:r>
          </w:p>
        </w:tc>
      </w:tr>
      <w:tr>
        <w:trPr>
          <w:trHeight w:val="172"/>
        </w:trPr>
        <w:tc>
          <w:tcPr>
            <w:tcW w:w="3560" w:type="dxa"/>
            <w:vAlign w:val="bottom"/>
          </w:tcPr>
          <w:p>
            <w:pPr>
              <w:spacing w:after="0"/>
              <w:rPr>
                <w:sz w:val="14"/>
                <w:szCs w:val="14"/>
                <w:color w:val="auto"/>
              </w:rPr>
            </w:pPr>
          </w:p>
        </w:tc>
        <w:tc>
          <w:tcPr>
            <w:tcW w:w="4100" w:type="dxa"/>
            <w:vAlign w:val="bottom"/>
            <w:gridSpan w:val="2"/>
          </w:tcPr>
          <w:p>
            <w:pPr>
              <w:jc w:val="center"/>
              <w:ind w:left="1542"/>
              <w:spacing w:after="0"/>
              <w:rPr>
                <w:sz w:val="20"/>
                <w:szCs w:val="20"/>
                <w:color w:val="auto"/>
              </w:rPr>
            </w:pPr>
            <w:r>
              <w:rPr>
                <w:rFonts w:ascii="Times New Roman" w:cs="Times New Roman" w:eastAsia="Times New Roman" w:hAnsi="Times New Roman"/>
                <w:sz w:val="13"/>
                <w:szCs w:val="13"/>
                <w:b w:val="1"/>
                <w:bCs w:val="1"/>
                <w:color w:val="auto"/>
                <w:w w:val="99"/>
              </w:rPr>
              <w:t xml:space="preserve">Capital Ltd. </w:t>
            </w:r>
            <w:r>
              <w:rPr>
                <w:rFonts w:ascii="Times New Roman" w:cs="Times New Roman" w:eastAsia="Times New Roman" w:hAnsi="Times New Roman"/>
                <w:sz w:val="8"/>
                <w:szCs w:val="8"/>
                <w:b w:val="1"/>
                <w:bCs w:val="1"/>
                <w:color w:val="auto"/>
                <w:w w:val="99"/>
              </w:rPr>
              <w:t>(1)</w:t>
            </w:r>
          </w:p>
        </w:tc>
      </w:tr>
      <w:tr>
        <w:trPr>
          <w:trHeight w:val="200"/>
        </w:trPr>
        <w:tc>
          <w:tcPr>
            <w:tcW w:w="356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7"/>
                <w:szCs w:val="17"/>
                <w:color w:val="auto"/>
              </w:rPr>
              <w:t>Arthur H. Penn</w:t>
            </w:r>
            <w:r>
              <w:rPr>
                <w:rFonts w:ascii="Times New Roman" w:cs="Times New Roman" w:eastAsia="Times New Roman" w:hAnsi="Times New Roman"/>
                <w:sz w:val="20"/>
                <w:szCs w:val="20"/>
                <w:color w:val="auto"/>
                <w:vertAlign w:val="superscript"/>
              </w:rPr>
              <w:t>(2)</w:t>
            </w:r>
          </w:p>
        </w:tc>
        <w:tc>
          <w:tcPr>
            <w:tcW w:w="4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Over $1,000,000</w:t>
            </w:r>
          </w:p>
        </w:tc>
      </w:tr>
      <w:tr>
        <w:trPr>
          <w:trHeight w:val="200"/>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José A. Briones</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Over $1,000,000</w:t>
            </w:r>
          </w:p>
        </w:tc>
      </w:tr>
      <w:tr>
        <w:trPr>
          <w:trHeight w:val="20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Salvatore Giannetti III</w:t>
            </w:r>
          </w:p>
        </w:tc>
        <w:tc>
          <w:tcPr>
            <w:tcW w:w="4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Over $1,000,000</w:t>
            </w:r>
          </w:p>
        </w:tc>
      </w:tr>
      <w:tr>
        <w:trPr>
          <w:trHeight w:val="200"/>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Michael Appelbaum</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$100,001 - $500,000</w:t>
            </w:r>
          </w:p>
        </w:tc>
      </w:tr>
      <w:tr>
        <w:trPr>
          <w:trHeight w:val="20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Terence Clerkin</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$500,000</w:t>
            </w:r>
          </w:p>
        </w:tc>
      </w:tr>
      <w:tr>
        <w:trPr>
          <w:trHeight w:val="200"/>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Dan Horn</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Over $1,000,000</w:t>
            </w:r>
          </w:p>
        </w:tc>
      </w:tr>
      <w:tr>
        <w:trPr>
          <w:trHeight w:val="20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Ryan Raskopf</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$500,000</w:t>
            </w:r>
          </w:p>
        </w:tc>
      </w:tr>
      <w:tr>
        <w:trPr>
          <w:trHeight w:val="200"/>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James Stone</w:t>
            </w:r>
          </w:p>
        </w:tc>
        <w:tc>
          <w:tcPr>
            <w:tcW w:w="3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 $100,000</w:t>
            </w:r>
          </w:p>
        </w:tc>
      </w:tr>
      <w:tr>
        <w:trPr>
          <w:trHeight w:val="20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Steve Winograd</w:t>
            </w:r>
          </w:p>
        </w:tc>
        <w:tc>
          <w:tcPr>
            <w:tcW w:w="4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8422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84225" cy="7620"/>
                    </a:xfrm>
                    <a:prstGeom prst="rect">
                      <a:avLst/>
                    </a:prstGeom>
                    <a:noFill/>
                  </pic:spPr>
                </pic:pic>
              </a:graphicData>
            </a:graphic>
          </wp:anchor>
        </w:drawing>
      </w:r>
    </w:p>
    <w:p>
      <w:pPr>
        <w:spacing w:after="0" w:line="138" w:lineRule="exact"/>
        <w:rPr>
          <w:sz w:val="20"/>
          <w:szCs w:val="20"/>
          <w:color w:val="auto"/>
        </w:rPr>
      </w:pPr>
    </w:p>
    <w:p>
      <w:pPr>
        <w:ind w:left="440" w:right="40" w:hanging="440"/>
        <w:spacing w:after="0" w:line="255" w:lineRule="auto"/>
        <w:tabs>
          <w:tab w:leader="none" w:pos="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 ranges are as follows: None; $1-$10,000; $10,001-$50,000; $50,001-$100,000; $100,001-$500,000; $500,001-$1,000,000; or over $1,000,000. Beneficial ownership has been determined in accordance with Rule 16a-1(a)(2) promulgated under the Exchange Act.</w:t>
      </w:r>
    </w:p>
    <w:p>
      <w:pPr>
        <w:ind w:left="440" w:hanging="440"/>
        <w:spacing w:after="0"/>
        <w:tabs>
          <w:tab w:leader="none" w:pos="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Also reflects holdings of PennantPark Investment Advisers, LLC.</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00"/>
          </w:cols>
          <w:pgMar w:left="320" w:top="285" w:right="37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755" cy="52070"/>
                    </a:xfrm>
                    <a:prstGeom prst="rect">
                      <a:avLst/>
                    </a:prstGeom>
                    <a:noFill/>
                  </pic:spPr>
                </pic:pic>
              </a:graphicData>
            </a:graphic>
          </wp:anchor>
        </w:drawing>
        <w:t>DETERMINATION OF NET ASSET VALUE</w:t>
      </w:r>
    </w:p>
    <w:p>
      <w:pPr>
        <w:spacing w:after="0" w:line="208" w:lineRule="exact"/>
        <w:rPr>
          <w:sz w:val="20"/>
          <w:szCs w:val="20"/>
          <w:color w:val="auto"/>
        </w:rPr>
      </w:pPr>
    </w:p>
    <w:p>
      <w:pPr>
        <w:ind w:right="140" w:firstLine="450"/>
        <w:spacing w:after="0" w:line="270" w:lineRule="auto"/>
        <w:rPr>
          <w:sz w:val="20"/>
          <w:szCs w:val="20"/>
          <w:color w:val="auto"/>
        </w:rPr>
      </w:pPr>
      <w:r>
        <w:rPr>
          <w:rFonts w:ascii="Times New Roman" w:cs="Times New Roman" w:eastAsia="Times New Roman" w:hAnsi="Times New Roman"/>
          <w:sz w:val="17"/>
          <w:szCs w:val="17"/>
          <w:color w:val="auto"/>
        </w:rPr>
        <w:t>The NAV per share of our outstanding shares of common stock is determined quarterly by dividing the value of total assets minus liabilities by the total number of shares outstanding.</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a BDC, we generally invest in illiquid securities including debt and equity investments of middle-market companies.</w:t>
      </w:r>
    </w:p>
    <w:p>
      <w:pPr>
        <w:spacing w:after="0" w:line="204" w:lineRule="exact"/>
        <w:rPr>
          <w:sz w:val="20"/>
          <w:szCs w:val="20"/>
          <w:color w:val="auto"/>
        </w:rPr>
      </w:pPr>
    </w:p>
    <w:p>
      <w:pPr>
        <w:ind w:firstLine="450"/>
        <w:spacing w:after="0" w:line="264" w:lineRule="auto"/>
        <w:rPr>
          <w:sz w:val="20"/>
          <w:szCs w:val="20"/>
          <w:color w:val="auto"/>
        </w:rPr>
      </w:pPr>
      <w:r>
        <w:rPr>
          <w:rFonts w:ascii="Times New Roman" w:cs="Times New Roman" w:eastAsia="Times New Roman" w:hAnsi="Times New Roman"/>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1000" w:right="680" w:hanging="551"/>
        <w:spacing w:after="0" w:line="270"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valuation process begins with each portfolio company or investment being initially valued by the investment professionals of our Investment Adviser responsible for the portfolio investment;</w:t>
      </w:r>
    </w:p>
    <w:p>
      <w:pPr>
        <w:spacing w:after="0" w:line="7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Preliminary valuation conclusions are then documented and discussed with the management of our Investment Adviser;</w:t>
      </w:r>
    </w:p>
    <w:p>
      <w:pPr>
        <w:spacing w:after="0" w:line="116" w:lineRule="exact"/>
        <w:rPr>
          <w:rFonts w:ascii="Times New Roman" w:cs="Times New Roman" w:eastAsia="Times New Roman" w:hAnsi="Times New Roman"/>
          <w:sz w:val="17"/>
          <w:szCs w:val="17"/>
          <w:color w:val="auto"/>
        </w:rPr>
      </w:pPr>
    </w:p>
    <w:p>
      <w:pPr>
        <w:ind w:left="1000" w:right="200" w:hanging="551"/>
        <w:spacing w:after="0" w:line="253"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6" w:lineRule="exact"/>
        <w:rPr>
          <w:rFonts w:ascii="Times New Roman" w:cs="Times New Roman" w:eastAsia="Times New Roman" w:hAnsi="Times New Roman"/>
          <w:sz w:val="17"/>
          <w:szCs w:val="17"/>
          <w:color w:val="auto"/>
        </w:rPr>
      </w:pPr>
    </w:p>
    <w:p>
      <w:pPr>
        <w:jc w:val="both"/>
        <w:ind w:left="1000" w:hanging="551"/>
        <w:spacing w:after="0" w:line="257"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2" w:lineRule="exact"/>
        <w:rPr>
          <w:rFonts w:ascii="Times New Roman" w:cs="Times New Roman" w:eastAsia="Times New Roman" w:hAnsi="Times New Roman"/>
          <w:sz w:val="17"/>
          <w:szCs w:val="17"/>
          <w:color w:val="auto"/>
        </w:rPr>
      </w:pPr>
    </w:p>
    <w:p>
      <w:pPr>
        <w:ind w:left="1000" w:hanging="551"/>
        <w:spacing w:after="0" w:line="270"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59" w:lineRule="exact"/>
        <w:rPr>
          <w:sz w:val="20"/>
          <w:szCs w:val="20"/>
          <w:color w:val="auto"/>
        </w:rPr>
      </w:pPr>
    </w:p>
    <w:p>
      <w:pPr>
        <w:ind w:right="80" w:firstLine="450"/>
        <w:spacing w:after="0" w:line="251" w:lineRule="auto"/>
        <w:rPr>
          <w:sz w:val="20"/>
          <w:szCs w:val="20"/>
          <w:color w:val="auto"/>
        </w:rPr>
      </w:pPr>
      <w:r>
        <w:rPr>
          <w:rFonts w:ascii="Times New Roman" w:cs="Times New Roman" w:eastAsia="Times New Roman" w:hAnsi="Times New Roman"/>
          <w:sz w:val="17"/>
          <w:szCs w:val="17"/>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20"/>
          </w:cols>
          <w:pgMar w:left="320" w:top="281" w:right="359" w:bottom="1440" w:gutter="0" w:footer="0" w:header="0"/>
        </w:sectPr>
      </w:pPr>
    </w:p>
    <w:bookmarkStart w:id="42" w:name="page43"/>
    <w:bookmarkEnd w:id="42"/>
    <w:p>
      <w:pPr>
        <w:ind w:right="20" w:firstLine="450"/>
        <w:spacing w:after="0" w:line="24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755" cy="52070"/>
                    </a:xfrm>
                    <a:prstGeom prst="rect">
                      <a:avLst/>
                    </a:prstGeom>
                    <a:noFill/>
                  </pic:spPr>
                </pic:pic>
              </a:graphicData>
            </a:graphic>
          </wp:anchor>
        </w:drawing>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ASC 820 classifies the inputs used to measure these fair values into the following hierarchies:</w:t>
      </w:r>
    </w:p>
    <w:p>
      <w:pPr>
        <w:sectPr>
          <w:pgSz w:w="11900" w:h="16838" w:orient="portrait"/>
          <w:cols w:equalWidth="0" w:num="1">
            <w:col w:w="11220"/>
          </w:cols>
          <w:pgMar w:left="320" w:top="285" w:right="359" w:bottom="1440" w:gutter="0" w:footer="0" w:header="0"/>
        </w:sectPr>
      </w:pP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Level 1:</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Inputs that are quoted prices (unadjusted) in active markets for identical assets or liabilities, accessible by us at the measurement date.</w:t>
      </w:r>
    </w:p>
    <w:p>
      <w:pPr>
        <w:spacing w:after="0" w:line="128" w:lineRule="exact"/>
        <w:rPr>
          <w:sz w:val="20"/>
          <w:szCs w:val="20"/>
          <w:color w:val="auto"/>
        </w:rPr>
      </w:pPr>
    </w:p>
    <w:p>
      <w:pPr>
        <w:sectPr>
          <w:pgSz w:w="11900" w:h="16838" w:orient="portrait"/>
          <w:cols w:equalWidth="0" w:num="2">
            <w:col w:w="980" w:space="600"/>
            <w:col w:w="9640"/>
          </w:cols>
          <w:pgMar w:left="320" w:top="285" w:right="3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Level 2:</w:t>
      </w:r>
    </w:p>
    <w:p>
      <w:pPr>
        <w:spacing w:after="0" w:line="20" w:lineRule="exact"/>
        <w:rPr>
          <w:sz w:val="20"/>
          <w:szCs w:val="20"/>
          <w:color w:val="auto"/>
        </w:rPr>
      </w:pPr>
      <w:r>
        <w:rPr>
          <w:sz w:val="20"/>
          <w:szCs w:val="20"/>
          <w:color w:val="auto"/>
        </w:rPr>
        <w:br w:type="column"/>
      </w:r>
    </w:p>
    <w:p>
      <w:pPr>
        <w:jc w:val="both"/>
        <w:ind w:right="60"/>
        <w:spacing w:after="0" w:line="257" w:lineRule="auto"/>
        <w:rPr>
          <w:sz w:val="20"/>
          <w:szCs w:val="20"/>
          <w:color w:val="auto"/>
        </w:rPr>
      </w:pPr>
      <w:r>
        <w:rPr>
          <w:rFonts w:ascii="Times New Roman" w:cs="Times New Roman" w:eastAsia="Times New Roman" w:hAnsi="Times New Roman"/>
          <w:sz w:val="17"/>
          <w:szCs w:val="17"/>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3" w:lineRule="exact"/>
        <w:rPr>
          <w:sz w:val="20"/>
          <w:szCs w:val="20"/>
          <w:color w:val="auto"/>
        </w:rPr>
      </w:pPr>
    </w:p>
    <w:p>
      <w:pPr>
        <w:sectPr>
          <w:pgSz w:w="11900" w:h="16838" w:orient="portrait"/>
          <w:cols w:equalWidth="0" w:num="2">
            <w:col w:w="980" w:space="600"/>
            <w:col w:w="9640"/>
          </w:cols>
          <w:pgMar w:left="320" w:top="285" w:right="3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Level 3:</w:t>
      </w:r>
    </w:p>
    <w:p>
      <w:pPr>
        <w:spacing w:after="0" w:line="20" w:lineRule="exact"/>
        <w:rPr>
          <w:sz w:val="20"/>
          <w:szCs w:val="20"/>
          <w:color w:val="auto"/>
        </w:rPr>
      </w:pPr>
      <w:r>
        <w:rPr>
          <w:sz w:val="20"/>
          <w:szCs w:val="20"/>
          <w:color w:val="auto"/>
        </w:rPr>
        <w:br w:type="column"/>
      </w:r>
    </w:p>
    <w:p>
      <w:pPr>
        <w:ind w:right="120"/>
        <w:spacing w:after="0" w:line="270" w:lineRule="auto"/>
        <w:rPr>
          <w:sz w:val="20"/>
          <w:szCs w:val="20"/>
          <w:color w:val="auto"/>
        </w:rPr>
      </w:pPr>
      <w:r>
        <w:rPr>
          <w:rFonts w:ascii="Times New Roman" w:cs="Times New Roman" w:eastAsia="Times New Roman" w:hAnsi="Times New Roman"/>
          <w:sz w:val="17"/>
          <w:szCs w:val="17"/>
          <w:color w:val="auto"/>
        </w:rPr>
        <w:t>Inputs that are unobservable for an asset or liability because they are based on our own assumptions about how market participants would price the asset or liability.</w:t>
      </w:r>
    </w:p>
    <w:p>
      <w:pPr>
        <w:spacing w:after="0" w:line="159" w:lineRule="exact"/>
        <w:rPr>
          <w:sz w:val="20"/>
          <w:szCs w:val="20"/>
          <w:color w:val="auto"/>
        </w:rPr>
      </w:pPr>
    </w:p>
    <w:p>
      <w:pPr>
        <w:sectPr>
          <w:pgSz w:w="11900" w:h="16838" w:orient="portrait"/>
          <w:cols w:equalWidth="0" w:num="2">
            <w:col w:w="980" w:space="600"/>
            <w:col w:w="9640"/>
          </w:cols>
          <w:pgMar w:left="320" w:top="285" w:right="359" w:bottom="1440" w:gutter="0" w:footer="0" w:header="0"/>
          <w:type w:val="continuous"/>
        </w:sectPr>
      </w:pPr>
    </w:p>
    <w:p>
      <w:pPr>
        <w:ind w:right="20" w:firstLine="450"/>
        <w:spacing w:after="0" w:line="274" w:lineRule="auto"/>
        <w:rPr>
          <w:sz w:val="20"/>
          <w:szCs w:val="20"/>
          <w:color w:val="auto"/>
        </w:rPr>
      </w:pPr>
      <w:r>
        <w:rPr>
          <w:rFonts w:ascii="Times New Roman" w:cs="Times New Roman" w:eastAsia="Times New Roman" w:hAnsi="Times New Roman"/>
          <w:sz w:val="16"/>
          <w:szCs w:val="16"/>
          <w:color w:val="auto"/>
        </w:rPr>
        <w:t>A financial instrument’s categorization within the valuation hierarchy is based upon the lowest level of input that is significant to the fair value measurement. Generally, most of our investments, our 2031 Asset-Backed Debt, 2036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57"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7"/>
          <w:szCs w:val="17"/>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Determinations In Connection With Offerings</w:t>
      </w:r>
    </w:p>
    <w:p>
      <w:pPr>
        <w:spacing w:after="0" w:line="108" w:lineRule="exact"/>
        <w:rPr>
          <w:sz w:val="20"/>
          <w:szCs w:val="20"/>
          <w:color w:val="auto"/>
        </w:rPr>
      </w:pPr>
    </w:p>
    <w:p>
      <w:pPr>
        <w:ind w:right="40" w:firstLine="450"/>
        <w:spacing w:after="0" w:line="274" w:lineRule="auto"/>
        <w:rPr>
          <w:sz w:val="20"/>
          <w:szCs w:val="20"/>
          <w:color w:val="auto"/>
        </w:rPr>
      </w:pPr>
      <w:r>
        <w:rPr>
          <w:rFonts w:ascii="Times New Roman" w:cs="Times New Roman" w:eastAsia="Times New Roman" w:hAnsi="Times New Roman"/>
          <w:sz w:val="16"/>
          <w:szCs w:val="16"/>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70" w:lineRule="exact"/>
        <w:rPr>
          <w:sz w:val="20"/>
          <w:szCs w:val="20"/>
          <w:color w:val="auto"/>
        </w:rPr>
      </w:pPr>
    </w:p>
    <w:p>
      <w:pPr>
        <w:ind w:left="5540" w:right="3400" w:hanging="4979"/>
        <w:spacing w:after="0" w:line="438" w:lineRule="auto"/>
        <w:tabs>
          <w:tab w:leader="none" w:pos="100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NAV of our common stock disclosed in the most recent periodic report that we filed with the SEC; 40</w:t>
      </w:r>
    </w:p>
    <w:p>
      <w:pPr>
        <w:sectPr>
          <w:pgSz w:w="11900" w:h="16838" w:orient="portrait"/>
          <w:cols w:equalWidth="0" w:num="1">
            <w:col w:w="11220"/>
          </w:cols>
          <w:pgMar w:left="320" w:top="285" w:right="359" w:bottom="1440" w:gutter="0" w:footer="0" w:header="0"/>
          <w:type w:val="continuous"/>
        </w:sectPr>
      </w:pPr>
    </w:p>
    <w:bookmarkStart w:id="43" w:name="page44"/>
    <w:bookmarkEnd w:id="43"/>
    <w:p>
      <w:pPr>
        <w:ind w:left="1000" w:right="240" w:hanging="439"/>
        <w:spacing w:after="0" w:line="257"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755" cy="52070"/>
                    </a:xfrm>
                    <a:prstGeom prst="rect">
                      <a:avLst/>
                    </a:prstGeom>
                    <a:noFill/>
                  </pic:spPr>
                </pic:pic>
              </a:graphicData>
            </a:graphic>
          </wp:anchor>
        </w:drawing>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2" w:lineRule="exact"/>
        <w:rPr>
          <w:rFonts w:ascii="Times New Roman" w:cs="Times New Roman" w:eastAsia="Times New Roman" w:hAnsi="Times New Roman"/>
          <w:sz w:val="17"/>
          <w:szCs w:val="17"/>
          <w:color w:val="auto"/>
        </w:rPr>
      </w:pPr>
    </w:p>
    <w:p>
      <w:pPr>
        <w:ind w:left="1000" w:right="140" w:hanging="439"/>
        <w:spacing w:after="0" w:line="270"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59" w:lineRule="exact"/>
        <w:rPr>
          <w:sz w:val="20"/>
          <w:szCs w:val="20"/>
          <w:color w:val="auto"/>
        </w:rPr>
      </w:pPr>
    </w:p>
    <w:p>
      <w:pPr>
        <w:ind w:right="120" w:firstLine="450"/>
        <w:spacing w:after="0" w:line="253" w:lineRule="auto"/>
        <w:rPr>
          <w:sz w:val="20"/>
          <w:szCs w:val="20"/>
          <w:color w:val="auto"/>
        </w:rPr>
      </w:pPr>
      <w:r>
        <w:rPr>
          <w:rFonts w:ascii="Times New Roman" w:cs="Times New Roman" w:eastAsia="Times New Roman" w:hAnsi="Times New Roman"/>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addition, we will only sell shares of our common stock at a price below NAV per share if the following conditions are met:</w:t>
      </w:r>
    </w:p>
    <w:p>
      <w:pPr>
        <w:spacing w:after="0" w:line="116" w:lineRule="exact"/>
        <w:rPr>
          <w:sz w:val="20"/>
          <w:szCs w:val="20"/>
          <w:color w:val="auto"/>
        </w:rPr>
      </w:pPr>
    </w:p>
    <w:p>
      <w:pPr>
        <w:ind w:left="1000" w:hanging="439"/>
        <w:spacing w:after="0"/>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our independent directors who have no financial interest in the sale must have approved the sale; and</w:t>
      </w:r>
    </w:p>
    <w:p>
      <w:pPr>
        <w:spacing w:after="0" w:line="116" w:lineRule="exact"/>
        <w:rPr>
          <w:rFonts w:ascii="Times New Roman" w:cs="Times New Roman" w:eastAsia="Times New Roman" w:hAnsi="Times New Roman"/>
          <w:sz w:val="17"/>
          <w:szCs w:val="17"/>
          <w:color w:val="auto"/>
        </w:rPr>
      </w:pPr>
    </w:p>
    <w:p>
      <w:pPr>
        <w:ind w:left="1000" w:right="20" w:hanging="439"/>
        <w:spacing w:after="0" w:line="253" w:lineRule="auto"/>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0" w:lineRule="exact"/>
        <w:rPr>
          <w:sz w:val="20"/>
          <w:szCs w:val="20"/>
          <w:color w:val="auto"/>
        </w:rPr>
      </w:pPr>
    </w:p>
    <w:p>
      <w:pPr>
        <w:ind w:right="380" w:firstLine="450"/>
        <w:spacing w:after="0" w:line="270" w:lineRule="auto"/>
        <w:rPr>
          <w:sz w:val="20"/>
          <w:szCs w:val="20"/>
          <w:color w:val="auto"/>
        </w:rPr>
      </w:pPr>
      <w:r>
        <w:rPr>
          <w:rFonts w:ascii="Times New Roman" w:cs="Times New Roman" w:eastAsia="Times New Roman" w:hAnsi="Times New Roman"/>
          <w:sz w:val="17"/>
          <w:szCs w:val="17"/>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285" w:right="33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755" cy="52070"/>
                    </a:xfrm>
                    <a:prstGeom prst="rect">
                      <a:avLst/>
                    </a:prstGeom>
                    <a:noFill/>
                  </pic:spPr>
                </pic:pic>
              </a:graphicData>
            </a:graphic>
          </wp:anchor>
        </w:drawing>
        <w:t>DESCRIPTION OF OUR CAPITAL STOCK</w:t>
      </w:r>
    </w:p>
    <w:p>
      <w:pPr>
        <w:spacing w:after="0" w:line="208" w:lineRule="exact"/>
        <w:rPr>
          <w:sz w:val="20"/>
          <w:szCs w:val="20"/>
          <w:color w:val="auto"/>
        </w:rPr>
      </w:pPr>
    </w:p>
    <w:p>
      <w:pPr>
        <w:jc w:val="both"/>
        <w:ind w:right="680" w:firstLine="450"/>
        <w:spacing w:after="0" w:line="257" w:lineRule="auto"/>
        <w:rPr>
          <w:sz w:val="20"/>
          <w:szCs w:val="20"/>
          <w:color w:val="auto"/>
        </w:rPr>
      </w:pPr>
      <w:r>
        <w:rPr>
          <w:rFonts w:ascii="Times New Roman" w:cs="Times New Roman" w:eastAsia="Times New Roman" w:hAnsi="Times New Roman"/>
          <w:sz w:val="17"/>
          <w:szCs w:val="17"/>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108"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7"/>
          <w:szCs w:val="17"/>
          <w:color w:val="auto"/>
        </w:rPr>
        <w:t>As of March 31, 2024, our authorized capital stock consisted of 100,000,000 shares of stock, par value $0.001 per share, all of which is classified as common stock. Our common stock is quoted on The New York Stock Exchange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last reported closing market price of our common stock on May 23, 2024 was $11.26 per share. As of March 31, 2024, we had 32 stockholders of record.</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are our outstanding classes of securities as of March 31, 2024:</w:t>
      </w:r>
    </w:p>
    <w:p>
      <w:pPr>
        <w:spacing w:after="0" w:line="210"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b w:val="1"/>
                <w:bCs w:val="1"/>
                <w:color w:val="auto"/>
              </w:rPr>
              <w:t>Held by</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3"/>
                <w:szCs w:val="13"/>
                <w:b w:val="1"/>
                <w:bCs w:val="1"/>
                <w:color w:val="auto"/>
                <w:w w:val="99"/>
              </w:rPr>
              <w:t>Us or</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37"/>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Title of Class</w:t>
            </w:r>
          </w:p>
        </w:tc>
        <w:tc>
          <w:tcPr>
            <w:tcW w:w="1480" w:type="dxa"/>
            <w:vAlign w:val="bottom"/>
            <w:gridSpan w:val="2"/>
            <w:vMerge w:val="continue"/>
          </w:tcPr>
          <w:p>
            <w:pPr>
              <w:spacing w:after="0"/>
              <w:rPr>
                <w:sz w:val="11"/>
                <w:szCs w:val="11"/>
                <w:color w:val="auto"/>
              </w:rPr>
            </w:pPr>
          </w:p>
        </w:tc>
        <w:tc>
          <w:tcPr>
            <w:tcW w:w="980" w:type="dxa"/>
            <w:vAlign w:val="bottom"/>
            <w:gridSpan w:val="2"/>
          </w:tcPr>
          <w:p>
            <w:pPr>
              <w:jc w:val="center"/>
              <w:ind w:right="420"/>
              <w:spacing w:after="0" w:line="138" w:lineRule="exact"/>
              <w:rPr>
                <w:sz w:val="20"/>
                <w:szCs w:val="20"/>
                <w:color w:val="auto"/>
              </w:rPr>
            </w:pPr>
            <w:r>
              <w:rPr>
                <w:rFonts w:ascii="Times New Roman" w:cs="Times New Roman" w:eastAsia="Times New Roman" w:hAnsi="Times New Roman"/>
                <w:sz w:val="13"/>
                <w:szCs w:val="13"/>
                <w:b w:val="1"/>
                <w:bCs w:val="1"/>
                <w:color w:val="auto"/>
              </w:rPr>
              <w:t>for Our</w:t>
            </w: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940" w:type="dxa"/>
            <w:vAlign w:val="bottom"/>
            <w:gridSpan w:val="3"/>
            <w:vMerge w:val="continue"/>
          </w:tcPr>
          <w:p>
            <w:pPr>
              <w:spacing w:after="0"/>
              <w:rPr>
                <w:sz w:val="12"/>
                <w:szCs w:val="12"/>
                <w:color w:val="auto"/>
              </w:rPr>
            </w:pPr>
          </w:p>
        </w:tc>
        <w:tc>
          <w:tcPr>
            <w:tcW w:w="148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3"/>
                <w:szCs w:val="13"/>
                <w:b w:val="1"/>
                <w:bCs w:val="1"/>
                <w:color w:val="auto"/>
              </w:rPr>
              <w:t>Authorized</w:t>
            </w:r>
          </w:p>
        </w:tc>
        <w:tc>
          <w:tcPr>
            <w:tcW w:w="98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3"/>
                <w:szCs w:val="13"/>
                <w:b w:val="1"/>
                <w:bCs w:val="1"/>
                <w:color w:val="auto"/>
                <w:w w:val="99"/>
              </w:rPr>
              <w:t>Account</w:t>
            </w:r>
          </w:p>
        </w:tc>
        <w:tc>
          <w:tcPr>
            <w:tcW w:w="10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92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Common Stock, par value $0.001 per share</w:t>
            </w:r>
          </w:p>
        </w:tc>
        <w:tc>
          <w:tcPr>
            <w:tcW w:w="1060" w:type="dxa"/>
            <w:vAlign w:val="bottom"/>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w w:val="96"/>
              </w:rPr>
              <w:t>100,000,000</w:t>
            </w: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ind w:left="300"/>
              <w:spacing w:after="0" w:line="185" w:lineRule="exact"/>
              <w:rPr>
                <w:sz w:val="20"/>
                <w:szCs w:val="20"/>
                <w:color w:val="auto"/>
              </w:rPr>
            </w:pPr>
            <w:r>
              <w:rPr>
                <w:rFonts w:ascii="Times New Roman" w:cs="Times New Roman" w:eastAsia="Times New Roman" w:hAnsi="Times New Roman"/>
                <w:sz w:val="17"/>
                <w:szCs w:val="17"/>
                <w:color w:val="auto"/>
                <w:w w:val="93"/>
              </w:rPr>
              <w:t>— </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63,228,138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08" w:lineRule="exact"/>
        <w:rPr>
          <w:sz w:val="20"/>
          <w:szCs w:val="20"/>
          <w:color w:val="auto"/>
        </w:rPr>
      </w:pPr>
    </w:p>
    <w:p>
      <w:pPr>
        <w:ind w:right="20" w:firstLine="450"/>
        <w:spacing w:after="0" w:line="265" w:lineRule="auto"/>
        <w:rPr>
          <w:sz w:val="20"/>
          <w:szCs w:val="20"/>
          <w:color w:val="auto"/>
        </w:rPr>
      </w:pPr>
      <w:r>
        <w:rPr>
          <w:rFonts w:ascii="Times New Roman" w:cs="Times New Roman" w:eastAsia="Times New Roman" w:hAnsi="Times New Roman"/>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on Liability of Directors and Officers; Indemnification and Advance of Expenses</w:t>
      </w:r>
    </w:p>
    <w:p>
      <w:pPr>
        <w:spacing w:after="0" w:line="108" w:lineRule="exact"/>
        <w:rPr>
          <w:sz w:val="20"/>
          <w:szCs w:val="20"/>
          <w:color w:val="auto"/>
        </w:rPr>
      </w:pPr>
    </w:p>
    <w:p>
      <w:pPr>
        <w:ind w:right="180" w:firstLine="450"/>
        <w:spacing w:after="0" w:line="270" w:lineRule="auto"/>
        <w:rPr>
          <w:sz w:val="20"/>
          <w:szCs w:val="20"/>
          <w:color w:val="auto"/>
        </w:rPr>
      </w:pPr>
      <w:r>
        <w:rPr>
          <w:rFonts w:ascii="Times New Roman" w:cs="Times New Roman" w:eastAsia="Times New Roman" w:hAnsi="Times New Roman"/>
          <w:sz w:val="17"/>
          <w:szCs w:val="17"/>
          <w:color w:val="auto"/>
        </w:rPr>
        <w:t>Maryland law permits a Maryland corporation to include in its charter a provision eliminating the liability of its directors and officers to the corporation and its stockholders for money damages except for liability resulting</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00"/>
          </w:cols>
          <w:pgMar w:left="320" w:top="281" w:right="379" w:bottom="1440" w:gutter="0" w:footer="0" w:header="0"/>
        </w:sectPr>
      </w:pPr>
    </w:p>
    <w:bookmarkStart w:id="45" w:name="page46"/>
    <w:bookmarkEnd w:id="45"/>
    <w:p>
      <w:pPr>
        <w:jc w:val="both"/>
        <w:ind w:right="22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755" cy="52070"/>
                    </a:xfrm>
                    <a:prstGeom prst="rect">
                      <a:avLst/>
                    </a:prstGeom>
                    <a:noFill/>
                  </pic:spPr>
                </pic:pic>
              </a:graphicData>
            </a:graphic>
          </wp:anchor>
        </w:drawing>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60" w:firstLine="450"/>
        <w:spacing w:after="0" w:line="270" w:lineRule="auto"/>
        <w:rPr>
          <w:sz w:val="20"/>
          <w:szCs w:val="20"/>
          <w:color w:val="auto"/>
        </w:rPr>
      </w:pPr>
      <w:r>
        <w:rPr>
          <w:rFonts w:ascii="Times New Roman" w:cs="Times New Roman" w:eastAsia="Times New Roman" w:hAnsi="Times New Roman"/>
          <w:sz w:val="16"/>
          <w:szCs w:val="16"/>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62" w:lineRule="exact"/>
        <w:rPr>
          <w:sz w:val="20"/>
          <w:szCs w:val="20"/>
          <w:color w:val="auto"/>
        </w:rPr>
      </w:pPr>
    </w:p>
    <w:p>
      <w:pPr>
        <w:ind w:right="40" w:firstLine="450"/>
        <w:spacing w:after="0" w:line="248" w:lineRule="auto"/>
        <w:rPr>
          <w:sz w:val="20"/>
          <w:szCs w:val="20"/>
          <w:color w:val="auto"/>
        </w:rPr>
      </w:pPr>
      <w:r>
        <w:rPr>
          <w:rFonts w:ascii="Times New Roman" w:cs="Times New Roman" w:eastAsia="Times New Roman" w:hAnsi="Times New Roman"/>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7" w:lineRule="exact"/>
        <w:rPr>
          <w:sz w:val="20"/>
          <w:szCs w:val="20"/>
          <w:color w:val="auto"/>
        </w:rPr>
      </w:pPr>
    </w:p>
    <w:p>
      <w:pPr>
        <w:ind w:right="60" w:firstLine="450"/>
        <w:spacing w:after="0" w:line="270" w:lineRule="auto"/>
        <w:rPr>
          <w:sz w:val="20"/>
          <w:szCs w:val="20"/>
          <w:color w:val="auto"/>
        </w:rPr>
      </w:pPr>
      <w:r>
        <w:rPr>
          <w:rFonts w:ascii="Times New Roman" w:cs="Times New Roman" w:eastAsia="Times New Roman" w:hAnsi="Times New Roman"/>
          <w:sz w:val="17"/>
          <w:szCs w:val="17"/>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59" w:lineRule="exact"/>
        <w:rPr>
          <w:sz w:val="20"/>
          <w:szCs w:val="20"/>
          <w:color w:val="auto"/>
        </w:rPr>
      </w:pPr>
    </w:p>
    <w:p>
      <w:pPr>
        <w:ind w:firstLine="450"/>
        <w:spacing w:after="0" w:line="264" w:lineRule="auto"/>
        <w:rPr>
          <w:sz w:val="20"/>
          <w:szCs w:val="20"/>
          <w:color w:val="auto"/>
        </w:rPr>
      </w:pPr>
      <w:r>
        <w:rPr>
          <w:rFonts w:ascii="Times New Roman" w:cs="Times New Roman" w:eastAsia="Times New Roman" w:hAnsi="Times New Roman"/>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28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755" cy="52070"/>
                    </a:xfrm>
                    <a:prstGeom prst="rect">
                      <a:avLst/>
                    </a:prstGeom>
                    <a:noFill/>
                  </pic:spPr>
                </pic:pic>
              </a:graphicData>
            </a:graphic>
          </wp:anchor>
        </w:drawing>
        <w:t>Provisions of the Maryland General Corporation Law and our Charter and Bylaws</w:t>
      </w:r>
    </w:p>
    <w:p>
      <w:pPr>
        <w:spacing w:after="0" w:line="108" w:lineRule="exact"/>
        <w:rPr>
          <w:sz w:val="20"/>
          <w:szCs w:val="20"/>
          <w:color w:val="auto"/>
        </w:rPr>
      </w:pPr>
    </w:p>
    <w:p>
      <w:pPr>
        <w:ind w:right="40" w:firstLine="450"/>
        <w:spacing w:after="0" w:line="274" w:lineRule="auto"/>
        <w:rPr>
          <w:sz w:val="20"/>
          <w:szCs w:val="20"/>
          <w:color w:val="auto"/>
        </w:rPr>
      </w:pPr>
      <w:r>
        <w:rPr>
          <w:rFonts w:ascii="Times New Roman" w:cs="Times New Roman" w:eastAsia="Times New Roman" w:hAnsi="Times New Roman"/>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Classified board of directors</w:t>
      </w:r>
    </w:p>
    <w:p>
      <w:pPr>
        <w:spacing w:after="0" w:line="108"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7"/>
          <w:szCs w:val="17"/>
          <w:color w:val="auto"/>
        </w:rPr>
        <w:t>Our board of directors is divided into three classes of directors serving staggered three-year terms. The terms of the first, second and third classes will expire at the annual meeting of stockholders held in 2027, 2025 and 2026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Election of directors</w:t>
      </w:r>
    </w:p>
    <w:p>
      <w:pPr>
        <w:spacing w:after="0" w:line="108"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7"/>
          <w:szCs w:val="17"/>
          <w:color w:val="auto"/>
        </w:rPr>
        <w:t>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Number of directors; vacancies; removal</w:t>
      </w:r>
    </w:p>
    <w:p>
      <w:pPr>
        <w:spacing w:after="0" w:line="108"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7" w:lineRule="exact"/>
        <w:rPr>
          <w:sz w:val="20"/>
          <w:szCs w:val="20"/>
          <w:color w:val="auto"/>
        </w:rPr>
      </w:pPr>
    </w:p>
    <w:p>
      <w:pPr>
        <w:ind w:right="220" w:firstLine="450"/>
        <w:spacing w:after="0" w:line="270" w:lineRule="auto"/>
        <w:rPr>
          <w:sz w:val="20"/>
          <w:szCs w:val="20"/>
          <w:color w:val="auto"/>
        </w:rPr>
      </w:pPr>
      <w:r>
        <w:rPr>
          <w:rFonts w:ascii="Times New Roman" w:cs="Times New Roman" w:eastAsia="Times New Roman" w:hAnsi="Times New Roman"/>
          <w:sz w:val="17"/>
          <w:szCs w:val="17"/>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Action by stockholders</w:t>
      </w:r>
    </w:p>
    <w:p>
      <w:pPr>
        <w:spacing w:after="0" w:line="108" w:lineRule="exact"/>
        <w:rPr>
          <w:sz w:val="20"/>
          <w:szCs w:val="20"/>
          <w:color w:val="auto"/>
        </w:rPr>
      </w:pPr>
    </w:p>
    <w:p>
      <w:pPr>
        <w:ind w:right="60" w:firstLine="450"/>
        <w:spacing w:after="0" w:line="257" w:lineRule="auto"/>
        <w:rPr>
          <w:sz w:val="20"/>
          <w:szCs w:val="20"/>
          <w:color w:val="auto"/>
        </w:rPr>
      </w:pPr>
      <w:r>
        <w:rPr>
          <w:rFonts w:ascii="Times New Roman" w:cs="Times New Roman" w:eastAsia="Times New Roman" w:hAnsi="Times New Roman"/>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20"/>
          </w:cols>
          <w:pgMar w:left="320" w:top="28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3755" cy="52070"/>
                    </a:xfrm>
                    <a:prstGeom prst="rect">
                      <a:avLst/>
                    </a:prstGeom>
                    <a:noFill/>
                  </pic:spPr>
                </pic:pic>
              </a:graphicData>
            </a:graphic>
          </wp:anchor>
        </w:drawing>
        <w:t>Advance notice provisions for stockholder nominations and stockholder proposals</w:t>
      </w:r>
    </w:p>
    <w:p>
      <w:pPr>
        <w:spacing w:after="0" w:line="108"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7"/>
          <w:szCs w:val="17"/>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80" w:lineRule="exact"/>
        <w:rPr>
          <w:sz w:val="20"/>
          <w:szCs w:val="20"/>
          <w:color w:val="auto"/>
        </w:rPr>
      </w:pPr>
    </w:p>
    <w:p>
      <w:pPr>
        <w:ind w:right="60" w:firstLine="450"/>
        <w:spacing w:after="0" w:line="267" w:lineRule="auto"/>
        <w:rPr>
          <w:sz w:val="20"/>
          <w:szCs w:val="20"/>
          <w:color w:val="auto"/>
        </w:rPr>
      </w:pPr>
      <w:r>
        <w:rPr>
          <w:rFonts w:ascii="Times New Roman" w:cs="Times New Roman" w:eastAsia="Times New Roman" w:hAnsi="Times New Roman"/>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Calling of special meetings of stockholders</w:t>
      </w:r>
    </w:p>
    <w:p>
      <w:pPr>
        <w:spacing w:after="0" w:line="108" w:lineRule="exact"/>
        <w:rPr>
          <w:sz w:val="20"/>
          <w:szCs w:val="20"/>
          <w:color w:val="auto"/>
        </w:rPr>
      </w:pPr>
    </w:p>
    <w:p>
      <w:pPr>
        <w:ind w:right="180" w:firstLine="450"/>
        <w:spacing w:after="0" w:line="253" w:lineRule="auto"/>
        <w:rPr>
          <w:sz w:val="20"/>
          <w:szCs w:val="20"/>
          <w:color w:val="auto"/>
        </w:rPr>
      </w:pPr>
      <w:r>
        <w:rPr>
          <w:rFonts w:ascii="Times New Roman" w:cs="Times New Roman" w:eastAsia="Times New Roman" w:hAnsi="Times New Roman"/>
          <w:sz w:val="17"/>
          <w:szCs w:val="17"/>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Approval of extraordinary corporate action; amendment of charter and bylaws</w:t>
      </w:r>
    </w:p>
    <w:p>
      <w:pPr>
        <w:spacing w:after="0" w:line="108"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281" w:right="339" w:bottom="1440" w:gutter="0" w:footer="0" w:header="0"/>
        </w:sectPr>
      </w:pPr>
    </w:p>
    <w:bookmarkStart w:id="48" w:name="page49"/>
    <w:bookmarkEnd w:id="48"/>
    <w:p>
      <w:pPr>
        <w:ind w:right="220" w:firstLine="45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755" cy="52070"/>
                    </a:xfrm>
                    <a:prstGeom prst="rect">
                      <a:avLst/>
                    </a:prstGeom>
                    <a:noFill/>
                  </pic:spPr>
                </pic:pic>
              </a:graphicData>
            </a:graphic>
          </wp:anchor>
        </w:drawing>
        <w:t>Our charter and bylaws provide that the board of directors will have the exclusive power to adopt, alter or repeal any provision of our bylaws and to make new bylaws.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 appraisal rights</w:t>
      </w:r>
    </w:p>
    <w:p>
      <w:pPr>
        <w:spacing w:after="0" w:line="108" w:lineRule="exact"/>
        <w:rPr>
          <w:sz w:val="20"/>
          <w:szCs w:val="20"/>
          <w:color w:val="auto"/>
        </w:rPr>
      </w:pPr>
    </w:p>
    <w:p>
      <w:pPr>
        <w:ind w:right="420" w:firstLine="450"/>
        <w:spacing w:after="0" w:line="270" w:lineRule="auto"/>
        <w:rPr>
          <w:sz w:val="20"/>
          <w:szCs w:val="20"/>
          <w:color w:val="auto"/>
        </w:rPr>
      </w:pPr>
      <w:r>
        <w:rPr>
          <w:rFonts w:ascii="Times New Roman" w:cs="Times New Roman" w:eastAsia="Times New Roman" w:hAnsi="Times New Roman"/>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Control share acquisitions</w:t>
      </w:r>
    </w:p>
    <w:p>
      <w:pPr>
        <w:spacing w:after="0" w:line="108" w:lineRule="exact"/>
        <w:rPr>
          <w:sz w:val="20"/>
          <w:szCs w:val="20"/>
          <w:color w:val="auto"/>
        </w:rPr>
      </w:pPr>
    </w:p>
    <w:p>
      <w:pPr>
        <w:ind w:right="60" w:firstLine="450"/>
        <w:spacing w:after="0" w:line="270" w:lineRule="auto"/>
        <w:rPr>
          <w:sz w:val="20"/>
          <w:szCs w:val="20"/>
          <w:color w:val="auto"/>
        </w:rPr>
      </w:pPr>
      <w:r>
        <w:rPr>
          <w:rFonts w:ascii="Times New Roman" w:cs="Times New Roman" w:eastAsia="Times New Roman" w:hAnsi="Times New Roman"/>
          <w:sz w:val="17"/>
          <w:szCs w:val="17"/>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159" w:lineRule="exact"/>
        <w:rPr>
          <w:sz w:val="20"/>
          <w:szCs w:val="20"/>
          <w:color w:val="auto"/>
        </w:rPr>
      </w:pPr>
    </w:p>
    <w:p>
      <w:pPr>
        <w:ind w:right="60" w:firstLine="450"/>
        <w:spacing w:after="0" w:line="251" w:lineRule="auto"/>
        <w:rPr>
          <w:sz w:val="20"/>
          <w:szCs w:val="20"/>
          <w:color w:val="auto"/>
        </w:rPr>
      </w:pPr>
      <w:r>
        <w:rPr>
          <w:rFonts w:ascii="Times New Roman" w:cs="Times New Roman" w:eastAsia="Times New Roman" w:hAnsi="Times New Roman"/>
          <w:sz w:val="17"/>
          <w:szCs w:val="17"/>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88" w:lineRule="exact"/>
        <w:rPr>
          <w:sz w:val="20"/>
          <w:szCs w:val="20"/>
          <w:color w:val="auto"/>
        </w:rPr>
      </w:pPr>
    </w:p>
    <w:p>
      <w:pPr>
        <w:ind w:left="1000" w:hanging="439"/>
        <w:spacing w:after="0"/>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one-tenth or more but less than one-third;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one-third or more but less than a majority; or</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or more of all voting power.</w:t>
      </w:r>
    </w:p>
    <w:p>
      <w:pPr>
        <w:spacing w:after="0" w:line="204" w:lineRule="exact"/>
        <w:rPr>
          <w:sz w:val="20"/>
          <w:szCs w:val="20"/>
          <w:color w:val="auto"/>
        </w:rPr>
      </w:pPr>
    </w:p>
    <w:p>
      <w:pPr>
        <w:ind w:right="220" w:firstLine="450"/>
        <w:spacing w:after="0" w:line="257" w:lineRule="auto"/>
        <w:rPr>
          <w:sz w:val="20"/>
          <w:szCs w:val="20"/>
          <w:color w:val="auto"/>
        </w:rPr>
      </w:pPr>
      <w:r>
        <w:rPr>
          <w:rFonts w:ascii="Times New Roman" w:cs="Times New Roman" w:eastAsia="Times New Roman" w:hAnsi="Times New Roman"/>
          <w:sz w:val="17"/>
          <w:szCs w:val="17"/>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70"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7"/>
          <w:szCs w:val="17"/>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73"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7" w:lineRule="exact"/>
        <w:rPr>
          <w:sz w:val="20"/>
          <w:szCs w:val="20"/>
          <w:color w:val="auto"/>
        </w:rPr>
      </w:pPr>
    </w:p>
    <w:p>
      <w:pPr>
        <w:ind w:right="700" w:firstLine="450"/>
        <w:spacing w:after="0" w:line="270" w:lineRule="auto"/>
        <w:rPr>
          <w:sz w:val="20"/>
          <w:szCs w:val="20"/>
          <w:color w:val="auto"/>
        </w:rPr>
      </w:pPr>
      <w:r>
        <w:rPr>
          <w:rFonts w:ascii="Times New Roman" w:cs="Times New Roman" w:eastAsia="Times New Roman" w:hAnsi="Times New Roman"/>
          <w:sz w:val="17"/>
          <w:szCs w:val="17"/>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20"/>
          </w:cols>
          <w:pgMar w:left="320" w:top="28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755" cy="52070"/>
                    </a:xfrm>
                    <a:prstGeom prst="rect">
                      <a:avLst/>
                    </a:prstGeom>
                    <a:noFill/>
                  </pic:spPr>
                </pic:pic>
              </a:graphicData>
            </a:graphic>
          </wp:anchor>
        </w:drawing>
        <w:t>Business combinations</w:t>
      </w:r>
    </w:p>
    <w:p>
      <w:pPr>
        <w:spacing w:after="0" w:line="108" w:lineRule="exact"/>
        <w:rPr>
          <w:sz w:val="20"/>
          <w:szCs w:val="20"/>
          <w:color w:val="auto"/>
        </w:rPr>
      </w:pPr>
    </w:p>
    <w:p>
      <w:pPr>
        <w:ind w:right="360" w:firstLine="450"/>
        <w:spacing w:after="0" w:line="253" w:lineRule="auto"/>
        <w:rPr>
          <w:sz w:val="20"/>
          <w:szCs w:val="20"/>
          <w:color w:val="auto"/>
        </w:rPr>
      </w:pPr>
      <w:r>
        <w:rPr>
          <w:rFonts w:ascii="Times New Roman" w:cs="Times New Roman" w:eastAsia="Times New Roman" w:hAnsi="Times New Roman"/>
          <w:sz w:val="17"/>
          <w:szCs w:val="17"/>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86" w:lineRule="exact"/>
        <w:rPr>
          <w:sz w:val="20"/>
          <w:szCs w:val="20"/>
          <w:color w:val="auto"/>
        </w:rPr>
      </w:pPr>
    </w:p>
    <w:p>
      <w:pPr>
        <w:ind w:left="1000" w:hanging="439"/>
        <w:spacing w:after="0"/>
        <w:tabs>
          <w:tab w:leader="none" w:pos="10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beneficially owns, directly or indirectly, 10% or more of the voting power of the corporation’s shares; or</w:t>
      </w:r>
    </w:p>
    <w:p>
      <w:pPr>
        <w:spacing w:after="0" w:line="116" w:lineRule="exact"/>
        <w:rPr>
          <w:rFonts w:ascii="Times New Roman" w:cs="Times New Roman" w:eastAsia="Times New Roman" w:hAnsi="Times New Roman"/>
          <w:sz w:val="17"/>
          <w:szCs w:val="17"/>
          <w:color w:val="auto"/>
        </w:rPr>
      </w:pPr>
    </w:p>
    <w:p>
      <w:pPr>
        <w:ind w:left="1000" w:right="120" w:hanging="439"/>
        <w:spacing w:after="0" w:line="270" w:lineRule="auto"/>
        <w:tabs>
          <w:tab w:leader="none" w:pos="10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59" w:lineRule="exact"/>
        <w:rPr>
          <w:sz w:val="20"/>
          <w:szCs w:val="20"/>
          <w:color w:val="auto"/>
        </w:rPr>
      </w:pPr>
    </w:p>
    <w:p>
      <w:pPr>
        <w:ind w:right="80" w:firstLine="450"/>
        <w:spacing w:after="0" w:line="257" w:lineRule="auto"/>
        <w:rPr>
          <w:sz w:val="20"/>
          <w:szCs w:val="20"/>
          <w:color w:val="auto"/>
        </w:rPr>
      </w:pPr>
      <w:r>
        <w:rPr>
          <w:rFonts w:ascii="Times New Roman" w:cs="Times New Roman" w:eastAsia="Times New Roman" w:hAnsi="Times New Roman"/>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70" w:lineRule="exact"/>
        <w:rPr>
          <w:sz w:val="20"/>
          <w:szCs w:val="20"/>
          <w:color w:val="auto"/>
        </w:rPr>
      </w:pPr>
    </w:p>
    <w:p>
      <w:pPr>
        <w:ind w:right="80" w:firstLine="450"/>
        <w:spacing w:after="0" w:line="270" w:lineRule="auto"/>
        <w:rPr>
          <w:sz w:val="20"/>
          <w:szCs w:val="20"/>
          <w:color w:val="auto"/>
        </w:rPr>
      </w:pPr>
      <w:r>
        <w:rPr>
          <w:rFonts w:ascii="Times New Roman" w:cs="Times New Roman" w:eastAsia="Times New Roman" w:hAnsi="Times New Roman"/>
          <w:sz w:val="17"/>
          <w:szCs w:val="17"/>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1" w:lineRule="exact"/>
        <w:rPr>
          <w:sz w:val="20"/>
          <w:szCs w:val="20"/>
          <w:color w:val="auto"/>
        </w:rPr>
      </w:pPr>
    </w:p>
    <w:p>
      <w:pPr>
        <w:ind w:left="1000" w:hanging="439"/>
        <w:spacing w:after="0"/>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 of the votes entitled to be cast by holders of outstanding shares of voting stock of the corporation; and</w:t>
      </w:r>
    </w:p>
    <w:p>
      <w:pPr>
        <w:spacing w:after="0" w:line="116" w:lineRule="exact"/>
        <w:rPr>
          <w:rFonts w:ascii="Times New Roman" w:cs="Times New Roman" w:eastAsia="Times New Roman" w:hAnsi="Times New Roman"/>
          <w:sz w:val="17"/>
          <w:szCs w:val="17"/>
          <w:color w:val="auto"/>
        </w:rPr>
      </w:pPr>
    </w:p>
    <w:p>
      <w:pPr>
        <w:ind w:left="1000" w:right="80" w:hanging="439"/>
        <w:spacing w:after="0" w:line="270" w:lineRule="auto"/>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59" w:lineRule="exact"/>
        <w:rPr>
          <w:sz w:val="20"/>
          <w:szCs w:val="20"/>
          <w:color w:val="auto"/>
        </w:rPr>
      </w:pPr>
    </w:p>
    <w:p>
      <w:pPr>
        <w:ind w:firstLine="450"/>
        <w:spacing w:after="0" w:line="270" w:lineRule="auto"/>
        <w:rPr>
          <w:sz w:val="20"/>
          <w:szCs w:val="20"/>
          <w:color w:val="auto"/>
        </w:rPr>
      </w:pPr>
      <w:r>
        <w:rPr>
          <w:rFonts w:ascii="Times New Roman" w:cs="Times New Roman" w:eastAsia="Times New Roman" w:hAnsi="Times New Roman"/>
          <w:sz w:val="17"/>
          <w:szCs w:val="17"/>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59"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7"/>
          <w:szCs w:val="17"/>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Conflict with 1940 Act</w:t>
      </w:r>
    </w:p>
    <w:p>
      <w:pPr>
        <w:spacing w:after="0" w:line="108" w:lineRule="exact"/>
        <w:rPr>
          <w:sz w:val="20"/>
          <w:szCs w:val="20"/>
          <w:color w:val="auto"/>
        </w:rPr>
      </w:pPr>
    </w:p>
    <w:p>
      <w:pPr>
        <w:ind w:right="100" w:firstLine="450"/>
        <w:spacing w:after="0" w:line="257" w:lineRule="auto"/>
        <w:rPr>
          <w:sz w:val="20"/>
          <w:szCs w:val="20"/>
          <w:color w:val="auto"/>
        </w:rPr>
      </w:pPr>
      <w:r>
        <w:rPr>
          <w:rFonts w:ascii="Times New Roman" w:cs="Times New Roman" w:eastAsia="Times New Roman" w:hAnsi="Times New Roman"/>
          <w:sz w:val="17"/>
          <w:szCs w:val="17"/>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28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3755" cy="52070"/>
                    </a:xfrm>
                    <a:prstGeom prst="rect">
                      <a:avLst/>
                    </a:prstGeom>
                    <a:noFill/>
                  </pic:spPr>
                </pic:pic>
              </a:graphicData>
            </a:graphic>
          </wp:anchor>
        </w:drawing>
        <w:t>Exclusive Forum</w:t>
      </w:r>
    </w:p>
    <w:p>
      <w:pPr>
        <w:spacing w:after="0" w:line="108"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Section 1-101(q) of the Maryland General Corporation Law, or any successor provision thereof, (b) any derivative action or proceeding brought on behalf of the Company, other than actions arising under federal securities laws, (c) 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w:t>
      </w:r>
    </w:p>
    <w:p>
      <w:pPr>
        <w:spacing w:after="0" w:line="1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180"/>
          </w:cols>
          <w:pgMar w:left="320" w:top="281" w:right="39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755" cy="52070"/>
                    </a:xfrm>
                    <a:prstGeom prst="rect">
                      <a:avLst/>
                    </a:prstGeom>
                    <a:noFill/>
                  </pic:spPr>
                </pic:pic>
              </a:graphicData>
            </a:graphic>
          </wp:anchor>
        </w:drawing>
        <w:t>DESCRIPTION OF OUR PREFERRED STOCK</w:t>
      </w:r>
    </w:p>
    <w:p>
      <w:pPr>
        <w:spacing w:after="0" w:line="208"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7"/>
          <w:szCs w:val="17"/>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75" w:lineRule="exact"/>
        <w:rPr>
          <w:sz w:val="20"/>
          <w:szCs w:val="20"/>
          <w:color w:val="auto"/>
        </w:rPr>
      </w:pPr>
    </w:p>
    <w:p>
      <w:pPr>
        <w:ind w:right="80" w:firstLine="450"/>
        <w:spacing w:after="0" w:line="249" w:lineRule="auto"/>
        <w:rPr>
          <w:sz w:val="20"/>
          <w:szCs w:val="20"/>
          <w:color w:val="auto"/>
        </w:rPr>
      </w:pPr>
      <w:r>
        <w:rPr>
          <w:rFonts w:ascii="Times New Roman" w:cs="Times New Roman" w:eastAsia="Times New Roman" w:hAnsi="Times New Roman"/>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any series of preferred stock that we may issue, our board of directors will determine and the prospectus supplement relating to such series will describe:</w:t>
      </w:r>
    </w:p>
    <w:p>
      <w:pPr>
        <w:spacing w:after="0" w:line="116" w:lineRule="exact"/>
        <w:rPr>
          <w:sz w:val="20"/>
          <w:szCs w:val="20"/>
          <w:color w:val="auto"/>
        </w:rPr>
      </w:pPr>
    </w:p>
    <w:p>
      <w:pPr>
        <w:ind w:left="1000" w:hanging="439"/>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number of shares of such series;</w:t>
      </w:r>
    </w:p>
    <w:p>
      <w:pPr>
        <w:spacing w:after="0" w:line="116" w:lineRule="exact"/>
        <w:rPr>
          <w:rFonts w:ascii="Times New Roman" w:cs="Times New Roman" w:eastAsia="Times New Roman" w:hAnsi="Times New Roman"/>
          <w:sz w:val="17"/>
          <w:szCs w:val="17"/>
          <w:color w:val="auto"/>
        </w:rPr>
      </w:pPr>
    </w:p>
    <w:p>
      <w:pPr>
        <w:ind w:left="1000" w:right="140" w:hanging="439"/>
        <w:spacing w:after="0" w:line="270"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relating to convertibility or exchangeability of the shares of such series;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and preferences, if any, of holders of shares of such series upon our liquidation, dissolution or winding up of our affairs;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powers, if any, of the holders of shares of such series;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relating to the redemption of the shares of such series;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limitations on our ability to pay dividends or make distributions on, or acquire or redeem, other securities while shares of such series are outstanding;</w:t>
      </w:r>
    </w:p>
    <w:p>
      <w:pPr>
        <w:spacing w:after="0" w:line="127" w:lineRule="exact"/>
        <w:rPr>
          <w:rFonts w:ascii="Times New Roman" w:cs="Times New Roman" w:eastAsia="Times New Roman" w:hAnsi="Times New Roman"/>
          <w:sz w:val="16"/>
          <w:szCs w:val="16"/>
          <w:color w:val="auto"/>
        </w:rPr>
      </w:pPr>
    </w:p>
    <w:p>
      <w:pPr>
        <w:ind w:left="1000" w:hanging="439"/>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conditions or restrictions on our ability to issue additional shares of such series or other securities;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a discussion of certain U.S. federal income tax considerations; and</w:t>
      </w:r>
    </w:p>
    <w:p>
      <w:pPr>
        <w:spacing w:after="0" w:line="116" w:lineRule="exact"/>
        <w:rPr>
          <w:rFonts w:ascii="Times New Roman" w:cs="Times New Roman" w:eastAsia="Times New Roman" w:hAnsi="Times New Roman"/>
          <w:sz w:val="17"/>
          <w:szCs w:val="17"/>
          <w:color w:val="auto"/>
        </w:rPr>
      </w:pPr>
    </w:p>
    <w:p>
      <w:pPr>
        <w:ind w:left="1000" w:right="20" w:hanging="439"/>
        <w:spacing w:after="0" w:line="270"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relative power, preferences and participating, optional or special rights of shares of such series, and the qualifications, limitations or restrictions thereof.</w:t>
      </w:r>
    </w:p>
    <w:p>
      <w:pPr>
        <w:spacing w:after="0" w:line="159"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7"/>
          <w:szCs w:val="17"/>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320" w:top="281" w:right="3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755" cy="52070"/>
                    </a:xfrm>
                    <a:prstGeom prst="rect">
                      <a:avLst/>
                    </a:prstGeom>
                    <a:noFill/>
                  </pic:spPr>
                </pic:pic>
              </a:graphicData>
            </a:graphic>
          </wp:anchor>
        </w:drawing>
        <w:t>DESCRIPTION OF OUR WARRANTS</w:t>
      </w:r>
    </w:p>
    <w:p>
      <w:pPr>
        <w:spacing w:after="0" w:line="208" w:lineRule="exact"/>
        <w:rPr>
          <w:sz w:val="20"/>
          <w:szCs w:val="20"/>
          <w:color w:val="auto"/>
        </w:rPr>
      </w:pPr>
    </w:p>
    <w:p>
      <w:pPr>
        <w:ind w:right="40" w:firstLine="450"/>
        <w:spacing w:after="0" w:line="270" w:lineRule="auto"/>
        <w:rPr>
          <w:sz w:val="20"/>
          <w:szCs w:val="20"/>
          <w:color w:val="auto"/>
        </w:rPr>
      </w:pPr>
      <w:r>
        <w:rPr>
          <w:rFonts w:ascii="Times New Roman" w:cs="Times New Roman" w:eastAsia="Times New Roman" w:hAnsi="Times New Roman"/>
          <w:sz w:val="17"/>
          <w:szCs w:val="17"/>
          <w:color w:val="auto"/>
        </w:rPr>
        <w:t>The following is a general description of the terms of the warrants we may issue from time to time. Particular terms of any warrants we offer will be described in the prospectus supplement relating to such warrants.</w:t>
      </w:r>
    </w:p>
    <w:p>
      <w:pPr>
        <w:spacing w:after="0" w:line="15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 prospectus supplement will describe the particular terms of any series of warrants we may issue, including the following:</w:t>
      </w:r>
    </w:p>
    <w:p>
      <w:pPr>
        <w:spacing w:after="0" w:line="116" w:lineRule="exact"/>
        <w:rPr>
          <w:sz w:val="20"/>
          <w:szCs w:val="20"/>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such warrants;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such warrants;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at which such warrants will be issued;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currencies, including composite currencies, in which the price of such warrants may be payable;</w:t>
      </w:r>
    </w:p>
    <w:p>
      <w:pPr>
        <w:spacing w:after="0" w:line="116" w:lineRule="exact"/>
        <w:rPr>
          <w:rFonts w:ascii="Times New Roman" w:cs="Times New Roman" w:eastAsia="Times New Roman" w:hAnsi="Times New Roman"/>
          <w:sz w:val="17"/>
          <w:szCs w:val="17"/>
          <w:color w:val="auto"/>
        </w:rPr>
      </w:pPr>
    </w:p>
    <w:p>
      <w:pPr>
        <w:ind w:left="1000" w:right="40" w:hanging="439"/>
        <w:spacing w:after="0" w:line="270" w:lineRule="auto"/>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designation and terms of the securities with which the warrants are issued and the number of warrants issued with each such security or each principal amount of such security;</w:t>
      </w:r>
    </w:p>
    <w:p>
      <w:pPr>
        <w:spacing w:after="0" w:line="71" w:lineRule="exact"/>
        <w:rPr>
          <w:rFonts w:ascii="Times New Roman" w:cs="Times New Roman" w:eastAsia="Times New Roman" w:hAnsi="Times New Roman"/>
          <w:sz w:val="17"/>
          <w:szCs w:val="17"/>
          <w:color w:val="auto"/>
        </w:rPr>
      </w:pPr>
    </w:p>
    <w:p>
      <w:pPr>
        <w:ind w:left="1000" w:right="320" w:hanging="439"/>
        <w:spacing w:after="0" w:line="257" w:lineRule="auto"/>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2" w:lineRule="exact"/>
        <w:rPr>
          <w:rFonts w:ascii="Times New Roman" w:cs="Times New Roman" w:eastAsia="Times New Roman" w:hAnsi="Times New Roman"/>
          <w:sz w:val="17"/>
          <w:szCs w:val="17"/>
          <w:color w:val="auto"/>
        </w:rPr>
      </w:pPr>
    </w:p>
    <w:p>
      <w:pPr>
        <w:ind w:left="1000" w:right="200" w:hanging="439"/>
        <w:spacing w:after="0" w:line="257" w:lineRule="auto"/>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2"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such warrants will commence and the date on which such right will expire;</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such warrants will be issued in registered form or bearer form;</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minimum or maximum amount of such warrants which may be exercised at any one time;</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on and after which such warrants and the related securities will be separately transferable;</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with respect to book-entry procedures, if any;</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securities issuable upon exercise of the warrants;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a discussion of certain U.S. federal income tax considerations; and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such warrants, including terms, procedures and limitations relating to the exchange and exercise of such warrants.</w:t>
      </w:r>
    </w:p>
    <w:p>
      <w:pPr>
        <w:spacing w:after="0" w:line="204"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7"/>
          <w:szCs w:val="17"/>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200"/>
          </w:cols>
          <w:pgMar w:left="320" w:top="281" w:right="379" w:bottom="1440" w:gutter="0" w:footer="0" w:header="0"/>
        </w:sectPr>
      </w:pPr>
    </w:p>
    <w:bookmarkStart w:id="53" w:name="page54"/>
    <w:bookmarkEnd w:id="53"/>
    <w:p>
      <w:pPr>
        <w:ind w:firstLine="450"/>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3755" cy="5207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73" w:lineRule="exact"/>
        <w:rPr>
          <w:sz w:val="20"/>
          <w:szCs w:val="20"/>
          <w:color w:val="auto"/>
        </w:rPr>
      </w:pPr>
    </w:p>
    <w:p>
      <w:pPr>
        <w:ind w:right="120" w:firstLine="450"/>
        <w:spacing w:after="0" w:line="249" w:lineRule="auto"/>
        <w:rPr>
          <w:sz w:val="20"/>
          <w:szCs w:val="20"/>
          <w:color w:val="auto"/>
        </w:rPr>
      </w:pPr>
      <w:r>
        <w:rPr>
          <w:rFonts w:ascii="Times New Roman" w:cs="Times New Roman" w:eastAsia="Times New Roman" w:hAnsi="Times New Roman"/>
          <w:sz w:val="17"/>
          <w:szCs w:val="17"/>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180"/>
          </w:cols>
          <w:pgMar w:left="320" w:top="285" w:right="39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755" cy="52070"/>
                    </a:xfrm>
                    <a:prstGeom prst="rect">
                      <a:avLst/>
                    </a:prstGeom>
                    <a:noFill/>
                  </pic:spPr>
                </pic:pic>
              </a:graphicData>
            </a:graphic>
          </wp:anchor>
        </w:drawing>
        <w:t>DESCRIPTION OF OUR SUBSCRIPTION RIGHTS</w:t>
      </w:r>
    </w:p>
    <w:p>
      <w:pPr>
        <w:spacing w:after="0" w:line="208"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applicable prospectus supplement would describe the following terms of subscription rights in respect of which this prospectus is being delivered:</w:t>
      </w:r>
    </w:p>
    <w:p>
      <w:pPr>
        <w:spacing w:after="0" w:line="116" w:lineRule="exact"/>
        <w:rPr>
          <w:sz w:val="20"/>
          <w:szCs w:val="20"/>
          <w:color w:val="auto"/>
        </w:rPr>
      </w:pPr>
    </w:p>
    <w:p>
      <w:pPr>
        <w:ind w:left="1000" w:hanging="439"/>
        <w:spacing w:after="0"/>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such subscription rights;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or a formula for the determination of the exercise price for such subscription rights;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or a formula for the determination of the number of such subscription rights issued to each stockholder;</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such subscription rights are transferable;</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a discussion of the material U.S. federal income tax considerations applicable to the issuance or exercise of such subscription rights;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exercise such subscription rights would commence, and the date on which such rights will expire (subject to any extension);</w:t>
      </w:r>
    </w:p>
    <w:p>
      <w:pPr>
        <w:spacing w:after="0" w:line="127" w:lineRule="exact"/>
        <w:rPr>
          <w:rFonts w:ascii="Times New Roman" w:cs="Times New Roman" w:eastAsia="Times New Roman" w:hAnsi="Times New Roman"/>
          <w:sz w:val="16"/>
          <w:szCs w:val="16"/>
          <w:color w:val="auto"/>
        </w:rPr>
      </w:pPr>
    </w:p>
    <w:p>
      <w:pPr>
        <w:ind w:left="1000" w:hanging="439"/>
        <w:spacing w:after="0"/>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such subscription rights include an over-subscription privilege with respect to unsubscribed securities;</w:t>
      </w:r>
    </w:p>
    <w:p>
      <w:pPr>
        <w:spacing w:after="0" w:line="116" w:lineRule="exact"/>
        <w:rPr>
          <w:rFonts w:ascii="Times New Roman" w:cs="Times New Roman" w:eastAsia="Times New Roman" w:hAnsi="Times New Roman"/>
          <w:sz w:val="17"/>
          <w:szCs w:val="17"/>
          <w:color w:val="auto"/>
        </w:rPr>
      </w:pPr>
    </w:p>
    <w:p>
      <w:pPr>
        <w:ind w:left="1000" w:right="220" w:hanging="439"/>
        <w:spacing w:after="0" w:line="270" w:lineRule="auto"/>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material terms of any standby underwriting or other purchase arrangement that we may enter into in connection with the subscription rights offering; and</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such subscription rights, including terms, procedures and limitations relating to the exchange and exercise of such subscription rights.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Exercise of Subscription Rights</w:t>
      </w:r>
    </w:p>
    <w:p>
      <w:pPr>
        <w:spacing w:after="0" w:line="108" w:lineRule="exact"/>
        <w:rPr>
          <w:sz w:val="20"/>
          <w:szCs w:val="20"/>
          <w:color w:val="auto"/>
        </w:rPr>
      </w:pPr>
    </w:p>
    <w:p>
      <w:pPr>
        <w:ind w:right="160" w:firstLine="450"/>
        <w:spacing w:after="0" w:line="274" w:lineRule="auto"/>
        <w:rPr>
          <w:sz w:val="20"/>
          <w:szCs w:val="20"/>
          <w:color w:val="auto"/>
        </w:rPr>
      </w:pPr>
      <w:r>
        <w:rPr>
          <w:rFonts w:ascii="Times New Roman" w:cs="Times New Roman" w:eastAsia="Times New Roman" w:hAnsi="Times New Roman"/>
          <w:sz w:val="16"/>
          <w:szCs w:val="16"/>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57" w:lineRule="exact"/>
        <w:rPr>
          <w:sz w:val="20"/>
          <w:szCs w:val="20"/>
          <w:color w:val="auto"/>
        </w:rPr>
      </w:pPr>
    </w:p>
    <w:p>
      <w:pPr>
        <w:ind w:right="40" w:firstLine="450"/>
        <w:spacing w:after="0" w:line="251" w:lineRule="auto"/>
        <w:rPr>
          <w:sz w:val="20"/>
          <w:szCs w:val="20"/>
          <w:color w:val="auto"/>
        </w:rPr>
      </w:pPr>
      <w:r>
        <w:rPr>
          <w:rFonts w:ascii="Times New Roman" w:cs="Times New Roman" w:eastAsia="Times New Roman" w:hAnsi="Times New Roman"/>
          <w:sz w:val="17"/>
          <w:szCs w:val="17"/>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240"/>
          </w:cols>
          <w:pgMar w:left="320" w:top="281" w:right="339"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755" cy="52070"/>
                    </a:xfrm>
                    <a:prstGeom prst="rect">
                      <a:avLst/>
                    </a:prstGeom>
                    <a:noFill/>
                  </pic:spPr>
                </pic:pic>
              </a:graphicData>
            </a:graphic>
          </wp:anchor>
        </w:drawing>
        <w:t>DESCRIPTION OF OUR DEBT SECURITIES</w:t>
      </w:r>
    </w:p>
    <w:p>
      <w:pPr>
        <w:spacing w:after="0" w:line="208" w:lineRule="exact"/>
        <w:rPr>
          <w:sz w:val="20"/>
          <w:szCs w:val="20"/>
          <w:color w:val="auto"/>
        </w:rPr>
      </w:pPr>
    </w:p>
    <w:p>
      <w:pPr>
        <w:ind w:right="40" w:firstLine="450"/>
        <w:spacing w:after="0" w:line="251" w:lineRule="auto"/>
        <w:rPr>
          <w:sz w:val="20"/>
          <w:szCs w:val="20"/>
          <w:color w:val="auto"/>
        </w:rPr>
      </w:pPr>
      <w:r>
        <w:rPr>
          <w:rFonts w:ascii="Times New Roman" w:cs="Times New Roman" w:eastAsia="Times New Roman" w:hAnsi="Times New Roman"/>
          <w:sz w:val="17"/>
          <w:szCs w:val="17"/>
          <w:color w:val="auto"/>
        </w:rPr>
        <w:t>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Equiniti Trust Company, LLC (f/k/a American Stock Transfer &amp; Trust Company, LLC), or Equiniti, as trustee, as supplemented by the First Supplemental Indenture, dated March 23, 2021, between the Company and Equiniti. The 2026 Notes are due on April 1, 2026 and may be redeemed in whole or in part at the Company’s option.</w:t>
      </w:r>
    </w:p>
    <w:p>
      <w:pPr>
        <w:spacing w:after="0" w:line="175"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7"/>
          <w:szCs w:val="17"/>
          <w:color w:val="auto"/>
        </w:rPr>
        <w:t>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77"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7"/>
          <w:szCs w:val="17"/>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73" w:lineRule="exact"/>
        <w:rPr>
          <w:sz w:val="20"/>
          <w:szCs w:val="20"/>
          <w:color w:val="auto"/>
        </w:rPr>
      </w:pPr>
    </w:p>
    <w:p>
      <w:pPr>
        <w:ind w:right="60" w:firstLine="450"/>
        <w:spacing w:after="0" w:line="251" w:lineRule="auto"/>
        <w:rPr>
          <w:sz w:val="20"/>
          <w:szCs w:val="20"/>
          <w:color w:val="auto"/>
        </w:rPr>
      </w:pPr>
      <w:r>
        <w:rPr>
          <w:rFonts w:ascii="Times New Roman" w:cs="Times New Roman" w:eastAsia="Times New Roman" w:hAnsi="Times New Roman"/>
          <w:sz w:val="17"/>
          <w:szCs w:val="17"/>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 - Events of Default” For more information. Second, the trustee performs certain administrative duties for us, such as sending interest and principal payments to holders.</w:t>
      </w:r>
    </w:p>
    <w:p>
      <w:pPr>
        <w:spacing w:after="0" w:line="175"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7"/>
          <w:szCs w:val="17"/>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73" w:lineRule="exact"/>
        <w:rPr>
          <w:sz w:val="20"/>
          <w:szCs w:val="20"/>
          <w:color w:val="auto"/>
        </w:rPr>
      </w:pPr>
    </w:p>
    <w:p>
      <w:pPr>
        <w:ind w:right="80" w:firstLine="450"/>
        <w:spacing w:after="0" w:line="270" w:lineRule="auto"/>
        <w:rPr>
          <w:sz w:val="20"/>
          <w:szCs w:val="20"/>
          <w:color w:val="auto"/>
        </w:rPr>
      </w:pPr>
      <w:r>
        <w:rPr>
          <w:rFonts w:ascii="Times New Roman" w:cs="Times New Roman" w:eastAsia="Times New Roman" w:hAnsi="Times New Roman"/>
          <w:sz w:val="17"/>
          <w:szCs w:val="17"/>
          <w:color w:val="auto"/>
        </w:rPr>
        <w:t>A prospectus supplement, which will accompany this prospectus with respect to a particular offering of debt securities, will describe the particular series of debt securities being offered by including:</w:t>
      </w:r>
    </w:p>
    <w:p>
      <w:pPr>
        <w:spacing w:after="0" w:line="71" w:lineRule="exact"/>
        <w:rPr>
          <w:sz w:val="20"/>
          <w:szCs w:val="20"/>
          <w:color w:val="auto"/>
        </w:rPr>
      </w:pPr>
    </w:p>
    <w:p>
      <w:pPr>
        <w:ind w:left="1000" w:hanging="439"/>
        <w:spacing w:after="0"/>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or title of the series of debt securities;</w:t>
      </w:r>
    </w:p>
    <w:p>
      <w:pPr>
        <w:spacing w:after="0" w:line="116" w:lineRule="exact"/>
        <w:rPr>
          <w:rFonts w:ascii="Times New Roman" w:cs="Times New Roman" w:eastAsia="Times New Roman" w:hAnsi="Times New Roman"/>
          <w:sz w:val="17"/>
          <w:szCs w:val="17"/>
          <w:color w:val="auto"/>
        </w:rPr>
      </w:pPr>
    </w:p>
    <w:p>
      <w:pPr>
        <w:ind w:left="1000" w:right="160" w:hanging="439"/>
        <w:spacing w:after="0" w:line="270"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principal amount of the series of debt securities and whether or not the offering may be reopened for additional securities of that series and on what terms;</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the principal amount at which the series of debt securities will be offered;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on which principal will be payable;</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1180"/>
          </w:cols>
          <w:pgMar w:left="320" w:top="281" w:right="399" w:bottom="1440" w:gutter="0" w:footer="0" w:header="0"/>
        </w:sectPr>
      </w:pPr>
    </w:p>
    <w:bookmarkStart w:id="56" w:name="page57"/>
    <w:bookmarkEnd w:id="56"/>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rate or rates (which may be either fixed or variable) and/or the method of determining such rate or rates of interest, if any;</w:t>
      </w:r>
    </w:p>
    <w:p>
      <w:pPr>
        <w:spacing w:after="0" w:line="116" w:lineRule="exact"/>
        <w:rPr>
          <w:rFonts w:ascii="Times New Roman" w:cs="Times New Roman" w:eastAsia="Times New Roman" w:hAnsi="Times New Roman"/>
          <w:sz w:val="17"/>
          <w:szCs w:val="17"/>
          <w:color w:val="auto"/>
        </w:rPr>
      </w:pPr>
    </w:p>
    <w:p>
      <w:pPr>
        <w:ind w:left="1000" w:hanging="439"/>
        <w:spacing w:after="0" w:line="270"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from which any interest will accrue, or the method of determining such date or dates, and the date or dates on which any interest will be payable;</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for redemption, extension or early repayment, if any;</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currencies in which the series of debt securities are issued and payable;</w:t>
      </w:r>
    </w:p>
    <w:p>
      <w:pPr>
        <w:spacing w:after="0" w:line="116" w:lineRule="exact"/>
        <w:rPr>
          <w:rFonts w:ascii="Times New Roman" w:cs="Times New Roman" w:eastAsia="Times New Roman" w:hAnsi="Times New Roman"/>
          <w:sz w:val="17"/>
          <w:szCs w:val="17"/>
          <w:color w:val="auto"/>
        </w:rPr>
      </w:pPr>
    </w:p>
    <w:p>
      <w:pPr>
        <w:ind w:left="1000" w:right="40" w:hanging="439"/>
        <w:spacing w:after="0" w:line="257"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2"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if any, other than or in addition to The City of New York, of payment, transfer, conversion and/or exchange of the debt securities;</w:t>
      </w:r>
    </w:p>
    <w:p>
      <w:pPr>
        <w:spacing w:after="0" w:line="127" w:lineRule="exact"/>
        <w:rPr>
          <w:rFonts w:ascii="Times New Roman" w:cs="Times New Roman" w:eastAsia="Times New Roman" w:hAnsi="Times New Roman"/>
          <w:sz w:val="16"/>
          <w:szCs w:val="16"/>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the offered debt securities will be issued;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for any sinking fund;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restrictive covenants;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of Default;</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series of debt securities are issuable in certificated form;</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defeasance or covenant defeasance;</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special federal income tax implications, including, if applicable, federal income tax considerations relating to original issue discount, or OID;</w:t>
      </w:r>
    </w:p>
    <w:p>
      <w:pPr>
        <w:spacing w:after="0" w:line="116" w:lineRule="exact"/>
        <w:rPr>
          <w:rFonts w:ascii="Times New Roman" w:cs="Times New Roman" w:eastAsia="Times New Roman" w:hAnsi="Times New Roman"/>
          <w:sz w:val="17"/>
          <w:szCs w:val="17"/>
          <w:color w:val="auto"/>
        </w:rPr>
      </w:pPr>
    </w:p>
    <w:p>
      <w:pPr>
        <w:ind w:left="1000" w:right="100" w:hanging="439"/>
        <w:spacing w:after="0" w:line="270"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convertibility or exchangeability of the debt securities into or for any other securities;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are subject to subordination and the terms of such subordination;</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listing, if any, on a securities exchange; and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w:t>
      </w:r>
    </w:p>
    <w:p>
      <w:pPr>
        <w:spacing w:after="0" w:line="204"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7"/>
          <w:szCs w:val="17"/>
          <w:color w:val="auto"/>
        </w:rPr>
        <w:t>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8"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17"/>
          <w:szCs w:val="17"/>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70" w:lineRule="exact"/>
        <w:rPr>
          <w:sz w:val="20"/>
          <w:szCs w:val="20"/>
          <w:color w:val="auto"/>
        </w:rPr>
      </w:pPr>
    </w:p>
    <w:p>
      <w:pPr>
        <w:ind w:right="20" w:firstLine="450"/>
        <w:spacing w:after="0" w:line="270" w:lineRule="auto"/>
        <w:rPr>
          <w:sz w:val="20"/>
          <w:szCs w:val="20"/>
          <w:color w:val="auto"/>
        </w:rPr>
      </w:pPr>
      <w:r>
        <w:rPr>
          <w:rFonts w:ascii="Times New Roman" w:cs="Times New Roman" w:eastAsia="Times New Roman" w:hAnsi="Times New Roman"/>
          <w:sz w:val="17"/>
          <w:szCs w:val="17"/>
          <w:color w:val="auto"/>
        </w:rPr>
        <w:t>For purposes of this prospectus, any reference to the payment of principal of, or premium or interest, if any, on, debt securities will include additional amounts if required by the terms of the debt securities.</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160"/>
          </w:cols>
          <w:pgMar w:left="320" w:top="285" w:right="419" w:bottom="1440" w:gutter="0" w:footer="0" w:header="0"/>
        </w:sectPr>
      </w:pPr>
    </w:p>
    <w:bookmarkStart w:id="57" w:name="page58"/>
    <w:bookmarkEnd w:id="57"/>
    <w:p>
      <w:pPr>
        <w:ind w:firstLine="450"/>
        <w:spacing w:after="0" w:line="24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indenture does not contain any provisions that give you protection in the event we issue a large amount of debt or we are acquired by another entity.</w:t>
      </w:r>
    </w:p>
    <w:p>
      <w:pPr>
        <w:spacing w:after="0" w:line="204" w:lineRule="exact"/>
        <w:rPr>
          <w:sz w:val="20"/>
          <w:szCs w:val="20"/>
          <w:color w:val="auto"/>
        </w:rPr>
      </w:pPr>
    </w:p>
    <w:p>
      <w:pPr>
        <w:ind w:right="60" w:firstLine="450"/>
        <w:spacing w:after="0" w:line="270" w:lineRule="auto"/>
        <w:rPr>
          <w:sz w:val="20"/>
          <w:szCs w:val="20"/>
          <w:color w:val="auto"/>
        </w:rPr>
      </w:pPr>
      <w:r>
        <w:rPr>
          <w:rFonts w:ascii="Times New Roman" w:cs="Times New Roman" w:eastAsia="Times New Roman" w:hAnsi="Times New Roman"/>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59" w:lineRule="exact"/>
        <w:rPr>
          <w:sz w:val="20"/>
          <w:szCs w:val="20"/>
          <w:color w:val="auto"/>
        </w:rPr>
      </w:pPr>
    </w:p>
    <w:p>
      <w:pPr>
        <w:ind w:right="80" w:firstLine="450"/>
        <w:spacing w:after="0" w:line="257" w:lineRule="auto"/>
        <w:rPr>
          <w:sz w:val="20"/>
          <w:szCs w:val="20"/>
          <w:color w:val="auto"/>
        </w:rPr>
      </w:pPr>
      <w:r>
        <w:rPr>
          <w:rFonts w:ascii="Times New Roman" w:cs="Times New Roman" w:eastAsia="Times New Roman" w:hAnsi="Times New Roman"/>
          <w:sz w:val="17"/>
          <w:szCs w:val="17"/>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0" w:lineRule="exact"/>
        <w:rPr>
          <w:sz w:val="20"/>
          <w:szCs w:val="20"/>
          <w:color w:val="auto"/>
        </w:rPr>
      </w:pPr>
    </w:p>
    <w:p>
      <w:pPr>
        <w:ind w:right="20" w:firstLine="450"/>
        <w:spacing w:after="0" w:line="251" w:lineRule="auto"/>
        <w:rPr>
          <w:sz w:val="20"/>
          <w:szCs w:val="20"/>
          <w:color w:val="auto"/>
        </w:rPr>
      </w:pPr>
      <w:r>
        <w:rPr>
          <w:rFonts w:ascii="Times New Roman" w:cs="Times New Roman" w:eastAsia="Times New Roman" w:hAnsi="Times New Roman"/>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Conversion and Exchange</w:t>
      </w:r>
    </w:p>
    <w:p>
      <w:pPr>
        <w:spacing w:after="0" w:line="108" w:lineRule="exact"/>
        <w:rPr>
          <w:sz w:val="20"/>
          <w:szCs w:val="20"/>
          <w:color w:val="auto"/>
        </w:rPr>
      </w:pPr>
    </w:p>
    <w:p>
      <w:pPr>
        <w:ind w:right="120" w:firstLine="450"/>
        <w:spacing w:after="0" w:line="250" w:lineRule="auto"/>
        <w:rPr>
          <w:sz w:val="20"/>
          <w:szCs w:val="20"/>
          <w:color w:val="auto"/>
        </w:rPr>
      </w:pPr>
      <w:r>
        <w:rPr>
          <w:rFonts w:ascii="Times New Roman" w:cs="Times New Roman" w:eastAsia="Times New Roman" w:hAnsi="Times New Roman"/>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of Securities in Registered Form</w:t>
      </w:r>
    </w:p>
    <w:p>
      <w:pPr>
        <w:spacing w:after="0" w:line="108" w:lineRule="exact"/>
        <w:rPr>
          <w:sz w:val="20"/>
          <w:szCs w:val="20"/>
          <w:color w:val="auto"/>
        </w:rPr>
      </w:pPr>
    </w:p>
    <w:p>
      <w:pPr>
        <w:ind w:right="80" w:firstLine="450"/>
        <w:spacing w:after="0" w:line="302" w:lineRule="auto"/>
        <w:rPr>
          <w:sz w:val="20"/>
          <w:szCs w:val="20"/>
          <w:color w:val="auto"/>
        </w:rPr>
      </w:pPr>
      <w:r>
        <w:rPr>
          <w:rFonts w:ascii="Times New Roman" w:cs="Times New Roman" w:eastAsia="Times New Roman" w:hAnsi="Times New Roman"/>
          <w:sz w:val="16"/>
          <w:szCs w:val="16"/>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6" w:lineRule="exact"/>
        <w:rPr>
          <w:sz w:val="20"/>
          <w:szCs w:val="20"/>
          <w:color w:val="auto"/>
        </w:rPr>
      </w:pPr>
    </w:p>
    <w:p>
      <w:pPr>
        <w:ind w:right="180" w:firstLine="450"/>
        <w:spacing w:after="0" w:line="270" w:lineRule="auto"/>
        <w:rPr>
          <w:sz w:val="20"/>
          <w:szCs w:val="20"/>
          <w:color w:val="auto"/>
        </w:rPr>
      </w:pPr>
      <w:r>
        <w:rPr>
          <w:rFonts w:ascii="Times New Roman" w:cs="Times New Roman" w:eastAsia="Times New Roman" w:hAnsi="Times New Roman"/>
          <w:sz w:val="17"/>
          <w:szCs w:val="17"/>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240"/>
          </w:cols>
          <w:pgMar w:left="320" w:top="285" w:right="339" w:bottom="1440" w:gutter="0" w:footer="0" w:header="0"/>
        </w:sectPr>
      </w:pPr>
    </w:p>
    <w:bookmarkStart w:id="58" w:name="page59"/>
    <w:bookmarkEnd w:id="58"/>
    <w:p>
      <w:pPr>
        <w:jc w:val="both"/>
        <w:ind w:right="400"/>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Book-Entry Holders</w:t>
      </w:r>
    </w:p>
    <w:p>
      <w:pPr>
        <w:spacing w:after="0" w:line="106"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3"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5" w:lineRule="exact"/>
        <w:rPr>
          <w:sz w:val="20"/>
          <w:szCs w:val="20"/>
          <w:color w:val="auto"/>
        </w:rPr>
      </w:pPr>
    </w:p>
    <w:p>
      <w:pPr>
        <w:jc w:val="both"/>
        <w:ind w:right="20" w:firstLine="450"/>
        <w:spacing w:after="0" w:line="257" w:lineRule="auto"/>
        <w:rPr>
          <w:sz w:val="20"/>
          <w:szCs w:val="20"/>
          <w:color w:val="auto"/>
        </w:rPr>
      </w:pPr>
      <w:r>
        <w:rPr>
          <w:rFonts w:ascii="Times New Roman" w:cs="Times New Roman" w:eastAsia="Times New Roman" w:hAnsi="Times New Roman"/>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Street Name Holders</w:t>
      </w:r>
    </w:p>
    <w:p>
      <w:pPr>
        <w:spacing w:after="0" w:line="106"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17"/>
          <w:szCs w:val="17"/>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70"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17"/>
          <w:szCs w:val="17"/>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Holders</w:t>
      </w:r>
    </w:p>
    <w:p>
      <w:pPr>
        <w:spacing w:after="0" w:line="106" w:lineRule="exact"/>
        <w:rPr>
          <w:sz w:val="20"/>
          <w:szCs w:val="20"/>
          <w:color w:val="auto"/>
        </w:rPr>
      </w:pPr>
    </w:p>
    <w:p>
      <w:pPr>
        <w:jc w:val="both"/>
        <w:ind w:right="220" w:firstLine="450"/>
        <w:spacing w:after="0" w:line="253" w:lineRule="auto"/>
        <w:rPr>
          <w:sz w:val="20"/>
          <w:szCs w:val="20"/>
          <w:color w:val="auto"/>
        </w:rPr>
      </w:pPr>
      <w:r>
        <w:rPr>
          <w:rFonts w:ascii="Times New Roman" w:cs="Times New Roman" w:eastAsia="Times New Roman" w:hAnsi="Times New Roman"/>
          <w:sz w:val="17"/>
          <w:szCs w:val="17"/>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73" w:lineRule="exact"/>
        <w:rPr>
          <w:sz w:val="20"/>
          <w:szCs w:val="20"/>
          <w:color w:val="auto"/>
        </w:rPr>
      </w:pPr>
    </w:p>
    <w:p>
      <w:pPr>
        <w:ind w:right="180" w:firstLine="450"/>
        <w:spacing w:after="0" w:line="270" w:lineRule="auto"/>
        <w:rPr>
          <w:sz w:val="20"/>
          <w:szCs w:val="20"/>
          <w:color w:val="auto"/>
        </w:rPr>
      </w:pPr>
      <w:r>
        <w:rPr>
          <w:rFonts w:ascii="Times New Roman" w:cs="Times New Roman" w:eastAsia="Times New Roman" w:hAnsi="Times New Roman"/>
          <w:sz w:val="17"/>
          <w:szCs w:val="17"/>
          <w:color w:val="auto"/>
        </w:rPr>
        <w:t>For example, once we make a payment or give a notice to the holder, we have no further responsibility for the payment or notice even if that holder is required, under agreements with depositary participants or customers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220"/>
          </w:cols>
          <w:pgMar w:left="320" w:top="285" w:right="359" w:bottom="1440" w:gutter="0" w:footer="0" w:header="0"/>
        </w:sectPr>
      </w:pPr>
    </w:p>
    <w:bookmarkStart w:id="59" w:name="page60"/>
    <w:bookmarkEnd w:id="59"/>
    <w:p>
      <w:pPr>
        <w:ind w:right="18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3755" cy="52070"/>
                    </a:xfrm>
                    <a:prstGeom prst="rect">
                      <a:avLst/>
                    </a:prstGeom>
                    <a:noFill/>
                  </pic:spPr>
                </pic:pic>
              </a:graphicData>
            </a:graphic>
          </wp:anchor>
        </w:drawing>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0" w:lineRule="exact"/>
        <w:rPr>
          <w:sz w:val="20"/>
          <w:szCs w:val="20"/>
          <w:color w:val="auto"/>
        </w:rPr>
      </w:pPr>
    </w:p>
    <w:p>
      <w:pPr>
        <w:ind w:right="180" w:firstLine="450"/>
        <w:spacing w:after="0" w:line="270" w:lineRule="auto"/>
        <w:rPr>
          <w:sz w:val="20"/>
          <w:szCs w:val="20"/>
          <w:color w:val="auto"/>
        </w:rPr>
      </w:pPr>
      <w:r>
        <w:rPr>
          <w:rFonts w:ascii="Times New Roman" w:cs="Times New Roman" w:eastAsia="Times New Roman" w:hAnsi="Times New Roman"/>
          <w:sz w:val="17"/>
          <w:szCs w:val="17"/>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Special Considerations for Indirect Holders</w:t>
      </w:r>
    </w:p>
    <w:p>
      <w:pPr>
        <w:spacing w:after="0" w:line="106" w:lineRule="exact"/>
        <w:rPr>
          <w:sz w:val="20"/>
          <w:szCs w:val="20"/>
          <w:color w:val="auto"/>
        </w:rPr>
      </w:pPr>
    </w:p>
    <w:p>
      <w:pPr>
        <w:ind w:right="540" w:firstLine="450"/>
        <w:spacing w:after="0" w:line="270" w:lineRule="auto"/>
        <w:rPr>
          <w:sz w:val="20"/>
          <w:szCs w:val="20"/>
          <w:color w:val="auto"/>
        </w:rPr>
      </w:pPr>
      <w:r>
        <w:rPr>
          <w:rFonts w:ascii="Times New Roman" w:cs="Times New Roman" w:eastAsia="Times New Roman" w:hAnsi="Times New Roman"/>
          <w:sz w:val="17"/>
          <w:szCs w:val="17"/>
          <w:color w:val="auto"/>
        </w:rPr>
        <w:t>If you hold debt securities through a bank, broker or other financial institution, either in book-entry form or in street name, we urge you to check with that institution to find out:</w:t>
      </w:r>
    </w:p>
    <w:p>
      <w:pPr>
        <w:spacing w:after="0" w:line="71" w:lineRule="exact"/>
        <w:rPr>
          <w:sz w:val="20"/>
          <w:szCs w:val="20"/>
          <w:color w:val="auto"/>
        </w:rPr>
      </w:pPr>
    </w:p>
    <w:p>
      <w:pPr>
        <w:ind w:left="1000" w:hanging="439"/>
        <w:spacing w:after="0"/>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handles securities payments and notices;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it imposes fees or charges;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would handle a request for the holders’ consent, if ever required;</w:t>
      </w:r>
    </w:p>
    <w:p>
      <w:pPr>
        <w:spacing w:after="0" w:line="116" w:lineRule="exact"/>
        <w:rPr>
          <w:rFonts w:ascii="Times New Roman" w:cs="Times New Roman" w:eastAsia="Times New Roman" w:hAnsi="Times New Roman"/>
          <w:sz w:val="17"/>
          <w:szCs w:val="17"/>
          <w:color w:val="auto"/>
        </w:rPr>
      </w:pPr>
    </w:p>
    <w:p>
      <w:pPr>
        <w:ind w:left="1000" w:right="60" w:hanging="439"/>
        <w:spacing w:after="0" w:line="270" w:lineRule="auto"/>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how you can instruct it to send you debt securities registered in your own name so you can be a holder, if that is permitted in the future for a particular series of debt securities;</w:t>
      </w:r>
    </w:p>
    <w:p>
      <w:pPr>
        <w:spacing w:after="0" w:line="71" w:lineRule="exact"/>
        <w:rPr>
          <w:rFonts w:ascii="Times New Roman" w:cs="Times New Roman" w:eastAsia="Times New Roman" w:hAnsi="Times New Roman"/>
          <w:sz w:val="17"/>
          <w:szCs w:val="17"/>
          <w:color w:val="auto"/>
        </w:rPr>
      </w:pPr>
    </w:p>
    <w:p>
      <w:pPr>
        <w:ind w:left="1000" w:right="100" w:hanging="439"/>
        <w:spacing w:after="0" w:line="270" w:lineRule="auto"/>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would exercise rights under the debt securities if there were a default or other event triggering the need for holders to act to protect their interests; and</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debt securities are in book-entry form, how the depositary’s rules and procedures will affect these matters.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108" w:lineRule="exact"/>
        <w:rPr>
          <w:sz w:val="20"/>
          <w:szCs w:val="20"/>
          <w:color w:val="auto"/>
        </w:rPr>
      </w:pPr>
    </w:p>
    <w:p>
      <w:pPr>
        <w:ind w:firstLine="450"/>
        <w:spacing w:after="0" w:line="270" w:lineRule="auto"/>
        <w:rPr>
          <w:sz w:val="20"/>
          <w:szCs w:val="20"/>
          <w:color w:val="auto"/>
        </w:rPr>
      </w:pPr>
      <w:r>
        <w:rPr>
          <w:rFonts w:ascii="Times New Roman" w:cs="Times New Roman" w:eastAsia="Times New Roman" w:hAnsi="Times New Roman"/>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59" w:lineRule="exact"/>
        <w:rPr>
          <w:sz w:val="20"/>
          <w:szCs w:val="20"/>
          <w:color w:val="auto"/>
        </w:rPr>
      </w:pPr>
    </w:p>
    <w:p>
      <w:pPr>
        <w:ind w:right="100" w:firstLine="450"/>
        <w:spacing w:after="0" w:line="281" w:lineRule="auto"/>
        <w:rPr>
          <w:sz w:val="20"/>
          <w:szCs w:val="20"/>
          <w:color w:val="auto"/>
        </w:rPr>
      </w:pPr>
      <w:r>
        <w:rPr>
          <w:rFonts w:ascii="Times New Roman" w:cs="Times New Roman" w:eastAsia="Times New Roman" w:hAnsi="Times New Roman"/>
          <w:sz w:val="16"/>
          <w:szCs w:val="16"/>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52" w:lineRule="exact"/>
        <w:rPr>
          <w:sz w:val="20"/>
          <w:szCs w:val="20"/>
          <w:color w:val="auto"/>
        </w:rPr>
      </w:pPr>
    </w:p>
    <w:p>
      <w:pPr>
        <w:ind w:right="100" w:firstLine="450"/>
        <w:spacing w:after="0" w:line="268" w:lineRule="auto"/>
        <w:rPr>
          <w:sz w:val="20"/>
          <w:szCs w:val="20"/>
          <w:color w:val="auto"/>
        </w:rPr>
      </w:pPr>
      <w:r>
        <w:rPr>
          <w:rFonts w:ascii="Times New Roman" w:cs="Times New Roman" w:eastAsia="Times New Roman" w:hAnsi="Times New Roman"/>
          <w:sz w:val="16"/>
          <w:szCs w:val="16"/>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Special Considerations for Global Securities</w:t>
      </w:r>
    </w:p>
    <w:p>
      <w:pPr>
        <w:spacing w:after="0" w:line="106" w:lineRule="exact"/>
        <w:rPr>
          <w:sz w:val="20"/>
          <w:szCs w:val="20"/>
          <w:color w:val="auto"/>
        </w:rPr>
      </w:pPr>
    </w:p>
    <w:p>
      <w:pPr>
        <w:ind w:right="480" w:firstLine="450"/>
        <w:spacing w:after="0" w:line="270" w:lineRule="auto"/>
        <w:rPr>
          <w:sz w:val="20"/>
          <w:szCs w:val="20"/>
          <w:color w:val="auto"/>
        </w:rPr>
      </w:pPr>
      <w:r>
        <w:rPr>
          <w:rFonts w:ascii="Times New Roman" w:cs="Times New Roman" w:eastAsia="Times New Roman" w:hAnsi="Times New Roman"/>
          <w:sz w:val="17"/>
          <w:szCs w:val="17"/>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1240"/>
          </w:cols>
          <w:pgMar w:left="320" w:top="28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depositary that holds the global security will be considered the holder of the debt securities represented by the global security.</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If debt securities are issued only in the form of a global security, an investor should be aware of the following:</w:t>
      </w:r>
    </w:p>
    <w:p>
      <w:pPr>
        <w:spacing w:after="0" w:line="116" w:lineRule="exact"/>
        <w:rPr>
          <w:sz w:val="20"/>
          <w:szCs w:val="20"/>
          <w:color w:val="auto"/>
        </w:rPr>
      </w:pPr>
    </w:p>
    <w:p>
      <w:pPr>
        <w:ind w:left="1000" w:right="160" w:hanging="439"/>
        <w:spacing w:after="0" w:line="270"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cannot cause the debt securities to be registered in his or her name and cannot obtain certificates for his or her interest in the debt securities, except in the special situations we describe below;</w:t>
      </w:r>
    </w:p>
    <w:p>
      <w:pPr>
        <w:spacing w:after="0" w:line="71" w:lineRule="exact"/>
        <w:rPr>
          <w:rFonts w:ascii="Times New Roman" w:cs="Times New Roman" w:eastAsia="Times New Roman" w:hAnsi="Times New Roman"/>
          <w:sz w:val="17"/>
          <w:szCs w:val="17"/>
          <w:color w:val="auto"/>
        </w:rPr>
      </w:pPr>
    </w:p>
    <w:p>
      <w:pPr>
        <w:ind w:left="1000" w:right="40" w:hanging="439"/>
        <w:spacing w:after="0" w:line="302"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8" w:lineRule="exact"/>
        <w:rPr>
          <w:rFonts w:ascii="Times New Roman" w:cs="Times New Roman" w:eastAsia="Times New Roman" w:hAnsi="Times New Roman"/>
          <w:sz w:val="16"/>
          <w:szCs w:val="16"/>
          <w:color w:val="auto"/>
        </w:rPr>
      </w:pPr>
    </w:p>
    <w:p>
      <w:pPr>
        <w:ind w:left="1000" w:right="40" w:hanging="439"/>
        <w:spacing w:after="0" w:line="270"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may not be able to sell interests in the debt securities to some insurance companies and other institutions that are required by law to own their securities in non-book-entry form;</w:t>
      </w:r>
    </w:p>
    <w:p>
      <w:pPr>
        <w:spacing w:after="0" w:line="71" w:lineRule="exact"/>
        <w:rPr>
          <w:rFonts w:ascii="Times New Roman" w:cs="Times New Roman" w:eastAsia="Times New Roman" w:hAnsi="Times New Roman"/>
          <w:sz w:val="17"/>
          <w:szCs w:val="17"/>
          <w:color w:val="auto"/>
        </w:rPr>
      </w:pPr>
    </w:p>
    <w:p>
      <w:pPr>
        <w:ind w:left="1000" w:right="200" w:hanging="439"/>
        <w:spacing w:after="0" w:line="270"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1" w:lineRule="exact"/>
        <w:rPr>
          <w:rFonts w:ascii="Times New Roman" w:cs="Times New Roman" w:eastAsia="Times New Roman" w:hAnsi="Times New Roman"/>
          <w:sz w:val="17"/>
          <w:szCs w:val="17"/>
          <w:color w:val="auto"/>
        </w:rPr>
      </w:pPr>
    </w:p>
    <w:p>
      <w:pPr>
        <w:ind w:left="1000" w:right="40" w:hanging="439"/>
        <w:spacing w:after="0" w:line="257"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2" w:lineRule="exact"/>
        <w:rPr>
          <w:rFonts w:ascii="Times New Roman" w:cs="Times New Roman" w:eastAsia="Times New Roman" w:hAnsi="Times New Roman"/>
          <w:sz w:val="17"/>
          <w:szCs w:val="17"/>
          <w:color w:val="auto"/>
        </w:rPr>
      </w:pPr>
    </w:p>
    <w:p>
      <w:pPr>
        <w:ind w:left="1000" w:right="40" w:hanging="439"/>
        <w:spacing w:after="0" w:line="270"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redeem less than all the debt securities of a particular series being redeemed, DTC’s practice is to determine by lot the amount to be redeemed from each of its participants holding that series;</w:t>
      </w:r>
    </w:p>
    <w:p>
      <w:pPr>
        <w:spacing w:after="0" w:line="71" w:lineRule="exact"/>
        <w:rPr>
          <w:rFonts w:ascii="Times New Roman" w:cs="Times New Roman" w:eastAsia="Times New Roman" w:hAnsi="Times New Roman"/>
          <w:sz w:val="17"/>
          <w:szCs w:val="17"/>
          <w:color w:val="auto"/>
        </w:rPr>
      </w:pPr>
    </w:p>
    <w:p>
      <w:pPr>
        <w:ind w:left="1000" w:right="240" w:hanging="439"/>
        <w:spacing w:after="0" w:line="257"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2" w:lineRule="exact"/>
        <w:rPr>
          <w:rFonts w:ascii="Times New Roman" w:cs="Times New Roman" w:eastAsia="Times New Roman" w:hAnsi="Times New Roman"/>
          <w:sz w:val="17"/>
          <w:szCs w:val="17"/>
          <w:color w:val="auto"/>
        </w:rPr>
      </w:pPr>
    </w:p>
    <w:p>
      <w:pPr>
        <w:ind w:left="1000" w:right="300" w:hanging="439"/>
        <w:spacing w:after="0" w:line="270"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71" w:lineRule="exact"/>
        <w:rPr>
          <w:rFonts w:ascii="Times New Roman" w:cs="Times New Roman" w:eastAsia="Times New Roman" w:hAnsi="Times New Roman"/>
          <w:sz w:val="17"/>
          <w:szCs w:val="17"/>
          <w:color w:val="auto"/>
        </w:rPr>
      </w:pPr>
    </w:p>
    <w:p>
      <w:pPr>
        <w:ind w:left="1000" w:hanging="439"/>
        <w:spacing w:after="0" w:line="257"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Special Situations when a Global Security Will Be Terminated</w:t>
      </w:r>
    </w:p>
    <w:p>
      <w:pPr>
        <w:spacing w:after="0" w:line="106" w:lineRule="exact"/>
        <w:rPr>
          <w:sz w:val="20"/>
          <w:szCs w:val="20"/>
          <w:color w:val="auto"/>
        </w:rPr>
      </w:pPr>
    </w:p>
    <w:p>
      <w:pPr>
        <w:ind w:firstLine="450"/>
        <w:spacing w:after="0" w:line="274" w:lineRule="auto"/>
        <w:rPr>
          <w:sz w:val="20"/>
          <w:szCs w:val="20"/>
          <w:color w:val="auto"/>
        </w:rPr>
      </w:pPr>
      <w:r>
        <w:rPr>
          <w:rFonts w:ascii="Times New Roman" w:cs="Times New Roman" w:eastAsia="Times New Roman" w:hAnsi="Times New Roman"/>
          <w:sz w:val="16"/>
          <w:szCs w:val="16"/>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special situations for termination of a global security are as follows:</w:t>
      </w:r>
    </w:p>
    <w:p>
      <w:pPr>
        <w:spacing w:after="0" w:line="116" w:lineRule="exact"/>
        <w:rPr>
          <w:sz w:val="20"/>
          <w:szCs w:val="20"/>
          <w:color w:val="auto"/>
        </w:rPr>
      </w:pPr>
    </w:p>
    <w:p>
      <w:pPr>
        <w:ind w:left="1000" w:right="460" w:hanging="439"/>
        <w:spacing w:after="0" w:line="270"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depositary notifies us that it is unwilling, unable or no longer qualified to continue as depositary for that global security, and we are unable to appoint another institution to act as depositary;</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notify the trustee that we wish to terminate that global security; 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240"/>
          </w:cols>
          <w:pgMar w:left="320" w:top="285" w:right="339" w:bottom="1440" w:gutter="0" w:footer="0" w:header="0"/>
        </w:sectPr>
      </w:pPr>
    </w:p>
    <w:bookmarkStart w:id="61" w:name="page62"/>
    <w:bookmarkEnd w:id="61"/>
    <w:p>
      <w:pPr>
        <w:ind w:left="1000" w:right="340" w:hanging="439"/>
        <w:spacing w:after="0" w:line="270" w:lineRule="auto"/>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755" cy="52070"/>
                    </a:xfrm>
                    <a:prstGeom prst="rect">
                      <a:avLst/>
                    </a:prstGeom>
                    <a:noFill/>
                  </pic:spPr>
                </pic:pic>
              </a:graphicData>
            </a:graphic>
          </wp:anchor>
        </w:drawing>
        <w:t>if an event of default has occurred with regard to the debt securities represented by that global security and has not been cured or waived; we discuss defaults later under “Description of our Debt Securities—Events of Default.”</w:t>
      </w:r>
    </w:p>
    <w:p>
      <w:pPr>
        <w:spacing w:after="0" w:line="159" w:lineRule="exact"/>
        <w:rPr>
          <w:sz w:val="20"/>
          <w:szCs w:val="20"/>
          <w:color w:val="auto"/>
        </w:rPr>
      </w:pPr>
    </w:p>
    <w:p>
      <w:pPr>
        <w:ind w:right="340" w:firstLine="450"/>
        <w:spacing w:after="0" w:line="281" w:lineRule="auto"/>
        <w:rPr>
          <w:sz w:val="20"/>
          <w:szCs w:val="20"/>
          <w:color w:val="auto"/>
        </w:rPr>
      </w:pPr>
      <w:r>
        <w:rPr>
          <w:rFonts w:ascii="Times New Roman" w:cs="Times New Roman" w:eastAsia="Times New Roman" w:hAnsi="Times New Roman"/>
          <w:sz w:val="16"/>
          <w:szCs w:val="16"/>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Payment and Paying Agents</w:t>
      </w:r>
    </w:p>
    <w:p>
      <w:pPr>
        <w:spacing w:after="0" w:line="108" w:lineRule="exact"/>
        <w:rPr>
          <w:sz w:val="20"/>
          <w:szCs w:val="20"/>
          <w:color w:val="auto"/>
        </w:rPr>
      </w:pPr>
    </w:p>
    <w:p>
      <w:pPr>
        <w:ind w:right="40" w:firstLine="450"/>
        <w:spacing w:after="0" w:line="270" w:lineRule="auto"/>
        <w:rPr>
          <w:sz w:val="20"/>
          <w:szCs w:val="20"/>
          <w:color w:val="auto"/>
        </w:rPr>
      </w:pPr>
      <w:r>
        <w:rPr>
          <w:rFonts w:ascii="Times New Roman" w:cs="Times New Roman" w:eastAsia="Times New Roman" w:hAnsi="Times New Roman"/>
          <w:sz w:val="16"/>
          <w:szCs w:val="16"/>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Payments on Global Securities</w:t>
      </w:r>
    </w:p>
    <w:p>
      <w:pPr>
        <w:spacing w:after="0" w:line="106"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Payments on Certificated Securities</w:t>
      </w:r>
    </w:p>
    <w:p>
      <w:pPr>
        <w:spacing w:after="0" w:line="106" w:lineRule="exact"/>
        <w:rPr>
          <w:sz w:val="20"/>
          <w:szCs w:val="20"/>
          <w:color w:val="auto"/>
        </w:rPr>
      </w:pPr>
    </w:p>
    <w:p>
      <w:pPr>
        <w:ind w:right="340" w:firstLine="450"/>
        <w:spacing w:after="0" w:line="253" w:lineRule="auto"/>
        <w:rPr>
          <w:sz w:val="20"/>
          <w:szCs w:val="20"/>
          <w:color w:val="auto"/>
        </w:rPr>
      </w:pPr>
      <w:r>
        <w:rPr>
          <w:rFonts w:ascii="Times New Roman" w:cs="Times New Roman" w:eastAsia="Times New Roman" w:hAnsi="Times New Roman"/>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3" w:lineRule="exact"/>
        <w:rPr>
          <w:sz w:val="20"/>
          <w:szCs w:val="20"/>
          <w:color w:val="auto"/>
        </w:rPr>
      </w:pPr>
    </w:p>
    <w:p>
      <w:pPr>
        <w:ind w:right="160" w:firstLine="450"/>
        <w:spacing w:after="0" w:line="251" w:lineRule="auto"/>
        <w:rPr>
          <w:sz w:val="20"/>
          <w:szCs w:val="20"/>
          <w:color w:val="auto"/>
        </w:rPr>
      </w:pPr>
      <w:r>
        <w:rPr>
          <w:rFonts w:ascii="Times New Roman" w:cs="Times New Roman" w:eastAsia="Times New Roman" w:hAnsi="Times New Roman"/>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Payment When Offices Are Closed</w:t>
      </w:r>
    </w:p>
    <w:p>
      <w:pPr>
        <w:spacing w:after="0" w:line="106" w:lineRule="exact"/>
        <w:rPr>
          <w:sz w:val="20"/>
          <w:szCs w:val="20"/>
          <w:color w:val="auto"/>
        </w:rPr>
      </w:pPr>
    </w:p>
    <w:p>
      <w:pPr>
        <w:ind w:right="160" w:firstLine="450"/>
        <w:spacing w:after="0" w:line="253" w:lineRule="auto"/>
        <w:rPr>
          <w:sz w:val="20"/>
          <w:szCs w:val="20"/>
          <w:color w:val="auto"/>
        </w:rPr>
      </w:pPr>
      <w:r>
        <w:rPr>
          <w:rFonts w:ascii="Times New Roman" w:cs="Times New Roman" w:eastAsia="Times New Roman" w:hAnsi="Times New Roman"/>
          <w:sz w:val="17"/>
          <w:szCs w:val="17"/>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240"/>
          </w:cols>
          <w:pgMar w:left="320" w:top="285" w:right="33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755" cy="52070"/>
                    </a:xfrm>
                    <a:prstGeom prst="rect">
                      <a:avLst/>
                    </a:prstGeom>
                    <a:noFill/>
                  </pic:spPr>
                </pic:pic>
              </a:graphicData>
            </a:graphic>
          </wp:anchor>
        </w:drawing>
        <w:t>Book-entry and other indirect holders should consult their banks or brokers for information on how they will receive payments on their debt securities.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You will have rights if an Event of Default occurs in respect of the debt securities of your series and is not cured, as described later in this subsection.</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term “Event of Default” in respect of the debt securities of your series means any of the following:</w:t>
      </w:r>
    </w:p>
    <w:p>
      <w:pPr>
        <w:spacing w:after="0" w:line="116" w:lineRule="exact"/>
        <w:rPr>
          <w:sz w:val="20"/>
          <w:szCs w:val="20"/>
          <w:color w:val="auto"/>
        </w:rPr>
      </w:pPr>
    </w:p>
    <w:p>
      <w:pPr>
        <w:ind w:left="1000" w:hanging="439"/>
        <w:spacing w:after="0"/>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pay the principal of, or any premium on, a debt security of the series on its due date;</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pay interest on a debt security of the series within 30 days of its due date;</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deposit any sinking fund payment in respect of debt securities of the series on its due date;</w:t>
      </w:r>
    </w:p>
    <w:p>
      <w:pPr>
        <w:spacing w:after="0" w:line="116" w:lineRule="exact"/>
        <w:rPr>
          <w:rFonts w:ascii="Times New Roman" w:cs="Times New Roman" w:eastAsia="Times New Roman" w:hAnsi="Times New Roman"/>
          <w:sz w:val="17"/>
          <w:szCs w:val="17"/>
          <w:color w:val="auto"/>
        </w:rPr>
      </w:pPr>
    </w:p>
    <w:p>
      <w:pPr>
        <w:ind w:left="1000" w:right="440" w:hanging="439"/>
        <w:spacing w:after="0" w:line="270" w:lineRule="auto"/>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file for bankruptcy or certain other events of bankruptcy, insolvency or reorganization occur; and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in respect of debt securities of the series described in the prospectus supplement occurs.</w:t>
      </w:r>
    </w:p>
    <w:p>
      <w:pPr>
        <w:spacing w:after="0" w:line="204"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Remedies if an Event of Default Occurs</w:t>
      </w:r>
    </w:p>
    <w:p>
      <w:pPr>
        <w:spacing w:after="0" w:line="106"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3"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7"/>
          <w:szCs w:val="17"/>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5" w:lineRule="exact"/>
        <w:rPr>
          <w:sz w:val="20"/>
          <w:szCs w:val="20"/>
          <w:color w:val="auto"/>
        </w:rPr>
      </w:pPr>
    </w:p>
    <w:p>
      <w:pPr>
        <w:ind w:right="220" w:firstLine="450"/>
        <w:spacing w:after="0" w:line="270" w:lineRule="auto"/>
        <w:rPr>
          <w:sz w:val="20"/>
          <w:szCs w:val="20"/>
          <w:color w:val="auto"/>
        </w:rPr>
      </w:pPr>
      <w:r>
        <w:rPr>
          <w:rFonts w:ascii="Times New Roman" w:cs="Times New Roman" w:eastAsia="Times New Roman" w:hAnsi="Times New Roman"/>
          <w:sz w:val="17"/>
          <w:szCs w:val="17"/>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1" w:lineRule="exact"/>
        <w:rPr>
          <w:sz w:val="20"/>
          <w:szCs w:val="20"/>
          <w:color w:val="auto"/>
        </w:rPr>
      </w:pPr>
    </w:p>
    <w:p>
      <w:pPr>
        <w:ind w:left="1000" w:hanging="439"/>
        <w:spacing w:after="0"/>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must give the trustee written notice that an Event of Default has occurred and remains uncured;</w:t>
      </w:r>
    </w:p>
    <w:p>
      <w:pPr>
        <w:spacing w:after="0" w:line="116" w:lineRule="exact"/>
        <w:rPr>
          <w:rFonts w:ascii="Times New Roman" w:cs="Times New Roman" w:eastAsia="Times New Roman" w:hAnsi="Times New Roman"/>
          <w:sz w:val="17"/>
          <w:szCs w:val="17"/>
          <w:color w:val="auto"/>
        </w:rPr>
      </w:pPr>
    </w:p>
    <w:p>
      <w:pPr>
        <w:ind w:left="1000" w:right="220" w:hanging="439"/>
        <w:spacing w:after="0" w:line="270" w:lineRule="auto"/>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220"/>
          </w:cols>
          <w:pgMar w:left="320" w:top="285" w:right="359" w:bottom="1440" w:gutter="0" w:footer="0" w:header="0"/>
        </w:sectPr>
      </w:pPr>
    </w:p>
    <w:bookmarkStart w:id="63" w:name="page64"/>
    <w:bookmarkEnd w:id="63"/>
    <w:p>
      <w:pPr>
        <w:ind w:left="1000" w:hanging="439"/>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trustee must not have taken action for 60 days after receipt of the above notice and offer of indemnity; and</w:t>
      </w:r>
    </w:p>
    <w:p>
      <w:pPr>
        <w:spacing w:after="0" w:line="116" w:lineRule="exact"/>
        <w:rPr>
          <w:rFonts w:ascii="Times New Roman" w:cs="Times New Roman" w:eastAsia="Times New Roman" w:hAnsi="Times New Roman"/>
          <w:sz w:val="17"/>
          <w:szCs w:val="17"/>
          <w:color w:val="auto"/>
        </w:rPr>
      </w:pPr>
    </w:p>
    <w:p>
      <w:pPr>
        <w:ind w:left="1000" w:right="100" w:hanging="439"/>
        <w:spacing w:after="0" w:line="270" w:lineRule="auto"/>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 majority in principal amount of the debt securities must not have given the trustee a direction inconsistent with the above notice during that 60-day period.</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However, you are entitled at any time to bring a lawsuit for the payment of money due on your debt securities on or after the due date.</w:t>
      </w:r>
    </w:p>
    <w:p>
      <w:pPr>
        <w:spacing w:after="0" w:line="200" w:lineRule="exact"/>
        <w:rPr>
          <w:sz w:val="20"/>
          <w:szCs w:val="20"/>
          <w:color w:val="auto"/>
        </w:rPr>
      </w:pPr>
    </w:p>
    <w:p>
      <w:pPr>
        <w:ind w:right="60" w:firstLine="450"/>
        <w:spacing w:after="0" w:line="275" w:lineRule="auto"/>
        <w:rPr>
          <w:sz w:val="20"/>
          <w:szCs w:val="20"/>
          <w:color w:val="auto"/>
        </w:rPr>
      </w:pPr>
      <w:r>
        <w:rPr>
          <w:rFonts w:ascii="Times New Roman" w:cs="Times New Roman" w:eastAsia="Times New Roman" w:hAnsi="Times New Roman"/>
          <w:sz w:val="17"/>
          <w:szCs w:val="17"/>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5" w:lineRule="exact"/>
        <w:rPr>
          <w:sz w:val="20"/>
          <w:szCs w:val="20"/>
          <w:color w:val="auto"/>
        </w:rPr>
      </w:pPr>
    </w:p>
    <w:p>
      <w:pPr>
        <w:ind w:firstLine="450"/>
        <w:spacing w:after="0" w:line="270" w:lineRule="auto"/>
        <w:rPr>
          <w:sz w:val="20"/>
          <w:szCs w:val="20"/>
          <w:color w:val="auto"/>
        </w:rPr>
      </w:pPr>
      <w:r>
        <w:rPr>
          <w:rFonts w:ascii="Times New Roman" w:cs="Times New Roman" w:eastAsia="Times New Roman" w:hAnsi="Times New Roman"/>
          <w:sz w:val="17"/>
          <w:szCs w:val="17"/>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Waiver of Default</w:t>
      </w:r>
    </w:p>
    <w:p>
      <w:pPr>
        <w:spacing w:after="0" w:line="106" w:lineRule="exact"/>
        <w:rPr>
          <w:sz w:val="20"/>
          <w:szCs w:val="20"/>
          <w:color w:val="auto"/>
        </w:rPr>
      </w:pPr>
    </w:p>
    <w:p>
      <w:pPr>
        <w:ind w:right="160" w:firstLine="450"/>
        <w:spacing w:after="0" w:line="302" w:lineRule="auto"/>
        <w:rPr>
          <w:sz w:val="20"/>
          <w:szCs w:val="20"/>
          <w:color w:val="auto"/>
        </w:rPr>
      </w:pPr>
      <w:r>
        <w:rPr>
          <w:rFonts w:ascii="Times New Roman" w:cs="Times New Roman" w:eastAsia="Times New Roman" w:hAnsi="Times New Roman"/>
          <w:sz w:val="16"/>
          <w:szCs w:val="16"/>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Merger or Consolidation</w:t>
      </w:r>
    </w:p>
    <w:p>
      <w:pPr>
        <w:spacing w:after="0" w:line="108" w:lineRule="exact"/>
        <w:rPr>
          <w:sz w:val="20"/>
          <w:szCs w:val="20"/>
          <w:color w:val="auto"/>
        </w:rPr>
      </w:pPr>
    </w:p>
    <w:p>
      <w:pPr>
        <w:ind w:right="140" w:firstLine="450"/>
        <w:spacing w:after="0" w:line="270" w:lineRule="auto"/>
        <w:rPr>
          <w:sz w:val="20"/>
          <w:szCs w:val="20"/>
          <w:color w:val="auto"/>
        </w:rPr>
      </w:pPr>
      <w:r>
        <w:rPr>
          <w:rFonts w:ascii="Times New Roman" w:cs="Times New Roman" w:eastAsia="Times New Roman" w:hAnsi="Times New Roman"/>
          <w:sz w:val="17"/>
          <w:szCs w:val="17"/>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71" w:lineRule="exact"/>
        <w:rPr>
          <w:sz w:val="20"/>
          <w:szCs w:val="20"/>
          <w:color w:val="auto"/>
        </w:rPr>
      </w:pPr>
    </w:p>
    <w:p>
      <w:pPr>
        <w:ind w:left="1000" w:hanging="439"/>
        <w:spacing w:after="0"/>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we merge out of existence or sell our assets, the resulting entity must agree to be legally responsible for our obligations under the debt securities;</w:t>
      </w:r>
    </w:p>
    <w:p>
      <w:pPr>
        <w:spacing w:after="0" w:line="127" w:lineRule="exact"/>
        <w:rPr>
          <w:rFonts w:ascii="Times New Roman" w:cs="Times New Roman" w:eastAsia="Times New Roman" w:hAnsi="Times New Roman"/>
          <w:sz w:val="16"/>
          <w:szCs w:val="16"/>
          <w:color w:val="auto"/>
        </w:rPr>
      </w:pPr>
    </w:p>
    <w:p>
      <w:pPr>
        <w:ind w:left="1000" w:hanging="439"/>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alternatively, we must be the surviving company;</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the transaction no event of default will exist;</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deliver certain certificates and documents to the trustee; and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satisfy any other requirements specified in the prospectus supplement relating to a particular series of debt securities.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Modification or Waiver</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are three types of changes we can make to the indenture and the debt securities issued thereunder.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Requiring Your Approval</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First, there are changes that we cannot make to your debt securities without your specific approval. The following is a list of those types of changes:</w:t>
      </w:r>
    </w:p>
    <w:p>
      <w:pPr>
        <w:spacing w:after="0" w:line="116" w:lineRule="exact"/>
        <w:rPr>
          <w:sz w:val="20"/>
          <w:szCs w:val="20"/>
          <w:color w:val="auto"/>
        </w:rPr>
      </w:pPr>
    </w:p>
    <w:p>
      <w:pPr>
        <w:ind w:left="1000" w:hanging="439"/>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stated maturity of the principal of or interest on a debt security;</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any amounts due on a debt security;</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amount of principal payable upon acceleration of the maturity of a security following a default;</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any right of repayment at the holder’s option;</w:t>
      </w:r>
    </w:p>
    <w:p>
      <w:pPr>
        <w:spacing w:after="0" w:line="1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1140"/>
          </w:cols>
          <w:pgMar w:left="320" w:top="285" w:right="439" w:bottom="1440" w:gutter="0" w:footer="0" w:header="0"/>
        </w:sectPr>
      </w:pPr>
    </w:p>
    <w:bookmarkStart w:id="64" w:name="page65"/>
    <w:bookmarkEnd w:id="64"/>
    <w:p>
      <w:pPr>
        <w:ind w:left="1000" w:hanging="439"/>
        <w:spacing w:after="0"/>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755" cy="52070"/>
                    </a:xfrm>
                    <a:prstGeom prst="rect">
                      <a:avLst/>
                    </a:prstGeom>
                    <a:noFill/>
                  </pic:spPr>
                </pic:pic>
              </a:graphicData>
            </a:graphic>
          </wp:anchor>
        </w:drawing>
        <w:t>change the place or currency of payment on a debt security (except as otherwise described in the prospectus or prospectus supplement);</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your right to sue for payment;</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any right to convert or exchange a debt security in accordance with its terms;</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of holders of debt securities whose consent is needed to modify or amend the indenture;</w:t>
      </w:r>
    </w:p>
    <w:p>
      <w:pPr>
        <w:spacing w:after="0" w:line="116" w:lineRule="exact"/>
        <w:rPr>
          <w:rFonts w:ascii="Times New Roman" w:cs="Times New Roman" w:eastAsia="Times New Roman" w:hAnsi="Times New Roman"/>
          <w:sz w:val="17"/>
          <w:szCs w:val="17"/>
          <w:color w:val="auto"/>
        </w:rPr>
      </w:pPr>
    </w:p>
    <w:p>
      <w:pPr>
        <w:ind w:left="1000" w:right="320" w:hanging="439"/>
        <w:spacing w:after="0" w:line="270" w:lineRule="auto"/>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of holders of debt securities whose consent is needed to waive compliance with certain provisions of the indenture or to waive certain defaults;</w:t>
      </w:r>
    </w:p>
    <w:p>
      <w:pPr>
        <w:spacing w:after="0" w:line="71" w:lineRule="exact"/>
        <w:rPr>
          <w:rFonts w:ascii="Times New Roman" w:cs="Times New Roman" w:eastAsia="Times New Roman" w:hAnsi="Times New Roman"/>
          <w:sz w:val="17"/>
          <w:szCs w:val="17"/>
          <w:color w:val="auto"/>
        </w:rPr>
      </w:pPr>
    </w:p>
    <w:p>
      <w:pPr>
        <w:ind w:left="1000" w:right="20" w:hanging="439"/>
        <w:spacing w:after="0" w:line="270" w:lineRule="auto"/>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obligation we have to pay additional amounts.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Not Requiring Approval</w:t>
      </w:r>
    </w:p>
    <w:p>
      <w:pPr>
        <w:spacing w:after="0" w:line="106"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7"/>
          <w:szCs w:val="17"/>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Requiring Majority Approval</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Any other change to the indenture and the debt securities would require the following approval:</w:t>
      </w:r>
    </w:p>
    <w:p>
      <w:pPr>
        <w:spacing w:after="0" w:line="116" w:lineRule="exact"/>
        <w:rPr>
          <w:sz w:val="20"/>
          <w:szCs w:val="20"/>
          <w:color w:val="auto"/>
        </w:rPr>
      </w:pPr>
    </w:p>
    <w:p>
      <w:pPr>
        <w:ind w:left="1000" w:hanging="439"/>
        <w:spacing w:after="0"/>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only one series of debt securities, it must be approved by the holders of a majority in principal amount of that series; and</w:t>
      </w:r>
    </w:p>
    <w:p>
      <w:pPr>
        <w:spacing w:after="0" w:line="116" w:lineRule="exact"/>
        <w:rPr>
          <w:rFonts w:ascii="Times New Roman" w:cs="Times New Roman" w:eastAsia="Times New Roman" w:hAnsi="Times New Roman"/>
          <w:sz w:val="17"/>
          <w:szCs w:val="17"/>
          <w:color w:val="auto"/>
        </w:rPr>
      </w:pPr>
    </w:p>
    <w:p>
      <w:pPr>
        <w:ind w:left="1000" w:right="20" w:hanging="439"/>
        <w:spacing w:after="0" w:line="270"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each case, the required approval must be given by written consent.</w:t>
      </w:r>
    </w:p>
    <w:p>
      <w:pPr>
        <w:spacing w:after="0" w:line="204" w:lineRule="exact"/>
        <w:rPr>
          <w:sz w:val="20"/>
          <w:szCs w:val="20"/>
          <w:color w:val="auto"/>
        </w:rPr>
      </w:pPr>
    </w:p>
    <w:p>
      <w:pPr>
        <w:jc w:val="both"/>
        <w:ind w:right="200" w:firstLine="450"/>
        <w:spacing w:after="0" w:line="257" w:lineRule="auto"/>
        <w:rPr>
          <w:sz w:val="20"/>
          <w:szCs w:val="20"/>
          <w:color w:val="auto"/>
        </w:rPr>
      </w:pPr>
      <w:r>
        <w:rPr>
          <w:rFonts w:ascii="Times New Roman" w:cs="Times New Roman" w:eastAsia="Times New Roman" w:hAnsi="Times New Roman"/>
          <w:sz w:val="17"/>
          <w:szCs w:val="17"/>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Further Details Concerning Voting</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When taking a vote, we will use the following rules to decide how much principal to attribute to a debt security:</w:t>
      </w:r>
    </w:p>
    <w:p>
      <w:pPr>
        <w:spacing w:after="0" w:line="116" w:lineRule="exact"/>
        <w:rPr>
          <w:sz w:val="20"/>
          <w:szCs w:val="20"/>
          <w:color w:val="auto"/>
        </w:rPr>
      </w:pPr>
    </w:p>
    <w:p>
      <w:pPr>
        <w:ind w:left="1000" w:right="540" w:hanging="439"/>
        <w:spacing w:after="0" w:line="270"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OID securities, we will use the principal amount that would be due and payable on the voting date if the maturity of these debt securities were accelerated to that date because of a default;</w:t>
      </w:r>
    </w:p>
    <w:p>
      <w:pPr>
        <w:spacing w:after="0" w:line="71" w:lineRule="exact"/>
        <w:rPr>
          <w:rFonts w:ascii="Times New Roman" w:cs="Times New Roman" w:eastAsia="Times New Roman" w:hAnsi="Times New Roman"/>
          <w:sz w:val="17"/>
          <w:szCs w:val="17"/>
          <w:color w:val="auto"/>
        </w:rPr>
      </w:pPr>
    </w:p>
    <w:p>
      <w:pPr>
        <w:ind w:left="1000" w:right="220" w:hanging="439"/>
        <w:spacing w:after="0" w:line="270"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debt securities whose principal amount is not known (for example, because it is based on an index), we will use a special rule for that debt security described in the prospectus supplement; and</w:t>
      </w:r>
    </w:p>
    <w:p>
      <w:pPr>
        <w:spacing w:after="0" w:line="71"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debt securities denominated in one or more foreign currencies, we will use the U.S. dollar equivalent.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1220"/>
          </w:cols>
          <w:pgMar w:left="320" w:top="285" w:right="359" w:bottom="1440" w:gutter="0" w:footer="0" w:header="0"/>
        </w:sectPr>
      </w:pPr>
    </w:p>
    <w:bookmarkStart w:id="65" w:name="page66"/>
    <w:bookmarkEnd w:id="65"/>
    <w:p>
      <w:pPr>
        <w:ind w:right="40" w:firstLine="450"/>
        <w:spacing w:after="0" w:line="25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755" cy="52070"/>
                    </a:xfrm>
                    <a:prstGeom prst="rect">
                      <a:avLst/>
                    </a:prstGeom>
                    <a:noFill/>
                  </pic:spPr>
                </pic:pic>
              </a:graphicData>
            </a:graphic>
          </wp:anchor>
        </w:drawing>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 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1" w:lineRule="exact"/>
        <w:rPr>
          <w:sz w:val="20"/>
          <w:szCs w:val="20"/>
          <w:color w:val="auto"/>
        </w:rPr>
      </w:pPr>
    </w:p>
    <w:p>
      <w:pPr>
        <w:ind w:right="260" w:firstLine="450"/>
        <w:spacing w:after="0" w:line="275" w:lineRule="auto"/>
        <w:rPr>
          <w:sz w:val="20"/>
          <w:szCs w:val="20"/>
          <w:color w:val="auto"/>
        </w:rPr>
      </w:pPr>
      <w:r>
        <w:rPr>
          <w:rFonts w:ascii="Times New Roman" w:cs="Times New Roman" w:eastAsia="Times New Roman" w:hAnsi="Times New Roman"/>
          <w:sz w:val="17"/>
          <w:szCs w:val="17"/>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Defeasance</w:t>
      </w:r>
    </w:p>
    <w:p>
      <w:pPr>
        <w:spacing w:after="0" w:line="108" w:lineRule="exact"/>
        <w:rPr>
          <w:sz w:val="20"/>
          <w:szCs w:val="20"/>
          <w:color w:val="auto"/>
        </w:rPr>
      </w:pPr>
    </w:p>
    <w:p>
      <w:pPr>
        <w:ind w:right="580" w:firstLine="450"/>
        <w:spacing w:after="0" w:line="270" w:lineRule="auto"/>
        <w:rPr>
          <w:sz w:val="20"/>
          <w:szCs w:val="20"/>
          <w:color w:val="auto"/>
        </w:rPr>
      </w:pPr>
      <w:r>
        <w:rPr>
          <w:rFonts w:ascii="Times New Roman" w:cs="Times New Roman" w:eastAsia="Times New Roman" w:hAnsi="Times New Roman"/>
          <w:sz w:val="17"/>
          <w:szCs w:val="17"/>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Covenant Defeasance</w:t>
      </w:r>
    </w:p>
    <w:p>
      <w:pPr>
        <w:spacing w:after="0" w:line="106" w:lineRule="exact"/>
        <w:rPr>
          <w:sz w:val="20"/>
          <w:szCs w:val="20"/>
          <w:color w:val="auto"/>
        </w:rPr>
      </w:pPr>
    </w:p>
    <w:p>
      <w:pPr>
        <w:ind w:right="40" w:firstLine="450"/>
        <w:spacing w:after="0" w:line="251" w:lineRule="auto"/>
        <w:rPr>
          <w:sz w:val="20"/>
          <w:szCs w:val="20"/>
          <w:color w:val="auto"/>
        </w:rPr>
      </w:pPr>
      <w:r>
        <w:rPr>
          <w:rFonts w:ascii="Times New Roman" w:cs="Times New Roman" w:eastAsia="Times New Roman" w:hAnsi="Times New Roman"/>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88" w:lineRule="exact"/>
        <w:rPr>
          <w:sz w:val="20"/>
          <w:szCs w:val="20"/>
          <w:color w:val="auto"/>
        </w:rPr>
      </w:pPr>
    </w:p>
    <w:p>
      <w:pPr>
        <w:jc w:val="both"/>
        <w:ind w:left="1000" w:hanging="439"/>
        <w:spacing w:after="0" w:line="257" w:lineRule="auto"/>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2" w:lineRule="exact"/>
        <w:rPr>
          <w:rFonts w:ascii="Times New Roman" w:cs="Times New Roman" w:eastAsia="Times New Roman" w:hAnsi="Times New Roman"/>
          <w:sz w:val="17"/>
          <w:szCs w:val="17"/>
          <w:color w:val="auto"/>
        </w:rPr>
      </w:pPr>
    </w:p>
    <w:p>
      <w:pPr>
        <w:ind w:left="1000" w:right="40" w:hanging="439"/>
        <w:spacing w:after="0" w:line="257" w:lineRule="auto"/>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70" w:lineRule="exact"/>
        <w:rPr>
          <w:sz w:val="20"/>
          <w:szCs w:val="20"/>
          <w:color w:val="auto"/>
        </w:rPr>
      </w:pPr>
    </w:p>
    <w:p>
      <w:pPr>
        <w:ind w:right="280" w:firstLine="450"/>
        <w:spacing w:after="0" w:line="270" w:lineRule="auto"/>
        <w:rPr>
          <w:sz w:val="20"/>
          <w:szCs w:val="20"/>
          <w:color w:val="auto"/>
        </w:rPr>
      </w:pPr>
      <w:r>
        <w:rPr>
          <w:rFonts w:ascii="Times New Roman" w:cs="Times New Roman" w:eastAsia="Times New Roman" w:hAnsi="Times New Roman"/>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59" w:lineRule="exact"/>
        <w:rPr>
          <w:sz w:val="20"/>
          <w:szCs w:val="20"/>
          <w:color w:val="auto"/>
        </w:rPr>
      </w:pPr>
    </w:p>
    <w:p>
      <w:pPr>
        <w:ind w:right="200" w:firstLine="450"/>
        <w:spacing w:after="0" w:line="257" w:lineRule="auto"/>
        <w:rPr>
          <w:sz w:val="20"/>
          <w:szCs w:val="20"/>
          <w:color w:val="auto"/>
        </w:rPr>
      </w:pPr>
      <w:r>
        <w:rPr>
          <w:rFonts w:ascii="Times New Roman" w:cs="Times New Roman" w:eastAsia="Times New Roman" w:hAnsi="Times New Roman"/>
          <w:sz w:val="17"/>
          <w:szCs w:val="17"/>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Full Defeasance</w:t>
      </w:r>
    </w:p>
    <w:p>
      <w:pPr>
        <w:spacing w:after="0" w:line="106" w:lineRule="exact"/>
        <w:rPr>
          <w:sz w:val="20"/>
          <w:szCs w:val="20"/>
          <w:color w:val="auto"/>
        </w:rPr>
      </w:pPr>
    </w:p>
    <w:p>
      <w:pPr>
        <w:ind w:right="80" w:firstLine="450"/>
        <w:spacing w:after="0" w:line="270" w:lineRule="auto"/>
        <w:rPr>
          <w:sz w:val="20"/>
          <w:szCs w:val="20"/>
          <w:color w:val="auto"/>
        </w:rPr>
      </w:pPr>
      <w:r>
        <w:rPr>
          <w:rFonts w:ascii="Times New Roman" w:cs="Times New Roman" w:eastAsia="Times New Roman" w:hAnsi="Times New Roman"/>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71" w:lineRule="exact"/>
        <w:rPr>
          <w:sz w:val="20"/>
          <w:szCs w:val="20"/>
          <w:color w:val="auto"/>
        </w:rPr>
      </w:pPr>
    </w:p>
    <w:p>
      <w:pPr>
        <w:ind w:left="1000" w:hanging="439"/>
        <w:spacing w:after="0" w:line="270" w:lineRule="auto"/>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debt securities of the particular series are denominated in U.S. dollars, we must deposit in trust for the benefit of all holders of such debt securities a combination of money and U.S. government or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1240"/>
          </w:cols>
          <w:pgMar w:left="320" w:top="285" w:right="339" w:bottom="1440" w:gutter="0" w:footer="0" w:header="0"/>
        </w:sectPr>
      </w:pPr>
    </w:p>
    <w:bookmarkStart w:id="66" w:name="page67"/>
    <w:bookmarkEnd w:id="66"/>
    <w:p>
      <w:pPr>
        <w:ind w:left="1000" w:right="8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755" cy="52070"/>
                    </a:xfrm>
                    <a:prstGeom prst="rect">
                      <a:avLst/>
                    </a:prstGeom>
                    <a:noFill/>
                  </pic:spPr>
                </pic:pic>
              </a:graphicData>
            </a:graphic>
          </wp:anchor>
        </w:drawing>
        <w:t>U.S. government agency notes or bonds that will generate enough cash to make interest, principal and any other payments on the debt securities on their various due dates;</w:t>
      </w:r>
    </w:p>
    <w:p>
      <w:pPr>
        <w:spacing w:after="0" w:line="71" w:lineRule="exact"/>
        <w:rPr>
          <w:sz w:val="20"/>
          <w:szCs w:val="20"/>
          <w:color w:val="auto"/>
        </w:rPr>
      </w:pPr>
    </w:p>
    <w:p>
      <w:pPr>
        <w:ind w:left="1000" w:hanging="439"/>
        <w:spacing w:after="0" w:line="270"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74" w:lineRule="exact"/>
        <w:rPr>
          <w:rFonts w:ascii="Times New Roman" w:cs="Times New Roman" w:eastAsia="Times New Roman" w:hAnsi="Times New Roman"/>
          <w:sz w:val="16"/>
          <w:szCs w:val="16"/>
          <w:color w:val="auto"/>
        </w:rPr>
      </w:pPr>
    </w:p>
    <w:p>
      <w:pPr>
        <w:ind w:left="1000" w:right="220" w:hanging="439"/>
        <w:spacing w:after="0" w:line="270" w:lineRule="auto"/>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59"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Exchange and Transfer of Certificated Registered Securities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If registered debt securities cease to be issued in book-entry form, they will be issued:</w:t>
      </w:r>
    </w:p>
    <w:p>
      <w:pPr>
        <w:spacing w:after="0" w:line="116" w:lineRule="exact"/>
        <w:rPr>
          <w:sz w:val="20"/>
          <w:szCs w:val="20"/>
          <w:color w:val="auto"/>
        </w:rPr>
      </w:pPr>
    </w:p>
    <w:p>
      <w:pPr>
        <w:ind w:left="1000" w:hanging="439"/>
        <w:spacing w:after="0"/>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 fully registered certificated form;</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interest coupons; and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we indicate otherwise in the prospectus supplement, in denominations of $1,000 and amounts that are multiples of $1,000.</w:t>
      </w:r>
    </w:p>
    <w:p>
      <w:pPr>
        <w:spacing w:after="0" w:line="204" w:lineRule="exact"/>
        <w:rPr>
          <w:sz w:val="20"/>
          <w:szCs w:val="20"/>
          <w:color w:val="auto"/>
        </w:rPr>
      </w:pPr>
    </w:p>
    <w:p>
      <w:pPr>
        <w:ind w:right="40" w:firstLine="450"/>
        <w:spacing w:after="0" w:line="270" w:lineRule="auto"/>
        <w:rPr>
          <w:sz w:val="20"/>
          <w:szCs w:val="20"/>
          <w:color w:val="auto"/>
        </w:rPr>
      </w:pPr>
      <w:r>
        <w:rPr>
          <w:rFonts w:ascii="Times New Roman" w:cs="Times New Roman" w:eastAsia="Times New Roman" w:hAnsi="Times New Roman"/>
          <w:sz w:val="17"/>
          <w:szCs w:val="17"/>
          <w:color w:val="auto"/>
        </w:rPr>
        <w:t>Holders may exchange their certificated securities for debt securities of smaller denominations or combined into fewer debt securities of larger denominations, as long as the total principal amount is not changed.</w:t>
      </w:r>
    </w:p>
    <w:p>
      <w:pPr>
        <w:spacing w:after="0" w:line="159" w:lineRule="exact"/>
        <w:rPr>
          <w:sz w:val="20"/>
          <w:szCs w:val="20"/>
          <w:color w:val="auto"/>
        </w:rPr>
      </w:pPr>
    </w:p>
    <w:p>
      <w:pPr>
        <w:ind w:right="220" w:firstLine="450"/>
        <w:spacing w:after="0" w:line="270" w:lineRule="auto"/>
        <w:rPr>
          <w:sz w:val="20"/>
          <w:szCs w:val="20"/>
          <w:color w:val="auto"/>
        </w:rPr>
      </w:pPr>
      <w:r>
        <w:rPr>
          <w:rFonts w:ascii="Times New Roman" w:cs="Times New Roman" w:eastAsia="Times New Roman" w:hAnsi="Times New Roman"/>
          <w:sz w:val="17"/>
          <w:szCs w:val="17"/>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59" w:lineRule="exact"/>
        <w:rPr>
          <w:sz w:val="20"/>
          <w:szCs w:val="20"/>
          <w:color w:val="auto"/>
        </w:rPr>
      </w:pPr>
    </w:p>
    <w:p>
      <w:pPr>
        <w:ind w:right="300" w:firstLine="450"/>
        <w:spacing w:after="0" w:line="257" w:lineRule="auto"/>
        <w:rPr>
          <w:sz w:val="20"/>
          <w:szCs w:val="20"/>
          <w:color w:val="auto"/>
        </w:rPr>
      </w:pPr>
      <w:r>
        <w:rPr>
          <w:rFonts w:ascii="Times New Roman" w:cs="Times New Roman" w:eastAsia="Times New Roman" w:hAnsi="Times New Roman"/>
          <w:sz w:val="17"/>
          <w:szCs w:val="17"/>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70" w:lineRule="exact"/>
        <w:rPr>
          <w:sz w:val="20"/>
          <w:szCs w:val="20"/>
          <w:color w:val="auto"/>
        </w:rPr>
      </w:pPr>
    </w:p>
    <w:p>
      <w:pPr>
        <w:ind w:right="380" w:firstLine="450"/>
        <w:spacing w:after="0" w:line="270" w:lineRule="auto"/>
        <w:rPr>
          <w:sz w:val="20"/>
          <w:szCs w:val="20"/>
          <w:color w:val="auto"/>
        </w:rPr>
      </w:pPr>
      <w:r>
        <w:rPr>
          <w:rFonts w:ascii="Times New Roman" w:cs="Times New Roman" w:eastAsia="Times New Roman" w:hAnsi="Times New Roman"/>
          <w:sz w:val="17"/>
          <w:szCs w:val="17"/>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59"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7"/>
          <w:szCs w:val="17"/>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1220"/>
          </w:cols>
          <w:pgMar w:left="320" w:top="285" w:right="359" w:bottom="1440" w:gutter="0" w:footer="0" w:header="0"/>
        </w:sectPr>
      </w:pPr>
    </w:p>
    <w:bookmarkStart w:id="67" w:name="page68"/>
    <w:bookmarkEnd w:id="67"/>
    <w:p>
      <w:pPr>
        <w:ind w:right="540" w:firstLine="45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755" cy="52070"/>
                    </a:xfrm>
                    <a:prstGeom prst="rect">
                      <a:avLst/>
                    </a:prstGeom>
                    <a:noFill/>
                  </pic:spPr>
                </pic:pic>
              </a:graphicData>
            </a:graphic>
          </wp:anchor>
        </w:drawing>
        <w:t>If a registered debt security is issued in book-entry form, only the depositary will be entitled to transfer and exchange the debt security as described in this subsection, since it will be the sole holder of the debt security.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Resignation of Trustee</w:t>
      </w:r>
    </w:p>
    <w:p>
      <w:pPr>
        <w:spacing w:after="0" w:line="108" w:lineRule="exact"/>
        <w:rPr>
          <w:sz w:val="20"/>
          <w:szCs w:val="20"/>
          <w:color w:val="auto"/>
        </w:rPr>
      </w:pPr>
    </w:p>
    <w:p>
      <w:pPr>
        <w:jc w:val="both"/>
        <w:ind w:right="80" w:firstLine="450"/>
        <w:spacing w:after="0" w:line="257" w:lineRule="auto"/>
        <w:rPr>
          <w:sz w:val="20"/>
          <w:szCs w:val="20"/>
          <w:color w:val="auto"/>
        </w:rPr>
      </w:pPr>
      <w:r>
        <w:rPr>
          <w:rFonts w:ascii="Times New Roman" w:cs="Times New Roman" w:eastAsia="Times New Roman" w:hAnsi="Times New Roman"/>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Indenture Provisions—Subordination</w:t>
      </w:r>
    </w:p>
    <w:p>
      <w:pPr>
        <w:spacing w:after="0" w:line="108"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7"/>
          <w:szCs w:val="17"/>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75"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7"/>
          <w:szCs w:val="17"/>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75" w:lineRule="exact"/>
        <w:rPr>
          <w:sz w:val="20"/>
          <w:szCs w:val="20"/>
          <w:color w:val="auto"/>
        </w:rPr>
      </w:pPr>
    </w:p>
    <w:p>
      <w:pPr>
        <w:jc w:val="both"/>
        <w:ind w:right="280" w:firstLine="450"/>
        <w:spacing w:after="0" w:line="257" w:lineRule="auto"/>
        <w:rPr>
          <w:sz w:val="20"/>
          <w:szCs w:val="20"/>
          <w:color w:val="auto"/>
        </w:rPr>
      </w:pPr>
      <w:r>
        <w:rPr>
          <w:rFonts w:ascii="Times New Roman" w:cs="Times New Roman" w:eastAsia="Times New Roman" w:hAnsi="Times New Roman"/>
          <w:sz w:val="17"/>
          <w:szCs w:val="17"/>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Senior Indebtedness is defined in the indenture as the principal of (and premium, if any) and unpaid interest on:</w:t>
      </w:r>
    </w:p>
    <w:p>
      <w:pPr>
        <w:spacing w:after="0" w:line="116" w:lineRule="exact"/>
        <w:rPr>
          <w:sz w:val="20"/>
          <w:szCs w:val="20"/>
          <w:color w:val="auto"/>
        </w:rPr>
      </w:pPr>
    </w:p>
    <w:p>
      <w:pPr>
        <w:ind w:left="1000" w:right="60" w:hanging="439"/>
        <w:spacing w:after="0" w:line="253" w:lineRule="auto"/>
        <w:tabs>
          <w:tab w:leader="none" w:pos="10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renewals, extensions, modifications and refinancings of any of this indebtedness.</w:t>
      </w:r>
    </w:p>
    <w:p>
      <w:pPr>
        <w:spacing w:after="0" w:line="204" w:lineRule="exact"/>
        <w:rPr>
          <w:sz w:val="20"/>
          <w:szCs w:val="20"/>
          <w:color w:val="auto"/>
        </w:rPr>
      </w:pPr>
    </w:p>
    <w:p>
      <w:pPr>
        <w:ind w:right="880" w:firstLine="450"/>
        <w:spacing w:after="0" w:line="270" w:lineRule="auto"/>
        <w:rPr>
          <w:sz w:val="20"/>
          <w:szCs w:val="20"/>
          <w:color w:val="auto"/>
        </w:rPr>
      </w:pPr>
      <w:r>
        <w:rPr>
          <w:rFonts w:ascii="Times New Roman" w:cs="Times New Roman" w:eastAsia="Times New Roman" w:hAnsi="Times New Roman"/>
          <w:sz w:val="17"/>
          <w:szCs w:val="17"/>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Trustee under the Indenture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Equiniti Trust Company, LLC (f/k/a American Stock Transfer &amp; Trust Company, LLC) is the trustee under the indenture and the 2026 Notes.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1240"/>
          </w:cols>
          <w:pgMar w:left="320" w:top="28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755" cy="52070"/>
                    </a:xfrm>
                    <a:prstGeom prst="rect">
                      <a:avLst/>
                    </a:prstGeom>
                    <a:noFill/>
                  </pic:spPr>
                </pic:pic>
              </a:graphicData>
            </a:graphic>
          </wp:anchor>
        </w:drawing>
        <w:t>Certain Considerations Relating to Foreign Currencies</w:t>
      </w:r>
    </w:p>
    <w:p>
      <w:pPr>
        <w:spacing w:after="0" w:line="108"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1160"/>
          </w:cols>
          <w:pgMar w:left="320" w:top="281" w:right="41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3755" cy="52070"/>
                    </a:xfrm>
                    <a:prstGeom prst="rect">
                      <a:avLst/>
                    </a:prstGeom>
                    <a:noFill/>
                  </pic:spPr>
                </pic:pic>
              </a:graphicData>
            </a:graphic>
          </wp:anchor>
        </w:drawing>
        <w:t>BROKERAGE ALLOCATIONS AND OTHER PRACTICES</w:t>
      </w:r>
    </w:p>
    <w:p>
      <w:pPr>
        <w:spacing w:after="0" w:line="208"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1220"/>
          </w:cols>
          <w:pgMar w:left="320" w:top="281" w:right="35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755" cy="52070"/>
                    </a:xfrm>
                    <a:prstGeom prst="rect">
                      <a:avLst/>
                    </a:prstGeom>
                    <a:noFill/>
                  </pic:spPr>
                </pic:pic>
              </a:graphicData>
            </a:graphic>
          </wp:anchor>
        </w:drawing>
        <w:t>MATERIAL U.S. FEDERAL INCOME TAX CONSIDERATIONS</w:t>
      </w:r>
    </w:p>
    <w:p>
      <w:pPr>
        <w:spacing w:after="0" w:line="208"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7"/>
          <w:szCs w:val="17"/>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 “U.S. stockholder” generally is a beneficial owner of shares of our common stock that is for U.S. federal income tax purposes:</w:t>
      </w:r>
    </w:p>
    <w:p>
      <w:pPr>
        <w:spacing w:after="0" w:line="116" w:lineRule="exact"/>
        <w:rPr>
          <w:sz w:val="20"/>
          <w:szCs w:val="20"/>
          <w:color w:val="auto"/>
        </w:rPr>
      </w:pPr>
    </w:p>
    <w:p>
      <w:pPr>
        <w:ind w:left="1000" w:hanging="439"/>
        <w:spacing w:after="0"/>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citizen or individual resident of the United States;</w:t>
      </w:r>
    </w:p>
    <w:p>
      <w:pPr>
        <w:spacing w:after="0" w:line="116" w:lineRule="exact"/>
        <w:rPr>
          <w:rFonts w:ascii="Times New Roman" w:cs="Times New Roman" w:eastAsia="Times New Roman" w:hAnsi="Times New Roman"/>
          <w:sz w:val="17"/>
          <w:szCs w:val="17"/>
          <w:color w:val="auto"/>
        </w:rPr>
      </w:pPr>
    </w:p>
    <w:p>
      <w:pPr>
        <w:ind w:left="1000" w:right="80" w:hanging="439"/>
        <w:spacing w:after="0" w:line="270" w:lineRule="auto"/>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U.S. federal income tax purposes, created or organized in or under the laws of the United States or any state thereof or the District of Columbia; or</w:t>
      </w:r>
    </w:p>
    <w:p>
      <w:pPr>
        <w:spacing w:after="0" w:line="71" w:lineRule="exact"/>
        <w:rPr>
          <w:rFonts w:ascii="Times New Roman" w:cs="Times New Roman" w:eastAsia="Times New Roman" w:hAnsi="Times New Roman"/>
          <w:sz w:val="17"/>
          <w:szCs w:val="17"/>
          <w:color w:val="auto"/>
        </w:rPr>
      </w:pPr>
    </w:p>
    <w:p>
      <w:pPr>
        <w:ind w:left="1000" w:right="300" w:hanging="439"/>
        <w:spacing w:after="0" w:line="302"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48" w:lineRule="exact"/>
        <w:rPr>
          <w:rFonts w:ascii="Times New Roman" w:cs="Times New Roman" w:eastAsia="Times New Roman" w:hAnsi="Times New Roman"/>
          <w:sz w:val="16"/>
          <w:szCs w:val="16"/>
          <w:color w:val="auto"/>
        </w:rPr>
      </w:pPr>
    </w:p>
    <w:p>
      <w:pPr>
        <w:ind w:left="1000" w:hanging="439"/>
        <w:spacing w:after="0"/>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w:t>
      </w:r>
    </w:p>
    <w:p>
      <w:pPr>
        <w:spacing w:after="0" w:line="204" w:lineRule="exact"/>
        <w:rPr>
          <w:sz w:val="20"/>
          <w:szCs w:val="20"/>
          <w:color w:val="auto"/>
        </w:rPr>
      </w:pPr>
    </w:p>
    <w:p>
      <w:pPr>
        <w:ind w:right="280" w:firstLine="450"/>
        <w:spacing w:after="0" w:line="270" w:lineRule="auto"/>
        <w:rPr>
          <w:sz w:val="20"/>
          <w:szCs w:val="20"/>
          <w:color w:val="auto"/>
        </w:rPr>
      </w:pPr>
      <w:r>
        <w:rPr>
          <w:rFonts w:ascii="Times New Roman" w:cs="Times New Roman" w:eastAsia="Times New Roman" w:hAnsi="Times New Roman"/>
          <w:sz w:val="17"/>
          <w:szCs w:val="17"/>
          <w:color w:val="auto"/>
        </w:rPr>
        <w:t>A “Non-U.S. stockholder” is a beneficial owner of shares of our common stock that is neither a U.S. stockholder nor a partnership for U.S. federal income tax purposes.</w:t>
      </w:r>
    </w:p>
    <w:p>
      <w:pPr>
        <w:spacing w:after="0" w:line="159" w:lineRule="exact"/>
        <w:rPr>
          <w:sz w:val="20"/>
          <w:szCs w:val="20"/>
          <w:color w:val="auto"/>
        </w:rPr>
      </w:pPr>
    </w:p>
    <w:p>
      <w:pPr>
        <w:ind w:right="120" w:firstLine="450"/>
        <w:spacing w:after="0" w:line="281" w:lineRule="auto"/>
        <w:rPr>
          <w:sz w:val="20"/>
          <w:szCs w:val="20"/>
          <w:color w:val="auto"/>
        </w:rPr>
      </w:pPr>
      <w:r>
        <w:rPr>
          <w:rFonts w:ascii="Times New Roman" w:cs="Times New Roman" w:eastAsia="Times New Roman" w:hAnsi="Times New Roman"/>
          <w:sz w:val="16"/>
          <w:szCs w:val="16"/>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52"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17"/>
          <w:szCs w:val="17"/>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 in Connection with Holding Securities other than our Common Stock</w:t>
      </w:r>
    </w:p>
    <w:p>
      <w:pPr>
        <w:spacing w:after="0" w:line="108"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240"/>
          </w:cols>
          <w:pgMar w:left="320" w:top="28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3755" cy="52070"/>
                    </a:xfrm>
                    <a:prstGeom prst="rect">
                      <a:avLst/>
                    </a:prstGeom>
                    <a:noFill/>
                  </pic:spPr>
                </pic:pic>
              </a:graphicData>
            </a:graphic>
          </wp:anchor>
        </w:drawing>
        <w:t>Election to be Treated as a RIC</w:t>
      </w:r>
    </w:p>
    <w:p>
      <w:pPr>
        <w:spacing w:after="0" w:line="108" w:lineRule="exact"/>
        <w:rPr>
          <w:sz w:val="20"/>
          <w:szCs w:val="20"/>
          <w:color w:val="auto"/>
        </w:rPr>
      </w:pPr>
    </w:p>
    <w:p>
      <w:pPr>
        <w:ind w:right="40" w:firstLine="450"/>
        <w:spacing w:after="0" w:line="270" w:lineRule="auto"/>
        <w:rPr>
          <w:sz w:val="20"/>
          <w:szCs w:val="20"/>
          <w:color w:val="auto"/>
        </w:rPr>
      </w:pPr>
      <w:r>
        <w:rPr>
          <w:rFonts w:ascii="Times New Roman" w:cs="Times New Roman" w:eastAsia="Times New Roman" w:hAnsi="Times New Roman"/>
          <w:sz w:val="16"/>
          <w:szCs w:val="16"/>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order to qualify as a RIC for federal income tax purposes, we must:</w:t>
      </w:r>
    </w:p>
    <w:p>
      <w:pPr>
        <w:spacing w:after="0" w:line="116" w:lineRule="exact"/>
        <w:rPr>
          <w:sz w:val="20"/>
          <w:szCs w:val="20"/>
          <w:color w:val="auto"/>
        </w:rPr>
      </w:pPr>
    </w:p>
    <w:p>
      <w:pPr>
        <w:ind w:left="1000" w:hanging="439"/>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 election to be treated as a BDC under the 1940 Act at all times during each taxable year;</w:t>
      </w:r>
    </w:p>
    <w:p>
      <w:pPr>
        <w:spacing w:after="0" w:line="116" w:lineRule="exact"/>
        <w:rPr>
          <w:rFonts w:ascii="Times New Roman" w:cs="Times New Roman" w:eastAsia="Times New Roman" w:hAnsi="Times New Roman"/>
          <w:sz w:val="17"/>
          <w:szCs w:val="17"/>
          <w:color w:val="auto"/>
        </w:rPr>
      </w:pPr>
    </w:p>
    <w:p>
      <w:pPr>
        <w:jc w:val="both"/>
        <w:ind w:left="1000" w:right="260" w:hanging="439"/>
        <w:spacing w:after="0" w:line="257"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2"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diversify our holdings, or the Diversification Tests, so that at the end of each quarter of the taxable year:</w:t>
      </w:r>
    </w:p>
    <w:p>
      <w:pPr>
        <w:spacing w:after="0" w:line="116" w:lineRule="exact"/>
        <w:rPr>
          <w:rFonts w:ascii="Times New Roman" w:cs="Times New Roman" w:eastAsia="Times New Roman" w:hAnsi="Times New Roman"/>
          <w:sz w:val="17"/>
          <w:szCs w:val="17"/>
          <w:color w:val="auto"/>
        </w:rPr>
      </w:pPr>
    </w:p>
    <w:p>
      <w:pPr>
        <w:ind w:left="1460" w:right="100" w:hanging="450"/>
        <w:spacing w:after="0" w:line="257" w:lineRule="auto"/>
        <w:tabs>
          <w:tab w:leader="none" w:pos="146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2" w:lineRule="exact"/>
        <w:rPr>
          <w:rFonts w:ascii="Times New Roman" w:cs="Times New Roman" w:eastAsia="Times New Roman" w:hAnsi="Times New Roman"/>
          <w:sz w:val="17"/>
          <w:szCs w:val="17"/>
          <w:color w:val="auto"/>
        </w:rPr>
      </w:pPr>
    </w:p>
    <w:p>
      <w:pPr>
        <w:jc w:val="both"/>
        <w:ind w:left="1460" w:right="140" w:hanging="450"/>
        <w:spacing w:after="0" w:line="257" w:lineRule="auto"/>
        <w:tabs>
          <w:tab w:leader="none" w:pos="146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0"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6"/>
          <w:szCs w:val="16"/>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64" w:lineRule="exact"/>
        <w:rPr>
          <w:sz w:val="20"/>
          <w:szCs w:val="20"/>
          <w:color w:val="auto"/>
        </w:rPr>
      </w:pPr>
    </w:p>
    <w:p>
      <w:pPr>
        <w:ind w:right="20" w:firstLine="450"/>
        <w:spacing w:after="0" w:line="251" w:lineRule="auto"/>
        <w:rPr>
          <w:sz w:val="20"/>
          <w:szCs w:val="20"/>
          <w:color w:val="auto"/>
        </w:rPr>
      </w:pPr>
      <w:r>
        <w:rPr>
          <w:rFonts w:ascii="Times New Roman" w:cs="Times New Roman" w:eastAsia="Times New Roman" w:hAnsi="Times New Roman"/>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1240"/>
          </w:cols>
          <w:pgMar w:left="320" w:top="281" w:right="339" w:bottom="1440" w:gutter="0" w:footer="0" w:header="0"/>
        </w:sectPr>
      </w:pPr>
    </w:p>
    <w:bookmarkStart w:id="72" w:name="page73"/>
    <w:bookmarkEnd w:id="72"/>
    <w:p>
      <w:pPr>
        <w:ind w:firstLine="45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3755" cy="52070"/>
                    </a:xfrm>
                    <a:prstGeom prst="rect">
                      <a:avLst/>
                    </a:prstGeom>
                    <a:noFill/>
                  </pic:spPr>
                </pic:pic>
              </a:graphicData>
            </a:graphic>
          </wp:anchor>
        </w:drawing>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 as a RIC</w:t>
      </w:r>
    </w:p>
    <w:p>
      <w:pPr>
        <w:spacing w:after="0" w:line="108" w:lineRule="exact"/>
        <w:rPr>
          <w:sz w:val="20"/>
          <w:szCs w:val="20"/>
          <w:color w:val="auto"/>
        </w:rPr>
      </w:pPr>
    </w:p>
    <w:p>
      <w:pPr>
        <w:ind w:right="240" w:firstLine="450"/>
        <w:spacing w:after="0" w:line="251" w:lineRule="auto"/>
        <w:rPr>
          <w:sz w:val="20"/>
          <w:szCs w:val="20"/>
          <w:color w:val="auto"/>
        </w:rPr>
      </w:pPr>
      <w:r>
        <w:rPr>
          <w:rFonts w:ascii="Times New Roman" w:cs="Times New Roman" w:eastAsia="Times New Roman" w:hAnsi="Times New Roman"/>
          <w:sz w:val="17"/>
          <w:szCs w:val="17"/>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75"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5" w:lineRule="exact"/>
        <w:rPr>
          <w:sz w:val="20"/>
          <w:szCs w:val="20"/>
          <w:color w:val="auto"/>
        </w:rPr>
      </w:pPr>
    </w:p>
    <w:p>
      <w:pPr>
        <w:ind w:right="80" w:firstLine="450"/>
        <w:spacing w:after="0" w:line="251" w:lineRule="auto"/>
        <w:rPr>
          <w:sz w:val="20"/>
          <w:szCs w:val="20"/>
          <w:color w:val="auto"/>
        </w:rPr>
      </w:pPr>
      <w:r>
        <w:rPr>
          <w:rFonts w:ascii="Times New Roman" w:cs="Times New Roman" w:eastAsia="Times New Roman" w:hAnsi="Times New Roman"/>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5"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7"/>
          <w:szCs w:val="17"/>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180" w:lineRule="exact"/>
        <w:rPr>
          <w:sz w:val="20"/>
          <w:szCs w:val="20"/>
          <w:color w:val="auto"/>
        </w:rPr>
      </w:pPr>
    </w:p>
    <w:p>
      <w:pPr>
        <w:ind w:right="20" w:firstLine="450"/>
        <w:spacing w:after="0" w:line="251" w:lineRule="auto"/>
        <w:rPr>
          <w:sz w:val="20"/>
          <w:szCs w:val="20"/>
          <w:color w:val="auto"/>
        </w:rPr>
      </w:pPr>
      <w:r>
        <w:rPr>
          <w:rFonts w:ascii="Times New Roman" w:cs="Times New Roman" w:eastAsia="Times New Roman" w:hAnsi="Times New Roman"/>
          <w:sz w:val="17"/>
          <w:szCs w:val="17"/>
          <w:color w:val="auto"/>
        </w:rPr>
        <w:t>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1220"/>
          </w:cols>
          <w:pgMar w:left="320" w:top="285" w:right="359" w:bottom="1440" w:gutter="0" w:footer="0" w:header="0"/>
        </w:sectPr>
      </w:pPr>
    </w:p>
    <w:bookmarkStart w:id="73" w:name="page74"/>
    <w:bookmarkEnd w:id="73"/>
    <w:p>
      <w:pPr>
        <w:ind w:right="40" w:firstLine="450"/>
        <w:spacing w:after="0" w:line="24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3755" cy="52070"/>
                    </a:xfrm>
                    <a:prstGeom prst="rect">
                      <a:avLst/>
                    </a:prstGeom>
                    <a:noFill/>
                  </pic:spPr>
                </pic:pic>
              </a:graphicData>
            </a:graphic>
          </wp:anchor>
        </w:drawing>
        <w:t>Certain of our investment practices may be subject to special and complex U.S. federal income tax provisions that may, among other things, (a) 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non-qualified dividend income, (g) 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80" w:lineRule="exact"/>
        <w:rPr>
          <w:sz w:val="20"/>
          <w:szCs w:val="20"/>
          <w:color w:val="auto"/>
        </w:rPr>
      </w:pPr>
    </w:p>
    <w:p>
      <w:pPr>
        <w:ind w:right="380" w:firstLine="450"/>
        <w:spacing w:after="0" w:line="270" w:lineRule="auto"/>
        <w:rPr>
          <w:sz w:val="20"/>
          <w:szCs w:val="20"/>
          <w:color w:val="auto"/>
        </w:rPr>
      </w:pPr>
      <w:r>
        <w:rPr>
          <w:rFonts w:ascii="Times New Roman" w:cs="Times New Roman" w:eastAsia="Times New Roman" w:hAnsi="Times New Roman"/>
          <w:sz w:val="17"/>
          <w:szCs w:val="17"/>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59" w:lineRule="exact"/>
        <w:rPr>
          <w:sz w:val="20"/>
          <w:szCs w:val="20"/>
          <w:color w:val="auto"/>
        </w:rPr>
      </w:pPr>
    </w:p>
    <w:p>
      <w:pPr>
        <w:ind w:firstLine="450"/>
        <w:spacing w:after="0" w:line="270" w:lineRule="auto"/>
        <w:rPr>
          <w:sz w:val="20"/>
          <w:szCs w:val="20"/>
          <w:color w:val="auto"/>
        </w:rPr>
      </w:pPr>
      <w:r>
        <w:rPr>
          <w:rFonts w:ascii="Times New Roman" w:cs="Times New Roman" w:eastAsia="Times New Roman" w:hAnsi="Times New Roman"/>
          <w:sz w:val="16"/>
          <w:szCs w:val="16"/>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62" w:lineRule="exact"/>
        <w:rPr>
          <w:sz w:val="20"/>
          <w:szCs w:val="20"/>
          <w:color w:val="auto"/>
        </w:rPr>
      </w:pPr>
    </w:p>
    <w:p>
      <w:pPr>
        <w:ind w:right="60" w:firstLine="450"/>
        <w:spacing w:after="0" w:line="251" w:lineRule="auto"/>
        <w:rPr>
          <w:sz w:val="20"/>
          <w:szCs w:val="20"/>
          <w:color w:val="auto"/>
        </w:rPr>
      </w:pPr>
      <w:r>
        <w:rPr>
          <w:rFonts w:ascii="Times New Roman" w:cs="Times New Roman" w:eastAsia="Times New Roman" w:hAnsi="Times New Roman"/>
          <w:sz w:val="17"/>
          <w:szCs w:val="17"/>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7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7"/>
          <w:szCs w:val="17"/>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the distributions we receive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1240"/>
          </w:cols>
          <w:pgMar w:left="320" w:top="285" w:right="339" w:bottom="1440" w:gutter="0" w:footer="0" w:header="0"/>
        </w:sectPr>
      </w:pPr>
    </w:p>
    <w:bookmarkStart w:id="74" w:name="page75"/>
    <w:bookmarkEnd w:id="74"/>
    <w:p>
      <w:pPr>
        <w:ind w:right="40" w:firstLine="450"/>
        <w:spacing w:after="0" w:line="24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3755" cy="52070"/>
                    </a:xfrm>
                    <a:prstGeom prst="rect">
                      <a:avLst/>
                    </a:prstGeom>
                    <a:noFill/>
                  </pic:spPr>
                </pic:pic>
              </a:graphicData>
            </a:graphic>
          </wp:anchor>
        </w:drawing>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77"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7"/>
          <w:szCs w:val="17"/>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75" w:lineRule="exact"/>
        <w:rPr>
          <w:sz w:val="20"/>
          <w:szCs w:val="20"/>
          <w:color w:val="auto"/>
        </w:rPr>
      </w:pPr>
    </w:p>
    <w:p>
      <w:pPr>
        <w:ind w:right="80" w:firstLine="450"/>
        <w:spacing w:after="0" w:line="264" w:lineRule="auto"/>
        <w:rPr>
          <w:sz w:val="20"/>
          <w:szCs w:val="20"/>
          <w:color w:val="auto"/>
        </w:rPr>
      </w:pPr>
      <w:r>
        <w:rPr>
          <w:rFonts w:ascii="Times New Roman" w:cs="Times New Roman" w:eastAsia="Times New Roman" w:hAnsi="Times New Roman"/>
          <w:sz w:val="16"/>
          <w:szCs w:val="16"/>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68" w:lineRule="exact"/>
        <w:rPr>
          <w:sz w:val="20"/>
          <w:szCs w:val="20"/>
          <w:color w:val="auto"/>
        </w:rPr>
      </w:pPr>
    </w:p>
    <w:p>
      <w:pPr>
        <w:ind w:right="20" w:firstLine="450"/>
        <w:spacing w:after="0" w:line="268" w:lineRule="auto"/>
        <w:rPr>
          <w:sz w:val="20"/>
          <w:szCs w:val="20"/>
          <w:color w:val="auto"/>
        </w:rPr>
      </w:pPr>
      <w:r>
        <w:rPr>
          <w:rFonts w:ascii="Times New Roman" w:cs="Times New Roman" w:eastAsia="Times New Roman" w:hAnsi="Times New Roman"/>
          <w:sz w:val="16"/>
          <w:szCs w:val="16"/>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indefinitely, and use them to offset future capital gains to the extent permitted by the Code. Further, our deduction of net business interest expense is generally limited to 30% of our “adjusted taxable income” plus “floor plan financing interest expense.”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1240"/>
          </w:cols>
          <w:pgMar w:left="320" w:top="28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3755" cy="52070"/>
                    </a:xfrm>
                    <a:prstGeom prst="rect">
                      <a:avLst/>
                    </a:prstGeom>
                    <a:noFill/>
                  </pic:spPr>
                </pic:pic>
              </a:graphicData>
            </a:graphic>
          </wp:anchor>
        </w:drawing>
        <w:t>Failure to Qualify as a RIC</w:t>
      </w:r>
    </w:p>
    <w:p>
      <w:pPr>
        <w:spacing w:after="0" w:line="108" w:lineRule="exact"/>
        <w:rPr>
          <w:sz w:val="20"/>
          <w:szCs w:val="20"/>
          <w:color w:val="auto"/>
        </w:rPr>
      </w:pPr>
    </w:p>
    <w:p>
      <w:pPr>
        <w:ind w:right="80" w:firstLine="450"/>
        <w:spacing w:after="0" w:line="251" w:lineRule="auto"/>
        <w:rPr>
          <w:sz w:val="20"/>
          <w:szCs w:val="20"/>
          <w:color w:val="auto"/>
        </w:rPr>
      </w:pPr>
      <w:r>
        <w:rPr>
          <w:rFonts w:ascii="Times New Roman" w:cs="Times New Roman" w:eastAsia="Times New Roman" w:hAnsi="Times New Roman"/>
          <w:sz w:val="17"/>
          <w:szCs w:val="17"/>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75" w:lineRule="exact"/>
        <w:rPr>
          <w:sz w:val="20"/>
          <w:szCs w:val="20"/>
          <w:color w:val="auto"/>
        </w:rPr>
      </w:pPr>
    </w:p>
    <w:p>
      <w:pPr>
        <w:ind w:right="60" w:firstLine="450"/>
        <w:spacing w:after="0" w:line="264" w:lineRule="auto"/>
        <w:rPr>
          <w:sz w:val="20"/>
          <w:szCs w:val="20"/>
          <w:color w:val="auto"/>
        </w:rPr>
      </w:pPr>
      <w:r>
        <w:rPr>
          <w:rFonts w:ascii="Times New Roman" w:cs="Times New Roman" w:eastAsia="Times New Roman" w:hAnsi="Times New Roman"/>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remainder of this discussion assumes that we qualify as a RIC and have satisfied the Annual Distribution Requirement.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 of U.S. Stockholders</w:t>
      </w:r>
    </w:p>
    <w:p>
      <w:pPr>
        <w:spacing w:after="0" w:line="108"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7"/>
          <w:szCs w:val="17"/>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177"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17"/>
          <w:szCs w:val="17"/>
          <w:color w:val="auto"/>
        </w:rPr>
        <w:t>To the extent distributions paid by us to non-corporate stockholders (including individuals) are attributable to dividends from U.S. corporations and certain qualified foreign corporations and are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1240"/>
          </w:cols>
          <w:pgMar w:left="320" w:top="281" w:right="339" w:bottom="1440" w:gutter="0" w:footer="0" w:header="0"/>
        </w:sectPr>
      </w:pPr>
    </w:p>
    <w:bookmarkStart w:id="76" w:name="page77"/>
    <w:bookmarkEnd w:id="76"/>
    <w:p>
      <w:pPr>
        <w:ind w:right="100" w:firstLine="45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755" cy="52070"/>
                    </a:xfrm>
                    <a:prstGeom prst="rect">
                      <a:avLst/>
                    </a:prstGeom>
                    <a:noFill/>
                  </pic:spPr>
                </pic:pic>
              </a:graphicData>
            </a:graphic>
          </wp:anchor>
        </w:drawing>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Distributions out of our current and accumulated earnings and profits will not be eligible for the 20% pass through deduction under Section 199A of the Code.</w:t>
      </w:r>
    </w:p>
    <w:p>
      <w:pPr>
        <w:spacing w:after="0" w:line="204"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7"/>
          <w:szCs w:val="17"/>
          <w:color w:val="auto"/>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75"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7"/>
          <w:szCs w:val="17"/>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0"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7"/>
          <w:szCs w:val="17"/>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75" w:lineRule="exact"/>
        <w:rPr>
          <w:sz w:val="20"/>
          <w:szCs w:val="20"/>
          <w:color w:val="auto"/>
        </w:rPr>
      </w:pPr>
    </w:p>
    <w:p>
      <w:pPr>
        <w:ind w:right="740" w:firstLine="450"/>
        <w:spacing w:after="0" w:line="270" w:lineRule="auto"/>
        <w:rPr>
          <w:sz w:val="20"/>
          <w:szCs w:val="20"/>
          <w:color w:val="auto"/>
        </w:rPr>
      </w:pPr>
      <w:r>
        <w:rPr>
          <w:rFonts w:ascii="Times New Roman" w:cs="Times New Roman" w:eastAsia="Times New Roman" w:hAnsi="Times New Roman"/>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1240"/>
          </w:cols>
          <w:pgMar w:left="320" w:top="285" w:right="339" w:bottom="1440" w:gutter="0" w:footer="0" w:header="0"/>
        </w:sectPr>
      </w:pPr>
    </w:p>
    <w:bookmarkStart w:id="77" w:name="page78"/>
    <w:bookmarkEnd w:id="77"/>
    <w:p>
      <w:pPr>
        <w:jc w:val="both"/>
        <w:ind w:right="140" w:firstLine="450"/>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w:t>
      </w:r>
    </w:p>
    <w:p>
      <w:pPr>
        <w:spacing w:after="0" w:line="173" w:lineRule="exact"/>
        <w:rPr>
          <w:sz w:val="20"/>
          <w:szCs w:val="20"/>
          <w:color w:val="auto"/>
        </w:rPr>
      </w:pPr>
    </w:p>
    <w:p>
      <w:pPr>
        <w:ind w:right="140" w:firstLine="450"/>
        <w:spacing w:after="0" w:line="249" w:lineRule="auto"/>
        <w:rPr>
          <w:sz w:val="20"/>
          <w:szCs w:val="20"/>
          <w:color w:val="auto"/>
        </w:rPr>
      </w:pPr>
      <w:r>
        <w:rPr>
          <w:rFonts w:ascii="Times New Roman" w:cs="Times New Roman" w:eastAsia="Times New Roman" w:hAnsi="Times New Roman"/>
          <w:sz w:val="17"/>
          <w:szCs w:val="17"/>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77"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80" w:lineRule="exact"/>
        <w:rPr>
          <w:sz w:val="20"/>
          <w:szCs w:val="20"/>
          <w:color w:val="auto"/>
        </w:rPr>
      </w:pPr>
    </w:p>
    <w:p>
      <w:pPr>
        <w:ind w:right="260" w:firstLine="450"/>
        <w:spacing w:after="0" w:line="253" w:lineRule="auto"/>
        <w:rPr>
          <w:sz w:val="20"/>
          <w:szCs w:val="20"/>
          <w:color w:val="auto"/>
        </w:rPr>
      </w:pPr>
      <w:r>
        <w:rPr>
          <w:rFonts w:ascii="Times New Roman" w:cs="Times New Roman" w:eastAsia="Times New Roman" w:hAnsi="Times New Roman"/>
          <w:sz w:val="17"/>
          <w:szCs w:val="17"/>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73"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7"/>
          <w:szCs w:val="17"/>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77"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1240"/>
          </w:cols>
          <w:pgMar w:left="320" w:top="28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3755" cy="52070"/>
                    </a:xfrm>
                    <a:prstGeom prst="rect">
                      <a:avLst/>
                    </a:prstGeom>
                    <a:noFill/>
                  </pic:spPr>
                </pic:pic>
              </a:graphicData>
            </a:graphic>
          </wp:anchor>
        </w:drawing>
        <w:t>preferential rate). Distributions may also be subject to additional state, local and foreign taxes depending on a U.S. stockholder’s particular situation.</w:t>
      </w:r>
    </w:p>
    <w:p>
      <w:pPr>
        <w:spacing w:after="0" w:line="204" w:lineRule="exact"/>
        <w:rPr>
          <w:sz w:val="20"/>
          <w:szCs w:val="20"/>
          <w:color w:val="auto"/>
        </w:rPr>
      </w:pPr>
    </w:p>
    <w:p>
      <w:pPr>
        <w:ind w:right="140" w:firstLine="450"/>
        <w:spacing w:after="0" w:line="302" w:lineRule="auto"/>
        <w:rPr>
          <w:sz w:val="20"/>
          <w:szCs w:val="20"/>
          <w:color w:val="auto"/>
        </w:rPr>
      </w:pPr>
      <w:r>
        <w:rPr>
          <w:rFonts w:ascii="Times New Roman" w:cs="Times New Roman" w:eastAsia="Times New Roman" w:hAnsi="Times New Roman"/>
          <w:sz w:val="16"/>
          <w:szCs w:val="16"/>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36"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7"/>
          <w:szCs w:val="17"/>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 of Tax-Exempt U.S. Stockholders</w:t>
      </w:r>
    </w:p>
    <w:p>
      <w:pPr>
        <w:spacing w:after="0" w:line="108"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 of Non-U.S. Stockholders</w:t>
      </w:r>
    </w:p>
    <w:p>
      <w:pPr>
        <w:spacing w:after="0" w:line="108" w:lineRule="exact"/>
        <w:rPr>
          <w:sz w:val="20"/>
          <w:szCs w:val="20"/>
          <w:color w:val="auto"/>
        </w:rPr>
      </w:pPr>
    </w:p>
    <w:p>
      <w:pPr>
        <w:ind w:right="180" w:firstLine="450"/>
        <w:spacing w:after="0" w:line="302" w:lineRule="auto"/>
        <w:rPr>
          <w:sz w:val="20"/>
          <w:szCs w:val="20"/>
          <w:color w:val="auto"/>
        </w:rPr>
      </w:pPr>
      <w:r>
        <w:rPr>
          <w:rFonts w:ascii="Times New Roman" w:cs="Times New Roman" w:eastAsia="Times New Roman" w:hAnsi="Times New Roman"/>
          <w:sz w:val="16"/>
          <w:szCs w:val="16"/>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6" w:lineRule="exact"/>
        <w:rPr>
          <w:sz w:val="20"/>
          <w:szCs w:val="20"/>
          <w:color w:val="auto"/>
        </w:rPr>
      </w:pPr>
    </w:p>
    <w:p>
      <w:pPr>
        <w:ind w:right="80" w:firstLine="450"/>
        <w:spacing w:after="0" w:line="274" w:lineRule="auto"/>
        <w:rPr>
          <w:sz w:val="20"/>
          <w:szCs w:val="20"/>
          <w:color w:val="auto"/>
        </w:rPr>
      </w:pPr>
      <w:r>
        <w:rPr>
          <w:rFonts w:ascii="Times New Roman" w:cs="Times New Roman" w:eastAsia="Times New Roman" w:hAnsi="Times New Roman"/>
          <w:sz w:val="16"/>
          <w:szCs w:val="16"/>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1240"/>
          </w:cols>
          <w:pgMar w:left="320" w:top="285" w:right="339" w:bottom="1440" w:gutter="0" w:footer="0" w:header="0"/>
        </w:sectPr>
      </w:pPr>
    </w:p>
    <w:bookmarkStart w:id="79" w:name="page80"/>
    <w:bookmarkEnd w:id="79"/>
    <w:p>
      <w:pPr>
        <w:ind w:right="60"/>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3755" cy="52070"/>
                    </a:xfrm>
                    <a:prstGeom prst="rect">
                      <a:avLst/>
                    </a:prstGeom>
                    <a:noFill/>
                  </pic:spPr>
                </pic:pic>
              </a:graphicData>
            </a:graphic>
          </wp:anchor>
        </w:drawing>
        <w:t>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70"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7"/>
          <w:szCs w:val="17"/>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75" w:lineRule="exact"/>
        <w:rPr>
          <w:sz w:val="20"/>
          <w:szCs w:val="20"/>
          <w:color w:val="auto"/>
        </w:rPr>
      </w:pPr>
    </w:p>
    <w:p>
      <w:pPr>
        <w:ind w:right="20" w:firstLine="450"/>
        <w:spacing w:after="0" w:line="270" w:lineRule="auto"/>
        <w:rPr>
          <w:sz w:val="20"/>
          <w:szCs w:val="20"/>
          <w:color w:val="auto"/>
        </w:rPr>
      </w:pPr>
      <w:r>
        <w:rPr>
          <w:rFonts w:ascii="Times New Roman" w:cs="Times New Roman" w:eastAsia="Times New Roman" w:hAnsi="Times New Roman"/>
          <w:sz w:val="16"/>
          <w:szCs w:val="16"/>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62" w:lineRule="exact"/>
        <w:rPr>
          <w:sz w:val="20"/>
          <w:szCs w:val="20"/>
          <w:color w:val="auto"/>
        </w:rPr>
      </w:pPr>
    </w:p>
    <w:p>
      <w:pPr>
        <w:ind w:right="100" w:firstLine="450"/>
        <w:spacing w:after="0" w:line="270" w:lineRule="auto"/>
        <w:rPr>
          <w:sz w:val="20"/>
          <w:szCs w:val="20"/>
          <w:color w:val="auto"/>
        </w:rPr>
      </w:pPr>
      <w:r>
        <w:rPr>
          <w:rFonts w:ascii="Times New Roman" w:cs="Times New Roman" w:eastAsia="Times New Roman" w:hAnsi="Times New Roman"/>
          <w:sz w:val="16"/>
          <w:szCs w:val="16"/>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62"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7" w:lineRule="exact"/>
        <w:rPr>
          <w:sz w:val="20"/>
          <w:szCs w:val="20"/>
          <w:color w:val="auto"/>
        </w:rPr>
      </w:pPr>
    </w:p>
    <w:p>
      <w:pPr>
        <w:ind w:right="180" w:firstLine="450"/>
        <w:spacing w:after="0" w:line="250" w:lineRule="auto"/>
        <w:rPr>
          <w:sz w:val="20"/>
          <w:szCs w:val="20"/>
          <w:color w:val="auto"/>
        </w:rPr>
      </w:pPr>
      <w:r>
        <w:rPr>
          <w:rFonts w:ascii="Times New Roman" w:cs="Times New Roman" w:eastAsia="Times New Roman" w:hAnsi="Times New Roman"/>
          <w:sz w:val="17"/>
          <w:szCs w:val="17"/>
          <w:color w:val="auto"/>
        </w:rPr>
        <w:t>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1240"/>
          </w:cols>
          <w:pgMar w:left="320" w:top="285" w:right="339" w:bottom="1440" w:gutter="0" w:footer="0" w:header="0"/>
        </w:sectPr>
      </w:pPr>
    </w:p>
    <w:bookmarkStart w:id="80" w:name="page81"/>
    <w:bookmarkEnd w:id="80"/>
    <w:p>
      <w:pPr>
        <w:ind w:firstLine="450"/>
        <w:spacing w:after="0" w:line="25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3755" cy="52070"/>
                    </a:xfrm>
                    <a:prstGeom prst="rect">
                      <a:avLst/>
                    </a:prstGeom>
                    <a:noFill/>
                  </pic:spPr>
                </pic:pic>
              </a:graphicData>
            </a:graphic>
          </wp:anchor>
        </w:drawing>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Non-U.S. stockholders may also be subject to U.S. estate tax with respect to their investment in our common shares.</w:t>
      </w:r>
    </w:p>
    <w:p>
      <w:pPr>
        <w:spacing w:after="0" w:line="204" w:lineRule="exact"/>
        <w:rPr>
          <w:sz w:val="20"/>
          <w:szCs w:val="20"/>
          <w:color w:val="auto"/>
        </w:rPr>
      </w:pPr>
    </w:p>
    <w:p>
      <w:pPr>
        <w:ind w:right="620" w:firstLine="450"/>
        <w:spacing w:after="0" w:line="270" w:lineRule="auto"/>
        <w:rPr>
          <w:sz w:val="20"/>
          <w:szCs w:val="20"/>
          <w:color w:val="auto"/>
        </w:rPr>
      </w:pPr>
      <w:r>
        <w:rPr>
          <w:rFonts w:ascii="Times New Roman" w:cs="Times New Roman" w:eastAsia="Times New Roman" w:hAnsi="Times New Roman"/>
          <w:sz w:val="17"/>
          <w:szCs w:val="17"/>
          <w:color w:val="auto"/>
        </w:rPr>
        <w:t>Non-U.S. persons should consult their own tax advisors with respect to the U.S. federal income tax and withholding tax, and state, local and foreign tax consequences of an investment in the shares.</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1160"/>
          </w:cols>
          <w:pgMar w:left="320" w:top="285" w:right="4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3755" cy="52070"/>
                    </a:xfrm>
                    <a:prstGeom prst="rect">
                      <a:avLst/>
                    </a:prstGeom>
                    <a:noFill/>
                  </pic:spPr>
                </pic:pic>
              </a:graphicData>
            </a:graphic>
          </wp:anchor>
        </w:drawing>
        <w:t>PLAN OF DISTRIBUTION</w:t>
      </w:r>
    </w:p>
    <w:p>
      <w:pPr>
        <w:spacing w:after="0" w:line="208"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7"/>
          <w:szCs w:val="17"/>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83" w:lineRule="exact"/>
        <w:rPr>
          <w:sz w:val="20"/>
          <w:szCs w:val="20"/>
          <w:color w:val="auto"/>
        </w:rPr>
      </w:pPr>
    </w:p>
    <w:p>
      <w:pPr>
        <w:ind w:left="1000" w:hanging="439"/>
        <w:spacing w:after="0"/>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any underwriters, dealers or agents and the amounts of securities underwritten or purchased by each of them;</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 price of the securities and the proceeds to us and any discounts, commissions or concessions allowed or reallowed or paid to dealers; and</w:t>
      </w:r>
    </w:p>
    <w:p>
      <w:pPr>
        <w:spacing w:after="0" w:line="116"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exchanges on which the securities may be listed.</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Any offering price and any discounts or concessions allowed or reallowed or paid to dealers may be changed from time to time.</w:t>
      </w:r>
    </w:p>
    <w:p>
      <w:pPr>
        <w:spacing w:after="0" w:line="204" w:lineRule="exact"/>
        <w:rPr>
          <w:sz w:val="20"/>
          <w:szCs w:val="20"/>
          <w:color w:val="auto"/>
        </w:rPr>
      </w:pPr>
    </w:p>
    <w:p>
      <w:pPr>
        <w:ind w:right="140" w:firstLine="450"/>
        <w:spacing w:after="0" w:line="257" w:lineRule="auto"/>
        <w:rPr>
          <w:sz w:val="20"/>
          <w:szCs w:val="20"/>
          <w:color w:val="auto"/>
        </w:rPr>
      </w:pPr>
      <w:r>
        <w:rPr>
          <w:rFonts w:ascii="Times New Roman" w:cs="Times New Roman" w:eastAsia="Times New Roman" w:hAnsi="Times New Roman"/>
          <w:sz w:val="17"/>
          <w:szCs w:val="17"/>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70" w:lineRule="exact"/>
        <w:rPr>
          <w:sz w:val="20"/>
          <w:szCs w:val="20"/>
          <w:color w:val="auto"/>
        </w:rPr>
      </w:pPr>
    </w:p>
    <w:p>
      <w:pPr>
        <w:ind w:right="20" w:firstLine="450"/>
        <w:spacing w:after="0" w:line="251" w:lineRule="auto"/>
        <w:rPr>
          <w:sz w:val="20"/>
          <w:szCs w:val="20"/>
          <w:color w:val="auto"/>
        </w:rPr>
      </w:pPr>
      <w:r>
        <w:rPr>
          <w:rFonts w:ascii="Times New Roman" w:cs="Times New Roman" w:eastAsia="Times New Roman" w:hAnsi="Times New Roman"/>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5" w:lineRule="exact"/>
        <w:rPr>
          <w:sz w:val="20"/>
          <w:szCs w:val="20"/>
          <w:color w:val="auto"/>
        </w:rPr>
      </w:pPr>
    </w:p>
    <w:p>
      <w:pPr>
        <w:jc w:val="both"/>
        <w:ind w:right="120" w:firstLine="450"/>
        <w:spacing w:after="0" w:line="257" w:lineRule="auto"/>
        <w:rPr>
          <w:sz w:val="20"/>
          <w:szCs w:val="20"/>
          <w:color w:val="auto"/>
        </w:rPr>
      </w:pPr>
      <w:r>
        <w:rPr>
          <w:rFonts w:ascii="Times New Roman" w:cs="Times New Roman" w:eastAsia="Times New Roman" w:hAnsi="Times New Roman"/>
          <w:sz w:val="17"/>
          <w:szCs w:val="17"/>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70" w:lineRule="exact"/>
        <w:rPr>
          <w:sz w:val="20"/>
          <w:szCs w:val="20"/>
          <w:color w:val="auto"/>
        </w:rPr>
      </w:pPr>
    </w:p>
    <w:p>
      <w:pPr>
        <w:ind w:firstLine="450"/>
        <w:spacing w:after="0" w:line="270" w:lineRule="auto"/>
        <w:rPr>
          <w:sz w:val="20"/>
          <w:szCs w:val="20"/>
          <w:color w:val="auto"/>
        </w:rPr>
      </w:pPr>
      <w:r>
        <w:rPr>
          <w:rFonts w:ascii="Times New Roman" w:cs="Times New Roman" w:eastAsia="Times New Roman" w:hAnsi="Times New Roman"/>
          <w:sz w:val="17"/>
          <w:szCs w:val="17"/>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59" w:lineRule="exact"/>
        <w:rPr>
          <w:sz w:val="20"/>
          <w:szCs w:val="20"/>
          <w:color w:val="auto"/>
        </w:rPr>
      </w:pPr>
    </w:p>
    <w:p>
      <w:pPr>
        <w:ind w:right="40" w:firstLine="450"/>
        <w:spacing w:after="0" w:line="281" w:lineRule="auto"/>
        <w:rPr>
          <w:sz w:val="20"/>
          <w:szCs w:val="20"/>
          <w:color w:val="auto"/>
        </w:rPr>
      </w:pPr>
      <w:r>
        <w:rPr>
          <w:rFonts w:ascii="Times New Roman" w:cs="Times New Roman" w:eastAsia="Times New Roman" w:hAnsi="Times New Roman"/>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52"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7"/>
          <w:szCs w:val="17"/>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1240"/>
          </w:cols>
          <w:pgMar w:left="320" w:top="281" w:right="339" w:bottom="1440" w:gutter="0" w:footer="0" w:header="0"/>
        </w:sectPr>
      </w:pPr>
    </w:p>
    <w:bookmarkStart w:id="82" w:name="page83"/>
    <w:bookmarkEnd w:id="82"/>
    <w:p>
      <w:pPr>
        <w:ind w:firstLine="450"/>
        <w:spacing w:after="0" w:line="24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755" cy="52070"/>
                    </a:xfrm>
                    <a:prstGeom prst="rect">
                      <a:avLst/>
                    </a:prstGeom>
                    <a:noFill/>
                  </pic:spPr>
                </pic:pic>
              </a:graphicData>
            </a:graphic>
          </wp:anchor>
        </w:drawing>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1200"/>
          </w:cols>
          <w:pgMar w:left="320" w:top="285" w:right="37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755" cy="52070"/>
                    </a:xfrm>
                    <a:prstGeom prst="rect">
                      <a:avLst/>
                    </a:prstGeom>
                    <a:noFill/>
                  </pic:spPr>
                </pic:pic>
              </a:graphicData>
            </a:graphic>
          </wp:anchor>
        </w:drawing>
        <w:t>SUB-ADMINISTRATOR, CUSTODIAN, TRANSFER AGENT AND TRUSTEE</w:t>
      </w:r>
    </w:p>
    <w:p>
      <w:pPr>
        <w:spacing w:after="0" w:line="208"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Equiniti Trust Company, LLC (f/k/a American Stock Transfer &amp; Trust Company, LLC) acts as our transfer agent, distribution paying agent and registrar. Equiniti also serves as trustee under our 2026 Notes. The principal business address of Equiniti is 48 Wall Street, 22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Floor, New York, NY 10005, telephone number: (800) 468-9716.</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08" w:lineRule="exact"/>
        <w:rPr>
          <w:sz w:val="20"/>
          <w:szCs w:val="20"/>
          <w:color w:val="auto"/>
        </w:rPr>
      </w:pPr>
    </w:p>
    <w:p>
      <w:pPr>
        <w:ind w:right="140" w:firstLine="450"/>
        <w:spacing w:after="0" w:line="270" w:lineRule="auto"/>
        <w:rPr>
          <w:sz w:val="20"/>
          <w:szCs w:val="20"/>
          <w:color w:val="auto"/>
        </w:rPr>
      </w:pPr>
      <w:r>
        <w:rPr>
          <w:rFonts w:ascii="Times New Roman" w:cs="Times New Roman" w:eastAsia="Times New Roman" w:hAnsi="Times New Roman"/>
          <w:sz w:val="17"/>
          <w:szCs w:val="17"/>
          <w:color w:val="auto"/>
        </w:rPr>
        <w:t>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208"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7"/>
          <w:szCs w:val="17"/>
          <w:color w:val="auto"/>
        </w:rPr>
        <w:t>The consolidated financial statements of PennantPark Floating Rate Capital Ltd. and Subsidiaries (the Company) as of September 31, 2023 and 2022 and for each of the years in the three-year period ended September 30, 2023 and the effectiveness of internal control over financial reporting as of September 30, 2023 incorporated in this Prospectus by reference from the PennantPark Floating Rate Capital Ltd. Annual Report on Form 10-K for the year ended September 30, 2023 have been audited by RSM US LLP, an independent registered public accounting firm, as stated in their report thereon (which report expresses an unqualified opinion and includes an emphasis of matter paragraph relating to the reclassification of certain amounts presented therewithin of the 2022 and 2021 financial statements), incorporated herein by reference, and have been incorporated in this Prospectus and Registration Statement in reliance upon such report and upon the authority of such firm as experts in accounting and auditing.</w:t>
      </w:r>
    </w:p>
    <w:p>
      <w:pPr>
        <w:spacing w:after="0" w:line="177" w:lineRule="exact"/>
        <w:rPr>
          <w:sz w:val="20"/>
          <w:szCs w:val="20"/>
          <w:color w:val="auto"/>
        </w:rPr>
      </w:pPr>
    </w:p>
    <w:p>
      <w:pPr>
        <w:jc w:val="both"/>
        <w:ind w:right="240" w:firstLine="450"/>
        <w:spacing w:after="0" w:line="257" w:lineRule="auto"/>
        <w:rPr>
          <w:sz w:val="20"/>
          <w:szCs w:val="20"/>
          <w:color w:val="auto"/>
        </w:rPr>
      </w:pPr>
      <w:r>
        <w:rPr>
          <w:rFonts w:ascii="Times New Roman" w:cs="Times New Roman" w:eastAsia="Times New Roman" w:hAnsi="Times New Roman"/>
          <w:sz w:val="17"/>
          <w:szCs w:val="17"/>
          <w:color w:val="auto"/>
        </w:rPr>
        <w:t xml:space="preserve">The report of RSM US LLP dated December 7, 2023, on the effectiveness of internal control over financial reporting as of September 30, 2023, expressed an opinion that PennantPark Floating Rate Capital Ltd. had not maintained effective internal control over financial reporting as of September 30, 2023,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by the Committee of Sponsoring Organizations of the Treadway Commission in 2013.</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INDEPENDENT AUDITOR</w:t>
      </w:r>
    </w:p>
    <w:p>
      <w:pPr>
        <w:spacing w:after="0" w:line="208" w:lineRule="exact"/>
        <w:rPr>
          <w:sz w:val="20"/>
          <w:szCs w:val="20"/>
          <w:color w:val="auto"/>
        </w:rPr>
      </w:pPr>
    </w:p>
    <w:p>
      <w:pPr>
        <w:ind w:right="120" w:firstLine="450"/>
        <w:spacing w:after="0" w:line="253" w:lineRule="auto"/>
        <w:rPr>
          <w:sz w:val="20"/>
          <w:szCs w:val="20"/>
          <w:color w:val="auto"/>
        </w:rPr>
      </w:pPr>
      <w:r>
        <w:rPr>
          <w:rFonts w:ascii="Times New Roman" w:cs="Times New Roman" w:eastAsia="Times New Roman" w:hAnsi="Times New Roman"/>
          <w:sz w:val="17"/>
          <w:szCs w:val="17"/>
          <w:color w:val="auto"/>
        </w:rPr>
        <w:t>The consolidated financial statements of PennantPark Senior Secured Loan Fund I LLC as of September 30, 2023, September 30, 2022 and September 30, 2021 and for the years then ended included as Exhibits 99.3 and 99.4 in our Annual Report on Form 10-K for the fiscal year ended September 30, 2023 have been incorporated herein by reference, and have been incorporated in this Prospectus and Registration Statement in reliance upon such report and upon the authority of such firm as experts in accounting and auditing.</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208" w:lineRule="exact"/>
        <w:rPr>
          <w:sz w:val="20"/>
          <w:szCs w:val="20"/>
          <w:color w:val="auto"/>
        </w:rPr>
      </w:pPr>
    </w:p>
    <w:p>
      <w:pPr>
        <w:ind w:right="380" w:firstLine="450"/>
        <w:spacing w:after="0" w:line="257"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1220"/>
          </w:cols>
          <w:pgMar w:left="320" w:top="281" w:right="359" w:bottom="1440" w:gutter="0" w:footer="0" w:header="0"/>
        </w:sectPr>
      </w:pPr>
    </w:p>
    <w:bookmarkStart w:id="84" w:name="page85"/>
    <w:bookmarkEnd w:id="84"/>
    <w:p>
      <w:pPr>
        <w:ind w:right="40" w:firstLine="450"/>
        <w:spacing w:after="0" w:line="26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755" cy="52070"/>
                    </a:xfrm>
                    <a:prstGeom prst="rect">
                      <a:avLst/>
                    </a:prstGeom>
                    <a:noFill/>
                  </pic:spPr>
                </pic:pic>
              </a:graphicData>
            </a:graphic>
          </wp:anchor>
        </w:drawing>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prospectus and any prospectus supplement incorporates by reference the documents set forth below that have previously been filed with the SEC:</w:t>
      </w:r>
    </w:p>
    <w:p>
      <w:pPr>
        <w:spacing w:after="0" w:line="116" w:lineRule="exact"/>
        <w:rPr>
          <w:sz w:val="20"/>
          <w:szCs w:val="20"/>
          <w:color w:val="auto"/>
        </w:rPr>
      </w:pPr>
    </w:p>
    <w:p>
      <w:pPr>
        <w:ind w:left="1000" w:right="200" w:hanging="439"/>
        <w:spacing w:after="0" w:line="302"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w:t>
      </w:r>
      <w:hyperlink r:id="rId111">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September 30, 2023, accepted on December 7, 2023, including the information specifically incorporated by reference to the Form 10-K from our Definitive Proxy Statement on Schedule 14A filed with the SEC on December 13, 2023;</w:t>
      </w:r>
    </w:p>
    <w:p>
      <w:pPr>
        <w:spacing w:after="0" w:line="48" w:lineRule="exact"/>
        <w:rPr>
          <w:rFonts w:ascii="Times New Roman" w:cs="Times New Roman" w:eastAsia="Times New Roman" w:hAnsi="Times New Roman"/>
          <w:sz w:val="16"/>
          <w:szCs w:val="16"/>
          <w:color w:val="auto"/>
        </w:rPr>
      </w:pPr>
    </w:p>
    <w:p>
      <w:pPr>
        <w:ind w:left="1000" w:right="140" w:hanging="439"/>
        <w:spacing w:after="0" w:line="270" w:lineRule="auto"/>
        <w:tabs>
          <w:tab w:leader="none" w:pos="1000" w:val="left"/>
        </w:tabs>
        <w:numPr>
          <w:ilvl w:val="0"/>
          <w:numId w:val="49"/>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Quarterly Reports on Form 10-Q for the fiscal quarters ended December 31, 2023 and March 31, 2024, filed with the SEC on </w:t>
      </w:r>
      <w:hyperlink r:id="rId112">
        <w:r>
          <w:rPr>
            <w:rFonts w:ascii="Times New Roman" w:cs="Times New Roman" w:eastAsia="Times New Roman" w:hAnsi="Times New Roman"/>
            <w:sz w:val="17"/>
            <w:szCs w:val="17"/>
            <w:u w:val="single" w:color="auto"/>
            <w:color w:val="0000EE"/>
          </w:rPr>
          <w:t>February 7,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113">
        <w:r>
          <w:rPr>
            <w:rFonts w:ascii="Times New Roman" w:cs="Times New Roman" w:eastAsia="Times New Roman" w:hAnsi="Times New Roman"/>
            <w:sz w:val="17"/>
            <w:szCs w:val="17"/>
            <w:u w:val="single" w:color="auto"/>
            <w:color w:val="0000EE"/>
          </w:rPr>
          <w:t>May 8,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respectively;</w:t>
      </w:r>
    </w:p>
    <w:p>
      <w:pPr>
        <w:spacing w:after="0" w:line="71" w:lineRule="exact"/>
        <w:rPr>
          <w:rFonts w:ascii="Times New Roman" w:cs="Times New Roman" w:eastAsia="Times New Roman" w:hAnsi="Times New Roman"/>
          <w:sz w:val="17"/>
          <w:szCs w:val="17"/>
          <w:color w:val="0000EE"/>
        </w:rPr>
      </w:pPr>
    </w:p>
    <w:p>
      <w:pPr>
        <w:ind w:left="1000" w:right="200" w:hanging="439"/>
        <w:spacing w:after="0" w:line="270" w:lineRule="auto"/>
        <w:tabs>
          <w:tab w:leader="none" w:pos="1000" w:val="left"/>
        </w:tabs>
        <w:numPr>
          <w:ilvl w:val="0"/>
          <w:numId w:val="49"/>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filed with the SEC on </w:t>
      </w:r>
      <w:hyperlink r:id="rId114">
        <w:r>
          <w:rPr>
            <w:rFonts w:ascii="Times New Roman" w:cs="Times New Roman" w:eastAsia="Times New Roman" w:hAnsi="Times New Roman"/>
            <w:sz w:val="17"/>
            <w:szCs w:val="17"/>
            <w:u w:val="single" w:color="auto"/>
            <w:color w:val="0000EE"/>
          </w:rPr>
          <w:t>January 12, 2024</w:t>
        </w:r>
      </w:hyperlink>
      <w:r>
        <w:rPr>
          <w:rFonts w:ascii="Times New Roman" w:cs="Times New Roman" w:eastAsia="Times New Roman" w:hAnsi="Times New Roman"/>
          <w:sz w:val="17"/>
          <w:szCs w:val="17"/>
          <w:color w:val="auto"/>
        </w:rPr>
        <w:t xml:space="preserve">, </w:t>
      </w:r>
      <w:hyperlink r:id="rId115">
        <w:r>
          <w:rPr>
            <w:rFonts w:ascii="Times New Roman" w:cs="Times New Roman" w:eastAsia="Times New Roman" w:hAnsi="Times New Roman"/>
            <w:sz w:val="17"/>
            <w:szCs w:val="17"/>
            <w:u w:val="single" w:color="auto"/>
            <w:color w:val="0000EE"/>
          </w:rPr>
          <w:t>February 8, 2024</w:t>
        </w:r>
      </w:hyperlink>
      <w:r>
        <w:rPr>
          <w:rFonts w:ascii="Times New Roman" w:cs="Times New Roman" w:eastAsia="Times New Roman" w:hAnsi="Times New Roman"/>
          <w:sz w:val="17"/>
          <w:szCs w:val="17"/>
          <w:color w:val="auto"/>
        </w:rPr>
        <w:t xml:space="preserve">, </w:t>
      </w:r>
      <w:hyperlink r:id="rId116">
        <w:r>
          <w:rPr>
            <w:rFonts w:ascii="Times New Roman" w:cs="Times New Roman" w:eastAsia="Times New Roman" w:hAnsi="Times New Roman"/>
            <w:sz w:val="17"/>
            <w:szCs w:val="17"/>
            <w:u w:val="single" w:color="auto"/>
            <w:color w:val="0000EE"/>
          </w:rPr>
          <w:t>February 9, 2024</w:t>
        </w:r>
      </w:hyperlink>
      <w:r>
        <w:rPr>
          <w:rFonts w:ascii="Times New Roman" w:cs="Times New Roman" w:eastAsia="Times New Roman" w:hAnsi="Times New Roman"/>
          <w:sz w:val="17"/>
          <w:szCs w:val="17"/>
          <w:color w:val="auto"/>
        </w:rPr>
        <w:t xml:space="preserve">, </w:t>
      </w:r>
      <w:hyperlink r:id="rId117">
        <w:r>
          <w:rPr>
            <w:rFonts w:ascii="Times New Roman" w:cs="Times New Roman" w:eastAsia="Times New Roman" w:hAnsi="Times New Roman"/>
            <w:sz w:val="17"/>
            <w:szCs w:val="17"/>
            <w:u w:val="single" w:color="auto"/>
            <w:color w:val="0000EE"/>
          </w:rPr>
          <w:t>February 27, 2024</w:t>
        </w:r>
      </w:hyperlink>
      <w:r>
        <w:rPr>
          <w:rFonts w:ascii="Times New Roman" w:cs="Times New Roman" w:eastAsia="Times New Roman" w:hAnsi="Times New Roman"/>
          <w:sz w:val="17"/>
          <w:szCs w:val="17"/>
          <w:color w:val="auto"/>
        </w:rPr>
        <w:t xml:space="preserve">, </w:t>
      </w:r>
      <w:hyperlink r:id="rId118">
        <w:r>
          <w:rPr>
            <w:rFonts w:ascii="Times New Roman" w:cs="Times New Roman" w:eastAsia="Times New Roman" w:hAnsi="Times New Roman"/>
            <w:sz w:val="17"/>
            <w:szCs w:val="17"/>
            <w:u w:val="single" w:color="auto"/>
            <w:color w:val="0000EE"/>
          </w:rPr>
          <w:t>April 18,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119">
        <w:r>
          <w:rPr>
            <w:rFonts w:ascii="Times New Roman" w:cs="Times New Roman" w:eastAsia="Times New Roman" w:hAnsi="Times New Roman"/>
            <w:sz w:val="17"/>
            <w:szCs w:val="17"/>
            <w:u w:val="single" w:color="auto"/>
            <w:color w:val="0000EE"/>
          </w:rPr>
          <w:t>May 8,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p>
    <w:p>
      <w:pPr>
        <w:spacing w:after="0" w:line="71" w:lineRule="exact"/>
        <w:rPr>
          <w:rFonts w:ascii="Times New Roman" w:cs="Times New Roman" w:eastAsia="Times New Roman" w:hAnsi="Times New Roman"/>
          <w:sz w:val="17"/>
          <w:szCs w:val="17"/>
          <w:color w:val="0000EE"/>
        </w:rPr>
      </w:pPr>
    </w:p>
    <w:p>
      <w:pPr>
        <w:ind w:left="1000" w:right="140" w:hanging="439"/>
        <w:spacing w:after="0" w:line="253" w:lineRule="auto"/>
        <w:tabs>
          <w:tab w:leader="none" w:pos="1000" w:val="left"/>
        </w:tabs>
        <w:numPr>
          <w:ilvl w:val="0"/>
          <w:numId w:val="49"/>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description of our common stock contained in </w:t>
      </w:r>
      <w:hyperlink r:id="rId120">
        <w:r>
          <w:rPr>
            <w:rFonts w:ascii="Times New Roman" w:cs="Times New Roman" w:eastAsia="Times New Roman" w:hAnsi="Times New Roman"/>
            <w:sz w:val="17"/>
            <w:szCs w:val="17"/>
            <w:u w:val="single" w:color="auto"/>
            <w:color w:val="0000EE"/>
          </w:rPr>
          <w:t>Exhibit 4.4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of our Annual Report on Form 10-K for the fiscal year ended September 30, 2019 (File </w:t>
      </w:r>
      <w:hyperlink r:id="rId121">
        <w:r>
          <w:rPr>
            <w:rFonts w:ascii="Times New Roman" w:cs="Times New Roman" w:eastAsia="Times New Roman" w:hAnsi="Times New Roman"/>
            <w:sz w:val="17"/>
            <w:szCs w:val="17"/>
            <w:color w:val="auto"/>
          </w:rPr>
          <w:t xml:space="preserve">No. 814-00891), as filed with the SEC on November 20, 2019, which updated the description thereof referenced in our Registration Statement on </w:t>
        </w:r>
        <w:r>
          <w:rPr>
            <w:rFonts w:ascii="Times New Roman" w:cs="Times New Roman" w:eastAsia="Times New Roman" w:hAnsi="Times New Roman"/>
            <w:sz w:val="17"/>
            <w:szCs w:val="17"/>
            <w:u w:val="single" w:color="auto"/>
            <w:color w:val="0000EE"/>
          </w:rPr>
          <w:t>Form</w:t>
        </w:r>
      </w:hyperlink>
      <w:r>
        <w:rPr>
          <w:rFonts w:ascii="Times New Roman" w:cs="Times New Roman" w:eastAsia="Times New Roman" w:hAnsi="Times New Roman"/>
          <w:sz w:val="17"/>
          <w:szCs w:val="17"/>
          <w:color w:val="auto"/>
        </w:rPr>
        <w:t xml:space="preserve"> </w:t>
      </w:r>
      <w:hyperlink r:id="rId121">
        <w:r>
          <w:rPr>
            <w:rFonts w:ascii="Times New Roman" w:cs="Times New Roman" w:eastAsia="Times New Roman" w:hAnsi="Times New Roman"/>
            <w:sz w:val="17"/>
            <w:szCs w:val="17"/>
            <w:u w:val="single" w:color="auto"/>
            <w:color w:val="0000EE"/>
          </w:rPr>
          <w:t>8-A</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(File No. 001-35127), as filed with the SEC on April 7, 2011, including any amendment or report filed for the purpose of updating such description</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prior to the termination of the offering of the common stock registered hereby.</w:t>
      </w:r>
    </w:p>
    <w:p>
      <w:pPr>
        <w:spacing w:after="0" w:line="173" w:lineRule="exact"/>
        <w:rPr>
          <w:rFonts w:ascii="Times New Roman" w:cs="Times New Roman" w:eastAsia="Times New Roman" w:hAnsi="Times New Roman"/>
          <w:sz w:val="17"/>
          <w:szCs w:val="17"/>
          <w:color w:val="auto"/>
        </w:rPr>
      </w:pPr>
    </w:p>
    <w:p>
      <w:pPr>
        <w:ind w:left="440"/>
        <w:spacing w:after="0"/>
        <w:rPr>
          <w:sz w:val="20"/>
          <w:szCs w:val="20"/>
          <w:color w:val="auto"/>
        </w:rPr>
      </w:pPr>
      <w:r>
        <w:rPr>
          <w:rFonts w:ascii="Times New Roman" w:cs="Times New Roman" w:eastAsia="Times New Roman" w:hAnsi="Times New Roman"/>
          <w:sz w:val="17"/>
          <w:szCs w:val="17"/>
          <w:color w:val="auto"/>
        </w:rPr>
        <w:t>To obtain copies of these filings, see “Available Information.”</w:t>
      </w:r>
    </w:p>
    <w:p>
      <w:pPr>
        <w:spacing w:after="0" w:line="39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08" w:lineRule="exact"/>
        <w:rPr>
          <w:rFonts w:ascii="Times New Roman" w:cs="Times New Roman" w:eastAsia="Times New Roman" w:hAnsi="Times New Roman"/>
          <w:sz w:val="17"/>
          <w:szCs w:val="17"/>
          <w:color w:val="auto"/>
        </w:rPr>
      </w:pPr>
    </w:p>
    <w:p>
      <w:pPr>
        <w:ind w:firstLine="450"/>
        <w:spacing w:after="0" w:line="250" w:lineRule="auto"/>
        <w:rPr>
          <w:sz w:val="20"/>
          <w:szCs w:val="20"/>
          <w:color w:val="auto"/>
        </w:rPr>
      </w:pPr>
      <w:r>
        <w:rPr>
          <w:rFonts w:ascii="Times New Roman" w:cs="Times New Roman" w:eastAsia="Times New Roman" w:hAnsi="Times New Roman"/>
          <w:sz w:val="17"/>
          <w:szCs w:val="17"/>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75" w:lineRule="exact"/>
        <w:rPr>
          <w:rFonts w:ascii="Times New Roman" w:cs="Times New Roman" w:eastAsia="Times New Roman" w:hAnsi="Times New Roman"/>
          <w:sz w:val="17"/>
          <w:szCs w:val="17"/>
          <w:color w:val="auto"/>
        </w:rPr>
      </w:pPr>
    </w:p>
    <w:p>
      <w:pPr>
        <w:ind w:right="80" w:firstLine="450"/>
        <w:spacing w:after="0" w:line="250" w:lineRule="auto"/>
        <w:rPr>
          <w:sz w:val="20"/>
          <w:szCs w:val="20"/>
          <w:color w:val="auto"/>
        </w:rPr>
      </w:pPr>
      <w:r>
        <w:rPr>
          <w:rFonts w:ascii="Times New Roman" w:cs="Times New Roman" w:eastAsia="Times New Roman" w:hAnsi="Times New Roman"/>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7"/>
          <w:szCs w:val="17"/>
          <w:i w:val="1"/>
          <w:iCs w:val="1"/>
          <w:u w:val="single" w:color="auto"/>
          <w:color w:val="auto"/>
        </w:rPr>
        <w:t>www.pennantpark.com</w:t>
      </w:r>
      <w:r>
        <w:rPr>
          <w:rFonts w:ascii="Times New Roman" w:cs="Times New Roman" w:eastAsia="Times New Roman" w:hAnsi="Times New Roman"/>
          <w:sz w:val="17"/>
          <w:szCs w:val="17"/>
          <w:color w:val="auto"/>
        </w:rPr>
        <w:t xml:space="preserve">. Except for the documents incorporated by reference into this prospectus and any accompanying prospectus supplement, the 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7"/>
          <w:szCs w:val="17"/>
          <w:i w:val="1"/>
          <w:iCs w:val="1"/>
          <w:u w:val="single" w:color="auto"/>
          <w:color w:val="auto"/>
        </w:rPr>
        <w:t>www.sec.gov</w:t>
      </w:r>
      <w:r>
        <w:rPr>
          <w:rFonts w:ascii="Times New Roman" w:cs="Times New Roman" w:eastAsia="Times New Roman" w:hAnsi="Times New Roman"/>
          <w:sz w:val="17"/>
          <w:szCs w:val="17"/>
          <w:color w:val="auto"/>
        </w:rPr>
        <w:t>. Copies of these reports, proxy and information statements and other information may be obtained, after paying a duplicating fee, by sending a request by email to: publicinfo@sec.gov.</w:t>
      </w:r>
    </w:p>
    <w:p>
      <w:pPr>
        <w:spacing w:after="0" w:line="113"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1240"/>
          </w:cols>
          <w:pgMar w:left="320" w:top="28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83755" cy="52070"/>
                    </a:xfrm>
                    <a:prstGeom prst="rect">
                      <a:avLst/>
                    </a:prstGeom>
                    <a:noFill/>
                  </pic:spPr>
                </pic:pic>
              </a:graphicData>
            </a:graphic>
          </wp:anchor>
        </w:drawing>
        <w:t>PART 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25.</w:t>
            </w:r>
          </w:p>
        </w:tc>
        <w:tc>
          <w:tcPr>
            <w:tcW w:w="98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tc>
      </w:tr>
      <w:tr>
        <w:trPr>
          <w:trHeight w:val="424"/>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1 </w:t>
            </w:r>
          </w:p>
        </w:tc>
        <w:tc>
          <w:tcPr>
            <w:tcW w:w="9820" w:type="dxa"/>
            <w:vAlign w:val="bottom"/>
          </w:tcPr>
          <w:p>
            <w:pPr>
              <w:ind w:left="540"/>
              <w:spacing w:after="0"/>
              <w:rPr>
                <w:sz w:val="20"/>
                <w:szCs w:val="20"/>
                <w:color w:val="auto"/>
              </w:rPr>
            </w:pPr>
            <w:r>
              <w:rPr>
                <w:rFonts w:ascii="Times New Roman" w:cs="Times New Roman" w:eastAsia="Times New Roman" w:hAnsi="Times New Roman"/>
                <w:sz w:val="17"/>
                <w:szCs w:val="17"/>
                <w:i w:val="1"/>
                <w:iCs w:val="1"/>
                <w:color w:val="auto"/>
              </w:rPr>
              <w:t>Financial Statements.</w:t>
            </w:r>
          </w:p>
        </w:tc>
      </w:tr>
      <w:tr>
        <w:trPr>
          <w:trHeight w:val="283"/>
        </w:trPr>
        <w:tc>
          <w:tcPr>
            <w:tcW w:w="840" w:type="dxa"/>
            <w:vAlign w:val="bottom"/>
          </w:tcPr>
          <w:p>
            <w:pPr>
              <w:spacing w:after="0"/>
              <w:rPr>
                <w:sz w:val="24"/>
                <w:szCs w:val="24"/>
                <w:color w:val="auto"/>
              </w:rPr>
            </w:pPr>
          </w:p>
        </w:tc>
        <w:tc>
          <w:tcPr>
            <w:tcW w:w="982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7"/>
              </w:rPr>
              <w:t>The consolidated financial statements as of September 30, 2023 and September 30, 2022 and for each of the three years in the period ended</w:t>
            </w:r>
          </w:p>
        </w:tc>
      </w:tr>
      <w:tr>
        <w:trPr>
          <w:trHeight w:val="200"/>
        </w:trPr>
        <w:tc>
          <w:tcPr>
            <w:tcW w:w="840" w:type="dxa"/>
            <w:vAlign w:val="bottom"/>
          </w:tcPr>
          <w:p>
            <w:pPr>
              <w:spacing w:after="0"/>
              <w:rPr>
                <w:sz w:val="17"/>
                <w:szCs w:val="17"/>
                <w:color w:val="auto"/>
              </w:rPr>
            </w:pPr>
          </w:p>
        </w:tc>
        <w:tc>
          <w:tcPr>
            <w:tcW w:w="9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September 30, 2023 and management’s assessment of the effectiveness of internal control over financial reporting (which is included in</w:t>
            </w:r>
          </w:p>
        </w:tc>
      </w:tr>
      <w:tr>
        <w:trPr>
          <w:trHeight w:val="200"/>
        </w:trPr>
        <w:tc>
          <w:tcPr>
            <w:tcW w:w="840" w:type="dxa"/>
            <w:vAlign w:val="bottom"/>
          </w:tcPr>
          <w:p>
            <w:pPr>
              <w:spacing w:after="0"/>
              <w:rPr>
                <w:sz w:val="17"/>
                <w:szCs w:val="17"/>
                <w:color w:val="auto"/>
              </w:rPr>
            </w:pPr>
          </w:p>
        </w:tc>
        <w:tc>
          <w:tcPr>
            <w:tcW w:w="982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8"/>
              </w:rPr>
              <w:t>Management’s Report on Internal Control over Financial Reporting) as of September 30, 2023 have been incorporated by reference in this</w:t>
            </w:r>
          </w:p>
        </w:tc>
      </w:tr>
      <w:tr>
        <w:trPr>
          <w:trHeight w:val="216"/>
        </w:trPr>
        <w:tc>
          <w:tcPr>
            <w:tcW w:w="840" w:type="dxa"/>
            <w:vAlign w:val="bottom"/>
          </w:tcPr>
          <w:p>
            <w:pPr>
              <w:spacing w:after="0"/>
              <w:rPr>
                <w:sz w:val="18"/>
                <w:szCs w:val="18"/>
                <w:color w:val="auto"/>
              </w:rPr>
            </w:pPr>
          </w:p>
        </w:tc>
        <w:tc>
          <w:tcPr>
            <w:tcW w:w="9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registration statement in “Part A—Information Required in a Prospectus.”</w:t>
            </w:r>
          </w:p>
        </w:tc>
      </w:tr>
      <w:tr>
        <w:trPr>
          <w:trHeight w:val="299"/>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2</w:t>
            </w:r>
          </w:p>
        </w:tc>
        <w:tc>
          <w:tcPr>
            <w:tcW w:w="9820" w:type="dxa"/>
            <w:vAlign w:val="bottom"/>
          </w:tcPr>
          <w:p>
            <w:pPr>
              <w:ind w:left="540"/>
              <w:spacing w:after="0"/>
              <w:rPr>
                <w:sz w:val="20"/>
                <w:szCs w:val="20"/>
                <w:color w:val="auto"/>
              </w:rPr>
            </w:pPr>
            <w:r>
              <w:rPr>
                <w:rFonts w:ascii="Times New Roman" w:cs="Times New Roman" w:eastAsia="Times New Roman" w:hAnsi="Times New Roman"/>
                <w:sz w:val="17"/>
                <w:szCs w:val="17"/>
                <w:i w:val="1"/>
                <w:iCs w:val="1"/>
                <w:color w:val="auto"/>
              </w:rPr>
              <w:t>Exhibits.</w:t>
            </w:r>
          </w:p>
        </w:tc>
      </w:tr>
    </w:tbl>
    <w:p>
      <w:pPr>
        <w:spacing w:after="0" w:line="83" w:lineRule="exact"/>
        <w:rPr>
          <w:sz w:val="20"/>
          <w:szCs w:val="20"/>
          <w:color w:val="auto"/>
        </w:rPr>
      </w:pPr>
    </w:p>
    <w:p>
      <w:pPr>
        <w:ind w:left="1380" w:hanging="1006"/>
        <w:spacing w:after="0" w:line="270" w:lineRule="auto"/>
        <w:tabs>
          <w:tab w:leader="none" w:pos="1380" w:val="left"/>
        </w:tabs>
        <w:numPr>
          <w:ilvl w:val="0"/>
          <w:numId w:val="50"/>
        </w:numPr>
        <w:rPr>
          <w:rFonts w:ascii="Times New Roman" w:cs="Times New Roman" w:eastAsia="Times New Roman" w:hAnsi="Times New Roman"/>
          <w:sz w:val="17"/>
          <w:szCs w:val="17"/>
          <w:u w:val="single" w:color="auto"/>
          <w:color w:val="0000EE"/>
        </w:rPr>
      </w:pPr>
      <w:hyperlink r:id="rId123">
        <w:r>
          <w:rPr>
            <w:rFonts w:ascii="Times New Roman" w:cs="Times New Roman" w:eastAsia="Times New Roman" w:hAnsi="Times New Roman"/>
            <w:sz w:val="17"/>
            <w:szCs w:val="17"/>
            <w:u w:val="single" w:color="auto"/>
            <w:color w:val="0000EE"/>
          </w:rPr>
          <w:t>Articles of Amendment and Restatement of the Registrant (Incorporated by reference to Exhibit 99(A) to the Registrant’s Pre-Effective Amendment</w:t>
        </w:r>
      </w:hyperlink>
      <w:r>
        <w:rPr>
          <w:rFonts w:ascii="Times New Roman" w:cs="Times New Roman" w:eastAsia="Times New Roman" w:hAnsi="Times New Roman"/>
          <w:sz w:val="17"/>
          <w:szCs w:val="17"/>
          <w:u w:val="single" w:color="auto"/>
          <w:color w:val="0000EE"/>
        </w:rPr>
        <w:t xml:space="preserve"> </w:t>
      </w:r>
      <w:hyperlink r:id="rId123">
        <w:r>
          <w:rPr>
            <w:rFonts w:ascii="Times New Roman" w:cs="Times New Roman" w:eastAsia="Times New Roman" w:hAnsi="Times New Roman"/>
            <w:sz w:val="17"/>
            <w:szCs w:val="17"/>
            <w:u w:val="single" w:color="auto"/>
            <w:color w:val="0000EE"/>
          </w:rPr>
          <w:t>No. 3 to the Registration Statement on Form N-2 (File No. 333-170243), filed on March 29, 2011).</w:t>
        </w:r>
      </w:hyperlink>
    </w:p>
    <w:p>
      <w:pPr>
        <w:spacing w:after="0" w:line="58" w:lineRule="exact"/>
        <w:rPr>
          <w:rFonts w:ascii="Times New Roman" w:cs="Times New Roman" w:eastAsia="Times New Roman" w:hAnsi="Times New Roman"/>
          <w:sz w:val="17"/>
          <w:szCs w:val="17"/>
          <w:u w:val="single" w:color="auto"/>
          <w:color w:val="0000EE"/>
        </w:rPr>
      </w:pPr>
    </w:p>
    <w:p>
      <w:pPr>
        <w:ind w:left="1380" w:right="300" w:hanging="1006"/>
        <w:spacing w:after="0" w:line="270" w:lineRule="auto"/>
        <w:tabs>
          <w:tab w:leader="none" w:pos="1380" w:val="left"/>
        </w:tabs>
        <w:numPr>
          <w:ilvl w:val="0"/>
          <w:numId w:val="50"/>
        </w:numPr>
        <w:rPr>
          <w:rFonts w:ascii="Times New Roman" w:cs="Times New Roman" w:eastAsia="Times New Roman" w:hAnsi="Times New Roman"/>
          <w:sz w:val="17"/>
          <w:szCs w:val="17"/>
          <w:u w:val="single" w:color="auto"/>
          <w:color w:val="0000EE"/>
        </w:rPr>
      </w:pPr>
      <w:hyperlink r:id="rId124">
        <w:r>
          <w:rPr>
            <w:rFonts w:ascii="Times New Roman" w:cs="Times New Roman" w:eastAsia="Times New Roman" w:hAnsi="Times New Roman"/>
            <w:sz w:val="17"/>
            <w:szCs w:val="17"/>
            <w:u w:val="single" w:color="auto"/>
            <w:color w:val="0000EE"/>
          </w:rPr>
          <w:t>Second Amended and Restated Bylaws of the Registrant (Incorporated by reference to Exhibit 3.2 to the Registrant’s Quarterly Report on Form</w:t>
        </w:r>
      </w:hyperlink>
      <w:r>
        <w:rPr>
          <w:rFonts w:ascii="Times New Roman" w:cs="Times New Roman" w:eastAsia="Times New Roman" w:hAnsi="Times New Roman"/>
          <w:sz w:val="17"/>
          <w:szCs w:val="17"/>
          <w:u w:val="single" w:color="auto"/>
          <w:color w:val="0000EE"/>
        </w:rPr>
        <w:t xml:space="preserve"> </w:t>
      </w:r>
      <w:hyperlink r:id="rId124">
        <w:r>
          <w:rPr>
            <w:rFonts w:ascii="Times New Roman" w:cs="Times New Roman" w:eastAsia="Times New Roman" w:hAnsi="Times New Roman"/>
            <w:sz w:val="17"/>
            <w:szCs w:val="17"/>
            <w:u w:val="single" w:color="auto"/>
            <w:color w:val="0000EE"/>
          </w:rPr>
          <w:t>10-Q (File No. 814-00891), filed on May 11, 2020).</w:t>
        </w:r>
      </w:hyperlink>
    </w:p>
    <w:p>
      <w:pPr>
        <w:spacing w:after="0" w:line="42" w:lineRule="exact"/>
        <w:rPr>
          <w:rFonts w:ascii="Times New Roman" w:cs="Times New Roman" w:eastAsia="Times New Roman" w:hAnsi="Times New Roman"/>
          <w:sz w:val="17"/>
          <w:szCs w:val="17"/>
          <w:color w:val="auto"/>
        </w:rPr>
      </w:pPr>
    </w:p>
    <w:tbl>
      <w:tblPr>
        <w:tblLayout w:type="fixed"/>
        <w:tblInd w:w="380"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(d)(1)</w:t>
            </w:r>
          </w:p>
        </w:tc>
        <w:tc>
          <w:tcPr>
            <w:tcW w:w="938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7"/>
              </w:rPr>
            </w:pPr>
            <w:hyperlink r:id="rId125">
              <w:r>
                <w:rPr>
                  <w:rFonts w:ascii="Times New Roman" w:cs="Times New Roman" w:eastAsia="Times New Roman" w:hAnsi="Times New Roman"/>
                  <w:sz w:val="17"/>
                  <w:szCs w:val="17"/>
                  <w:color w:val="0000EE"/>
                  <w:w w:val="97"/>
                </w:rPr>
                <w:t>Form of Share Certificate (Incorporated by reference to Exhibit 99(D) to the Registrant’s Pre-Effective Amendment No. 5 to the Registration</w:t>
              </w:r>
            </w:hyperlink>
          </w:p>
        </w:tc>
        <w:tc>
          <w:tcPr>
            <w:tcW w:w="400" w:type="dxa"/>
            <w:vAlign w:val="bottom"/>
            <w:gridSpan w:val="7"/>
          </w:tcPr>
          <w:p>
            <w:pPr>
              <w:spacing w:after="0"/>
              <w:rPr>
                <w:sz w:val="17"/>
                <w:szCs w:val="17"/>
                <w:color w:val="auto"/>
              </w:rPr>
            </w:pPr>
          </w:p>
        </w:tc>
      </w:tr>
      <w:tr>
        <w:trPr>
          <w:trHeight w:val="180"/>
        </w:trPr>
        <w:tc>
          <w:tcPr>
            <w:tcW w:w="1000" w:type="dxa"/>
            <w:vAlign w:val="bottom"/>
          </w:tcPr>
          <w:p>
            <w:pPr>
              <w:spacing w:after="0"/>
              <w:rPr>
                <w:sz w:val="15"/>
                <w:szCs w:val="15"/>
                <w:color w:val="auto"/>
              </w:rPr>
            </w:pPr>
          </w:p>
        </w:tc>
        <w:tc>
          <w:tcPr>
            <w:tcW w:w="4740" w:type="dxa"/>
            <w:vAlign w:val="bottom"/>
            <w:tcBorders>
              <w:bottom w:val="single" w:sz="8" w:color="0000EE"/>
            </w:tcBorders>
            <w:gridSpan w:val="5"/>
          </w:tcPr>
          <w:p>
            <w:pPr>
              <w:spacing w:after="0" w:line="180" w:lineRule="exact"/>
              <w:rPr>
                <w:rFonts w:ascii="Times New Roman" w:cs="Times New Roman" w:eastAsia="Times New Roman" w:hAnsi="Times New Roman"/>
                <w:sz w:val="17"/>
                <w:szCs w:val="17"/>
                <w:color w:val="0000EE"/>
                <w:w w:val="97"/>
              </w:rPr>
            </w:pPr>
            <w:hyperlink r:id="rId125">
              <w:r>
                <w:rPr>
                  <w:rFonts w:ascii="Times New Roman" w:cs="Times New Roman" w:eastAsia="Times New Roman" w:hAnsi="Times New Roman"/>
                  <w:sz w:val="17"/>
                  <w:szCs w:val="17"/>
                  <w:color w:val="0000EE"/>
                  <w:w w:val="97"/>
                </w:rPr>
                <w:t>Statement on Form N-2 (File No. 333-170243), filed on April 5, 2011).</w:t>
              </w:r>
            </w:hyperlink>
          </w:p>
        </w:tc>
        <w:tc>
          <w:tcPr>
            <w:tcW w:w="5040" w:type="dxa"/>
            <w:vAlign w:val="bottom"/>
            <w:gridSpan w:val="12"/>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(d)(2)</w:t>
            </w:r>
          </w:p>
        </w:tc>
        <w:tc>
          <w:tcPr>
            <w:tcW w:w="940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w w:val="97"/>
              </w:rPr>
            </w:pPr>
            <w:hyperlink r:id="rId126">
              <w:r>
                <w:rPr>
                  <w:rFonts w:ascii="Times New Roman" w:cs="Times New Roman" w:eastAsia="Times New Roman" w:hAnsi="Times New Roman"/>
                  <w:sz w:val="17"/>
                  <w:szCs w:val="17"/>
                  <w:color w:val="0000EE"/>
                  <w:w w:val="97"/>
                </w:rPr>
                <w:t>Form of Subscription Certificate (Incorporated by reference to Exhibit 99(D)(2) to the Registrant’s Registration Statement on Form N-2 (File</w:t>
              </w:r>
            </w:hyperlink>
          </w:p>
        </w:tc>
        <w:tc>
          <w:tcPr>
            <w:tcW w:w="380" w:type="dxa"/>
            <w:vAlign w:val="bottom"/>
            <w:gridSpan w:val="6"/>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2940" w:type="dxa"/>
            <w:vAlign w:val="bottom"/>
            <w:tcBorders>
              <w:bottom w:val="single" w:sz="8" w:color="0000EE"/>
            </w:tcBorders>
            <w:gridSpan w:val="2"/>
          </w:tcPr>
          <w:p>
            <w:pPr>
              <w:spacing w:after="0" w:line="180" w:lineRule="exact"/>
              <w:rPr>
                <w:rFonts w:ascii="Times New Roman" w:cs="Times New Roman" w:eastAsia="Times New Roman" w:hAnsi="Times New Roman"/>
                <w:sz w:val="17"/>
                <w:szCs w:val="17"/>
                <w:color w:val="0000EE"/>
                <w:w w:val="97"/>
              </w:rPr>
            </w:pPr>
            <w:hyperlink r:id="rId126">
              <w:r>
                <w:rPr>
                  <w:rFonts w:ascii="Times New Roman" w:cs="Times New Roman" w:eastAsia="Times New Roman" w:hAnsi="Times New Roman"/>
                  <w:sz w:val="17"/>
                  <w:szCs w:val="17"/>
                  <w:color w:val="0000EE"/>
                  <w:w w:val="97"/>
                </w:rPr>
                <w:t>No. 333-180084), filed on March 14, 2012).</w:t>
              </w:r>
            </w:hyperlink>
          </w:p>
        </w:tc>
        <w:tc>
          <w:tcPr>
            <w:tcW w:w="6840" w:type="dxa"/>
            <w:vAlign w:val="bottom"/>
            <w:gridSpan w:val="15"/>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(d)(3)</w:t>
            </w:r>
          </w:p>
        </w:tc>
        <w:tc>
          <w:tcPr>
            <w:tcW w:w="968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w w:val="97"/>
              </w:rPr>
            </w:pPr>
            <w:hyperlink r:id="rId127">
              <w:r>
                <w:rPr>
                  <w:rFonts w:ascii="Times New Roman" w:cs="Times New Roman" w:eastAsia="Times New Roman" w:hAnsi="Times New Roman"/>
                  <w:sz w:val="17"/>
                  <w:szCs w:val="17"/>
                  <w:color w:val="0000EE"/>
                  <w:w w:val="97"/>
                </w:rPr>
                <w:t>Form of Indenture (Incorporated by reference to Exhibit 99(D)(3) to the Registrant’s Registration Statement on Form N-2 (File No. 333-180084),</w:t>
              </w:r>
            </w:hyperlink>
          </w:p>
        </w:tc>
        <w:tc>
          <w:tcPr>
            <w:tcW w:w="100" w:type="dxa"/>
            <w:vAlign w:val="bottom"/>
            <w:gridSpan w:val="2"/>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1720" w:type="dxa"/>
            <w:vAlign w:val="bottom"/>
            <w:tcBorders>
              <w:bottom w:val="single" w:sz="8" w:color="0000EE"/>
            </w:tcBorders>
          </w:tcPr>
          <w:p>
            <w:pPr>
              <w:spacing w:after="0" w:line="180" w:lineRule="exact"/>
              <w:rPr>
                <w:rFonts w:ascii="Times New Roman" w:cs="Times New Roman" w:eastAsia="Times New Roman" w:hAnsi="Times New Roman"/>
                <w:sz w:val="17"/>
                <w:szCs w:val="17"/>
                <w:color w:val="0000EE"/>
                <w:w w:val="97"/>
              </w:rPr>
            </w:pPr>
            <w:hyperlink r:id="rId127">
              <w:r>
                <w:rPr>
                  <w:rFonts w:ascii="Times New Roman" w:cs="Times New Roman" w:eastAsia="Times New Roman" w:hAnsi="Times New Roman"/>
                  <w:sz w:val="17"/>
                  <w:szCs w:val="17"/>
                  <w:color w:val="0000EE"/>
                  <w:w w:val="97"/>
                </w:rPr>
                <w:t>filed on March 14, 2012).</w:t>
              </w:r>
            </w:hyperlink>
          </w:p>
        </w:tc>
        <w:tc>
          <w:tcPr>
            <w:tcW w:w="8060" w:type="dxa"/>
            <w:vAlign w:val="bottom"/>
            <w:gridSpan w:val="16"/>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(d)(4)</w:t>
            </w:r>
          </w:p>
        </w:tc>
        <w:tc>
          <w:tcPr>
            <w:tcW w:w="9780" w:type="dxa"/>
            <w:vAlign w:val="bottom"/>
            <w:gridSpan w:val="17"/>
          </w:tcPr>
          <w:p>
            <w:pPr>
              <w:spacing w:after="0"/>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Form of Subscription Agent Agreement (Incorporated by reference to Exhibit 99(D)(4) to the Registrant’s Registration Statement on Form N-2</w:t>
              </w:r>
            </w:hyperlink>
          </w:p>
        </w:tc>
      </w:tr>
      <w:tr>
        <w:trPr>
          <w:trHeight w:val="180"/>
        </w:trPr>
        <w:tc>
          <w:tcPr>
            <w:tcW w:w="100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3"/>
          </w:tcPr>
          <w:p>
            <w:pPr>
              <w:spacing w:after="0" w:line="180" w:lineRule="exact"/>
              <w:rPr>
                <w:rFonts w:ascii="Times New Roman" w:cs="Times New Roman" w:eastAsia="Times New Roman" w:hAnsi="Times New Roman"/>
                <w:sz w:val="17"/>
                <w:szCs w:val="17"/>
                <w:color w:val="0000EE"/>
                <w:w w:val="97"/>
              </w:rPr>
            </w:pPr>
            <w:hyperlink r:id="rId128">
              <w:r>
                <w:rPr>
                  <w:rFonts w:ascii="Times New Roman" w:cs="Times New Roman" w:eastAsia="Times New Roman" w:hAnsi="Times New Roman"/>
                  <w:sz w:val="17"/>
                  <w:szCs w:val="17"/>
                  <w:color w:val="0000EE"/>
                  <w:w w:val="97"/>
                </w:rPr>
                <w:t>(File No. 333-180084), filed on March 14, 2012).</w:t>
              </w:r>
            </w:hyperlink>
          </w:p>
        </w:tc>
        <w:tc>
          <w:tcPr>
            <w:tcW w:w="6220" w:type="dxa"/>
            <w:vAlign w:val="bottom"/>
            <w:tcBorders>
              <w:top w:val="single" w:sz="8" w:color="0000EE"/>
            </w:tcBorders>
            <w:gridSpan w:val="10"/>
          </w:tcPr>
          <w:p>
            <w:pPr>
              <w:spacing w:after="0"/>
              <w:rPr>
                <w:sz w:val="15"/>
                <w:szCs w:val="15"/>
                <w:color w:val="auto"/>
              </w:rPr>
            </w:pPr>
          </w:p>
        </w:tc>
        <w:tc>
          <w:tcPr>
            <w:tcW w:w="260" w:type="dxa"/>
            <w:vAlign w:val="bottom"/>
            <w:gridSpan w:val="4"/>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(d)(5)</w:t>
            </w:r>
          </w:p>
        </w:tc>
        <w:tc>
          <w:tcPr>
            <w:tcW w:w="9780" w:type="dxa"/>
            <w:vAlign w:val="bottom"/>
            <w:gridSpan w:val="17"/>
          </w:tcPr>
          <w:p>
            <w:pPr>
              <w:spacing w:after="0"/>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Form of Warrant Agreement (Incorporated by reference to Exhibit 99(D)(5) to the Registrant’s Registration Statement on Form N-2 (File</w:t>
              </w:r>
            </w:hyperlink>
          </w:p>
        </w:tc>
      </w:tr>
      <w:tr>
        <w:trPr>
          <w:trHeight w:val="180"/>
        </w:trPr>
        <w:tc>
          <w:tcPr>
            <w:tcW w:w="100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2"/>
          </w:tcPr>
          <w:p>
            <w:pPr>
              <w:spacing w:after="0" w:line="180" w:lineRule="exact"/>
              <w:rPr>
                <w:rFonts w:ascii="Times New Roman" w:cs="Times New Roman" w:eastAsia="Times New Roman" w:hAnsi="Times New Roman"/>
                <w:sz w:val="17"/>
                <w:szCs w:val="17"/>
                <w:color w:val="0000EE"/>
                <w:w w:val="97"/>
              </w:rPr>
            </w:pPr>
            <w:hyperlink r:id="rId129">
              <w:r>
                <w:rPr>
                  <w:rFonts w:ascii="Times New Roman" w:cs="Times New Roman" w:eastAsia="Times New Roman" w:hAnsi="Times New Roman"/>
                  <w:sz w:val="17"/>
                  <w:szCs w:val="17"/>
                  <w:color w:val="0000EE"/>
                  <w:w w:val="97"/>
                </w:rPr>
                <w:t>No. 333-180084), filed on March 14, 2012).</w:t>
              </w:r>
            </w:hyperlink>
          </w:p>
        </w:tc>
        <w:tc>
          <w:tcPr>
            <w:tcW w:w="6180" w:type="dxa"/>
            <w:vAlign w:val="bottom"/>
            <w:tcBorders>
              <w:top w:val="single" w:sz="8" w:color="0000EE"/>
            </w:tcBorders>
            <w:gridSpan w:val="6"/>
          </w:tcPr>
          <w:p>
            <w:pPr>
              <w:spacing w:after="0"/>
              <w:rPr>
                <w:sz w:val="15"/>
                <w:szCs w:val="15"/>
                <w:color w:val="auto"/>
              </w:rPr>
            </w:pPr>
          </w:p>
        </w:tc>
        <w:tc>
          <w:tcPr>
            <w:tcW w:w="660" w:type="dxa"/>
            <w:vAlign w:val="bottom"/>
            <w:gridSpan w:val="9"/>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(d)(6)*</w:t>
            </w:r>
          </w:p>
        </w:tc>
        <w:tc>
          <w:tcPr>
            <w:tcW w:w="48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7"/>
              </w:rPr>
              <w:t>Form T-1 Statement of Eligibility with respect to the Form of Indenture.</w:t>
            </w:r>
          </w:p>
        </w:tc>
        <w:tc>
          <w:tcPr>
            <w:tcW w:w="4980" w:type="dxa"/>
            <w:vAlign w:val="bottom"/>
            <w:gridSpan w:val="11"/>
          </w:tcPr>
          <w:p>
            <w:pPr>
              <w:spacing w:after="0"/>
              <w:rPr>
                <w:sz w:val="24"/>
                <w:szCs w:val="24"/>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(d)(7)</w:t>
            </w:r>
          </w:p>
        </w:tc>
        <w:tc>
          <w:tcPr>
            <w:tcW w:w="9780" w:type="dxa"/>
            <w:vAlign w:val="bottom"/>
            <w:gridSpan w:val="17"/>
          </w:tcPr>
          <w:p>
            <w:pPr>
              <w:spacing w:after="0"/>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Form of Articles Supplementary (Incorporated by reference to Exhibit 99(D)(7) to the Registrant’s Registration Statement on Form N-2 (File</w:t>
              </w:r>
            </w:hyperlink>
          </w:p>
        </w:tc>
      </w:tr>
      <w:tr>
        <w:trPr>
          <w:trHeight w:val="180"/>
        </w:trPr>
        <w:tc>
          <w:tcPr>
            <w:tcW w:w="100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2"/>
          </w:tcPr>
          <w:p>
            <w:pPr>
              <w:spacing w:after="0" w:line="180" w:lineRule="exact"/>
              <w:rPr>
                <w:rFonts w:ascii="Times New Roman" w:cs="Times New Roman" w:eastAsia="Times New Roman" w:hAnsi="Times New Roman"/>
                <w:sz w:val="17"/>
                <w:szCs w:val="17"/>
                <w:color w:val="0000EE"/>
                <w:w w:val="97"/>
              </w:rPr>
            </w:pPr>
            <w:hyperlink r:id="rId130">
              <w:r>
                <w:rPr>
                  <w:rFonts w:ascii="Times New Roman" w:cs="Times New Roman" w:eastAsia="Times New Roman" w:hAnsi="Times New Roman"/>
                  <w:sz w:val="17"/>
                  <w:szCs w:val="17"/>
                  <w:color w:val="0000EE"/>
                  <w:w w:val="97"/>
                </w:rPr>
                <w:t>No. 333-180084), filed on March 14, 2012).</w:t>
              </w:r>
            </w:hyperlink>
          </w:p>
        </w:tc>
        <w:tc>
          <w:tcPr>
            <w:tcW w:w="6440" w:type="dxa"/>
            <w:vAlign w:val="bottom"/>
            <w:tcBorders>
              <w:top w:val="single" w:sz="8" w:color="0000EE"/>
            </w:tcBorders>
            <w:gridSpan w:val="8"/>
          </w:tcPr>
          <w:p>
            <w:pPr>
              <w:spacing w:after="0"/>
              <w:rPr>
                <w:sz w:val="15"/>
                <w:szCs w:val="15"/>
                <w:color w:val="auto"/>
              </w:rPr>
            </w:pPr>
          </w:p>
        </w:tc>
        <w:tc>
          <w:tcPr>
            <w:tcW w:w="400" w:type="dxa"/>
            <w:vAlign w:val="bottom"/>
            <w:gridSpan w:val="7"/>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(d)(8)</w:t>
            </w:r>
          </w:p>
        </w:tc>
        <w:tc>
          <w:tcPr>
            <w:tcW w:w="9780" w:type="dxa"/>
            <w:vAlign w:val="bottom"/>
            <w:gridSpan w:val="17"/>
          </w:tcPr>
          <w:p>
            <w:pPr>
              <w:spacing w:after="0"/>
              <w:rPr>
                <w:rFonts w:ascii="Times New Roman" w:cs="Times New Roman" w:eastAsia="Times New Roman" w:hAnsi="Times New Roman"/>
                <w:sz w:val="17"/>
                <w:szCs w:val="17"/>
                <w:color w:val="0000EE"/>
              </w:rPr>
            </w:pPr>
            <w:hyperlink r:id="rId131">
              <w:r>
                <w:rPr>
                  <w:rFonts w:ascii="Times New Roman" w:cs="Times New Roman" w:eastAsia="Times New Roman" w:hAnsi="Times New Roman"/>
                  <w:sz w:val="17"/>
                  <w:szCs w:val="17"/>
                  <w:color w:val="0000EE"/>
                </w:rPr>
                <w:t>Indenture, dated as of September 19, 2019, by and among PennantPark CLO I, Ltd., as issuer, PennantPark CLO I, LLC, as co-issuer, and U.S.</w:t>
              </w:r>
            </w:hyperlink>
          </w:p>
        </w:tc>
      </w:tr>
      <w:tr>
        <w:trPr>
          <w:trHeight w:val="20"/>
        </w:trPr>
        <w:tc>
          <w:tcPr>
            <w:tcW w:w="1000" w:type="dxa"/>
            <w:vAlign w:val="bottom"/>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1000" w:type="dxa"/>
            <w:vAlign w:val="bottom"/>
          </w:tcPr>
          <w:p>
            <w:pPr>
              <w:spacing w:after="0"/>
              <w:rPr>
                <w:sz w:val="15"/>
                <w:szCs w:val="15"/>
                <w:color w:val="auto"/>
              </w:rPr>
            </w:pPr>
          </w:p>
        </w:tc>
        <w:tc>
          <w:tcPr>
            <w:tcW w:w="9780" w:type="dxa"/>
            <w:vAlign w:val="bottom"/>
            <w:tcBorders>
              <w:bottom w:val="single" w:sz="8" w:color="0000EE"/>
            </w:tcBorders>
            <w:gridSpan w:val="17"/>
          </w:tcPr>
          <w:p>
            <w:pPr>
              <w:spacing w:after="0" w:line="180" w:lineRule="exact"/>
              <w:rPr>
                <w:rFonts w:ascii="Times New Roman" w:cs="Times New Roman" w:eastAsia="Times New Roman" w:hAnsi="Times New Roman"/>
                <w:sz w:val="17"/>
                <w:szCs w:val="17"/>
                <w:color w:val="0000EE"/>
                <w:w w:val="97"/>
              </w:rPr>
            </w:pPr>
            <w:hyperlink r:id="rId131">
              <w:r>
                <w:rPr>
                  <w:rFonts w:ascii="Times New Roman" w:cs="Times New Roman" w:eastAsia="Times New Roman" w:hAnsi="Times New Roman"/>
                  <w:sz w:val="17"/>
                  <w:szCs w:val="17"/>
                  <w:color w:val="0000EE"/>
                  <w:w w:val="97"/>
                </w:rPr>
                <w:t>Bank National Association, as trustee and as collateral agent (Incorporated by reference to Exhibit 99.2 to the Registrant’s Current Report on Form</w:t>
              </w:r>
            </w:hyperlink>
          </w:p>
        </w:tc>
      </w:tr>
      <w:tr>
        <w:trPr>
          <w:trHeight w:val="180"/>
        </w:trPr>
        <w:tc>
          <w:tcPr>
            <w:tcW w:w="1000" w:type="dxa"/>
            <w:vAlign w:val="bottom"/>
          </w:tcPr>
          <w:p>
            <w:pPr>
              <w:spacing w:after="0"/>
              <w:rPr>
                <w:sz w:val="15"/>
                <w:szCs w:val="15"/>
                <w:color w:val="auto"/>
              </w:rPr>
            </w:pPr>
          </w:p>
        </w:tc>
        <w:tc>
          <w:tcPr>
            <w:tcW w:w="9780" w:type="dxa"/>
            <w:vAlign w:val="bottom"/>
            <w:gridSpan w:val="17"/>
          </w:tcPr>
          <w:p>
            <w:pPr>
              <w:spacing w:after="0" w:line="180" w:lineRule="exact"/>
              <w:rPr>
                <w:rFonts w:ascii="Times New Roman" w:cs="Times New Roman" w:eastAsia="Times New Roman" w:hAnsi="Times New Roman"/>
                <w:sz w:val="17"/>
                <w:szCs w:val="17"/>
                <w:color w:val="0000EE"/>
              </w:rPr>
            </w:pPr>
            <w:hyperlink r:id="rId131">
              <w:r>
                <w:rPr>
                  <w:rFonts w:ascii="Times New Roman" w:cs="Times New Roman" w:eastAsia="Times New Roman" w:hAnsi="Times New Roman"/>
                  <w:sz w:val="17"/>
                  <w:szCs w:val="17"/>
                  <w:color w:val="0000EE"/>
                </w:rPr>
                <w:t>8-K (File No. 814-00891), filed on September 20, 2019).</w:t>
              </w:r>
            </w:hyperlink>
          </w:p>
        </w:tc>
      </w:tr>
      <w:tr>
        <w:trPr>
          <w:trHeight w:val="20"/>
        </w:trPr>
        <w:tc>
          <w:tcPr>
            <w:tcW w:w="1000" w:type="dxa"/>
            <w:vAlign w:val="bottom"/>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(d)(9)</w:t>
            </w:r>
          </w:p>
        </w:tc>
        <w:tc>
          <w:tcPr>
            <w:tcW w:w="8940" w:type="dxa"/>
            <w:vAlign w:val="bottom"/>
            <w:tcBorders>
              <w:bottom w:val="single" w:sz="8" w:color="0000EE"/>
            </w:tcBorders>
            <w:gridSpan w:val="7"/>
          </w:tcPr>
          <w:p>
            <w:pPr>
              <w:spacing w:after="0"/>
              <w:rPr>
                <w:rFonts w:ascii="Times New Roman" w:cs="Times New Roman" w:eastAsia="Times New Roman" w:hAnsi="Times New Roman"/>
                <w:sz w:val="17"/>
                <w:szCs w:val="17"/>
                <w:color w:val="0000EE"/>
                <w:w w:val="97"/>
              </w:rPr>
            </w:pPr>
            <w:hyperlink r:id="rId132">
              <w:r>
                <w:rPr>
                  <w:rFonts w:ascii="Times New Roman" w:cs="Times New Roman" w:eastAsia="Times New Roman" w:hAnsi="Times New Roman"/>
                  <w:sz w:val="17"/>
                  <w:szCs w:val="17"/>
                  <w:color w:val="0000EE"/>
                  <w:w w:val="97"/>
                </w:rPr>
                <w:t>Indenture, dated as of March 23, 2021, by and between the Company and American Stock Transfer &amp; Trust Company, LLC, as trustee</w:t>
              </w:r>
            </w:hyperlink>
          </w:p>
        </w:tc>
        <w:tc>
          <w:tcPr>
            <w:tcW w:w="840" w:type="dxa"/>
            <w:vAlign w:val="bottom"/>
            <w:gridSpan w:val="10"/>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9180" w:type="dxa"/>
            <w:vAlign w:val="bottom"/>
            <w:tcBorders>
              <w:bottom w:val="single" w:sz="8" w:color="0000EE"/>
            </w:tcBorders>
            <w:gridSpan w:val="9"/>
          </w:tcPr>
          <w:p>
            <w:pPr>
              <w:spacing w:after="0" w:line="180" w:lineRule="exact"/>
              <w:rPr>
                <w:rFonts w:ascii="Times New Roman" w:cs="Times New Roman" w:eastAsia="Times New Roman" w:hAnsi="Times New Roman"/>
                <w:sz w:val="17"/>
                <w:szCs w:val="17"/>
                <w:color w:val="0000EE"/>
                <w:w w:val="97"/>
              </w:rPr>
            </w:pPr>
            <w:hyperlink r:id="rId132">
              <w:r>
                <w:rPr>
                  <w:rFonts w:ascii="Times New Roman" w:cs="Times New Roman" w:eastAsia="Times New Roman" w:hAnsi="Times New Roman"/>
                  <w:sz w:val="17"/>
                  <w:szCs w:val="17"/>
                  <w:color w:val="0000EE"/>
                  <w:w w:val="97"/>
                </w:rPr>
                <w:t>(Incorporated by reference to Exhibit 4.1 to the Registrant’s Current Report on Form 8-K (File No. 814-00891), filed on March 23, 2021).</w:t>
              </w:r>
            </w:hyperlink>
          </w:p>
        </w:tc>
        <w:tc>
          <w:tcPr>
            <w:tcW w:w="600" w:type="dxa"/>
            <w:vAlign w:val="bottom"/>
            <w:gridSpan w:val="8"/>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(d)(10)</w:t>
            </w:r>
          </w:p>
        </w:tc>
        <w:tc>
          <w:tcPr>
            <w:tcW w:w="976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w w:val="97"/>
              </w:rPr>
            </w:pPr>
            <w:hyperlink r:id="rId133">
              <w:r>
                <w:rPr>
                  <w:rFonts w:ascii="Times New Roman" w:cs="Times New Roman" w:eastAsia="Times New Roman" w:hAnsi="Times New Roman"/>
                  <w:sz w:val="17"/>
                  <w:szCs w:val="17"/>
                  <w:color w:val="0000EE"/>
                  <w:w w:val="97"/>
                </w:rPr>
                <w:t>First Supplemental Indenture, dated as of March 23, 2021, by and between the Company and American Stock Transfer &amp; Trust Company, LLC, as</w:t>
              </w:r>
            </w:hyperlink>
          </w:p>
        </w:tc>
        <w:tc>
          <w:tcPr>
            <w:tcW w:w="20" w:type="dxa"/>
            <w:vAlign w:val="bottom"/>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9780" w:type="dxa"/>
            <w:vAlign w:val="bottom"/>
            <w:gridSpan w:val="17"/>
          </w:tcPr>
          <w:p>
            <w:pPr>
              <w:spacing w:after="0" w:line="180" w:lineRule="exact"/>
              <w:rPr>
                <w:rFonts w:ascii="Times New Roman" w:cs="Times New Roman" w:eastAsia="Times New Roman" w:hAnsi="Times New Roman"/>
                <w:sz w:val="17"/>
                <w:szCs w:val="17"/>
                <w:color w:val="0000EE"/>
                <w:w w:val="98"/>
              </w:rPr>
            </w:pPr>
            <w:hyperlink r:id="rId133">
              <w:r>
                <w:rPr>
                  <w:rFonts w:ascii="Times New Roman" w:cs="Times New Roman" w:eastAsia="Times New Roman" w:hAnsi="Times New Roman"/>
                  <w:sz w:val="17"/>
                  <w:szCs w:val="17"/>
                  <w:color w:val="0000EE"/>
                  <w:w w:val="98"/>
                </w:rPr>
                <w:t>trustee (Incorporated by reference to Exhibit 4.2 to the Registrant’s Current Report on Form 8-K (File No. 814-00891), filed on March 23, 2021).</w:t>
              </w:r>
            </w:hyperlink>
          </w:p>
        </w:tc>
      </w:tr>
      <w:tr>
        <w:trPr>
          <w:trHeight w:val="354"/>
        </w:trPr>
        <w:tc>
          <w:tcPr>
            <w:tcW w:w="1000" w:type="dxa"/>
            <w:vAlign w:val="bottom"/>
          </w:tcPr>
          <w:p>
            <w:pPr>
              <w:spacing w:after="0"/>
              <w:rPr>
                <w:sz w:val="24"/>
                <w:szCs w:val="24"/>
                <w:color w:val="auto"/>
              </w:rPr>
            </w:pPr>
          </w:p>
        </w:tc>
        <w:tc>
          <w:tcPr>
            <w:tcW w:w="4740" w:type="dxa"/>
            <w:vAlign w:val="bottom"/>
            <w:tcBorders>
              <w:top w:val="single" w:sz="8" w:color="0000EE"/>
            </w:tcBorders>
            <w:gridSpan w:val="5"/>
          </w:tcPr>
          <w:p>
            <w:pPr>
              <w:ind w:left="4160"/>
              <w:spacing w:after="0"/>
              <w:rPr>
                <w:sz w:val="20"/>
                <w:szCs w:val="20"/>
                <w:color w:val="auto"/>
              </w:rPr>
            </w:pPr>
            <w:r>
              <w:rPr>
                <w:rFonts w:ascii="Times New Roman" w:cs="Times New Roman" w:eastAsia="Times New Roman" w:hAnsi="Times New Roman"/>
                <w:sz w:val="17"/>
                <w:szCs w:val="17"/>
                <w:color w:val="auto"/>
              </w:rPr>
              <w:t>83</w:t>
            </w:r>
          </w:p>
        </w:tc>
        <w:tc>
          <w:tcPr>
            <w:tcW w:w="60" w:type="dxa"/>
            <w:vAlign w:val="bottom"/>
            <w:tcBorders>
              <w:top w:val="single" w:sz="8" w:color="0000EE"/>
            </w:tcBorders>
          </w:tcPr>
          <w:p>
            <w:pPr>
              <w:spacing w:after="0"/>
              <w:rPr>
                <w:sz w:val="24"/>
                <w:szCs w:val="24"/>
                <w:color w:val="auto"/>
              </w:rPr>
            </w:pPr>
          </w:p>
        </w:tc>
        <w:tc>
          <w:tcPr>
            <w:tcW w:w="4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281" w:right="339" w:bottom="144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(d)(11)</w:t>
            </w:r>
          </w:p>
        </w:tc>
        <w:tc>
          <w:tcPr>
            <w:tcW w:w="9820" w:type="dxa"/>
            <w:vAlign w:val="bottom"/>
            <w:gridSpan w:val="6"/>
          </w:tcPr>
          <w:p>
            <w:pPr>
              <w:spacing w:after="0"/>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Form of 4.25% Notes due 2026 (Incorporated by reference to Exhibit (d)(10) hereto).</w:t>
              </w:r>
            </w:hyperlink>
          </w:p>
        </w:tc>
      </w:tr>
      <w:tr>
        <w:trPr>
          <w:trHeight w:val="20"/>
        </w:trPr>
        <w:tc>
          <w:tcPr>
            <w:tcW w:w="100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(g)*</w:t>
            </w:r>
          </w:p>
        </w:tc>
        <w:tc>
          <w:tcPr>
            <w:tcW w:w="9820" w:type="dxa"/>
            <w:vAlign w:val="bottom"/>
            <w:gridSpan w:val="6"/>
          </w:tcPr>
          <w:p>
            <w:pPr>
              <w:spacing w:after="0"/>
              <w:rPr>
                <w:sz w:val="20"/>
                <w:szCs w:val="20"/>
                <w:color w:val="auto"/>
              </w:rPr>
            </w:pPr>
            <w:r>
              <w:rPr>
                <w:rFonts w:ascii="Times New Roman" w:cs="Times New Roman" w:eastAsia="Times New Roman" w:hAnsi="Times New Roman"/>
                <w:sz w:val="17"/>
                <w:szCs w:val="17"/>
                <w:color w:val="0000EE"/>
                <w:w w:val="99"/>
              </w:rPr>
              <w:t>Second Amended and Restated Investment Advisory Agreement, dated as of May 20, 2024, between PennantPark Floating Rate Capital Ltd. and</w:t>
            </w:r>
          </w:p>
        </w:tc>
      </w:tr>
      <w:tr>
        <w:trPr>
          <w:trHeight w:val="180"/>
        </w:trPr>
        <w:tc>
          <w:tcPr>
            <w:tcW w:w="1000" w:type="dxa"/>
            <w:vAlign w:val="bottom"/>
          </w:tcPr>
          <w:p>
            <w:pPr>
              <w:spacing w:after="0"/>
              <w:rPr>
                <w:sz w:val="15"/>
                <w:szCs w:val="15"/>
                <w:color w:val="auto"/>
              </w:rPr>
            </w:pPr>
          </w:p>
        </w:tc>
        <w:tc>
          <w:tcPr>
            <w:tcW w:w="2700" w:type="dxa"/>
            <w:vAlign w:val="bottom"/>
            <w:tcBorders>
              <w:top w:val="single" w:sz="8" w:color="0000EE"/>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7"/>
              </w:rPr>
              <w:t>PennantPark Investment Advisers, LLC.</w:t>
            </w:r>
          </w:p>
        </w:tc>
        <w:tc>
          <w:tcPr>
            <w:tcW w:w="6940" w:type="dxa"/>
            <w:vAlign w:val="bottom"/>
            <w:tcBorders>
              <w:top w:val="single" w:sz="8" w:color="0000EE"/>
            </w:tcBorders>
            <w:gridSpan w:val="3"/>
          </w:tcPr>
          <w:p>
            <w:pPr>
              <w:spacing w:after="0"/>
              <w:rPr>
                <w:sz w:val="15"/>
                <w:szCs w:val="15"/>
                <w:color w:val="auto"/>
              </w:rPr>
            </w:pPr>
          </w:p>
        </w:tc>
        <w:tc>
          <w:tcPr>
            <w:tcW w:w="180" w:type="dxa"/>
            <w:vAlign w:val="bottom"/>
            <w:gridSpan w:val="2"/>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(h)(1)</w:t>
            </w:r>
          </w:p>
        </w:tc>
        <w:tc>
          <w:tcPr>
            <w:tcW w:w="982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w w:val="97"/>
              </w:rPr>
            </w:pPr>
            <w:hyperlink r:id="rId135">
              <w:r>
                <w:rPr>
                  <w:rFonts w:ascii="Times New Roman" w:cs="Times New Roman" w:eastAsia="Times New Roman" w:hAnsi="Times New Roman"/>
                  <w:sz w:val="17"/>
                  <w:szCs w:val="17"/>
                  <w:color w:val="0000EE"/>
                  <w:w w:val="97"/>
                </w:rPr>
                <w:t>Form of Underwriting Agreement for equity (Incorporated by reference to Exhibit 99(H)(1) to the Registrant’s Registration Statement on Form N-2</w:t>
              </w:r>
            </w:hyperlink>
          </w:p>
        </w:tc>
      </w:tr>
      <w:tr>
        <w:trPr>
          <w:trHeight w:val="180"/>
        </w:trPr>
        <w:tc>
          <w:tcPr>
            <w:tcW w:w="1000" w:type="dxa"/>
            <w:vAlign w:val="bottom"/>
          </w:tcPr>
          <w:p>
            <w:pPr>
              <w:spacing w:after="0"/>
              <w:rPr>
                <w:sz w:val="15"/>
                <w:szCs w:val="15"/>
                <w:color w:val="auto"/>
              </w:rPr>
            </w:pPr>
          </w:p>
        </w:tc>
        <w:tc>
          <w:tcPr>
            <w:tcW w:w="3300" w:type="dxa"/>
            <w:vAlign w:val="bottom"/>
            <w:tcBorders>
              <w:bottom w:val="single" w:sz="8" w:color="0000EE"/>
            </w:tcBorders>
            <w:gridSpan w:val="2"/>
          </w:tcPr>
          <w:p>
            <w:pPr>
              <w:spacing w:after="0" w:line="180" w:lineRule="exact"/>
              <w:rPr>
                <w:rFonts w:ascii="Times New Roman" w:cs="Times New Roman" w:eastAsia="Times New Roman" w:hAnsi="Times New Roman"/>
                <w:sz w:val="17"/>
                <w:szCs w:val="17"/>
                <w:color w:val="0000EE"/>
                <w:w w:val="97"/>
              </w:rPr>
            </w:pPr>
            <w:hyperlink r:id="rId135">
              <w:r>
                <w:rPr>
                  <w:rFonts w:ascii="Times New Roman" w:cs="Times New Roman" w:eastAsia="Times New Roman" w:hAnsi="Times New Roman"/>
                  <w:sz w:val="17"/>
                  <w:szCs w:val="17"/>
                  <w:color w:val="0000EE"/>
                  <w:w w:val="97"/>
                </w:rPr>
                <w:t>(File No. 333-180084), filed on March 14, 2012).</w:t>
              </w:r>
            </w:hyperlink>
          </w:p>
        </w:tc>
        <w:tc>
          <w:tcPr>
            <w:tcW w:w="6520" w:type="dxa"/>
            <w:vAlign w:val="bottom"/>
            <w:gridSpan w:val="4"/>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(h)(2)</w:t>
            </w:r>
          </w:p>
        </w:tc>
        <w:tc>
          <w:tcPr>
            <w:tcW w:w="970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w w:val="97"/>
              </w:rPr>
            </w:pPr>
            <w:hyperlink r:id="rId136">
              <w:r>
                <w:rPr>
                  <w:rFonts w:ascii="Times New Roman" w:cs="Times New Roman" w:eastAsia="Times New Roman" w:hAnsi="Times New Roman"/>
                  <w:sz w:val="17"/>
                  <w:szCs w:val="17"/>
                  <w:color w:val="0000EE"/>
                  <w:w w:val="97"/>
                </w:rPr>
                <w:t>Form of Underwriting Agreement for debt (Incorporated by reference to Exhibit 99(H)(2) to the Registrant’s Registration Statement on Form N-2</w:t>
              </w:r>
            </w:hyperlink>
          </w:p>
        </w:tc>
        <w:tc>
          <w:tcPr>
            <w:tcW w:w="120" w:type="dxa"/>
            <w:vAlign w:val="bottom"/>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3300" w:type="dxa"/>
            <w:vAlign w:val="bottom"/>
            <w:tcBorders>
              <w:bottom w:val="single" w:sz="8" w:color="0000EE"/>
            </w:tcBorders>
            <w:gridSpan w:val="2"/>
          </w:tcPr>
          <w:p>
            <w:pPr>
              <w:spacing w:after="0" w:line="180" w:lineRule="exact"/>
              <w:rPr>
                <w:rFonts w:ascii="Times New Roman" w:cs="Times New Roman" w:eastAsia="Times New Roman" w:hAnsi="Times New Roman"/>
                <w:sz w:val="17"/>
                <w:szCs w:val="17"/>
                <w:color w:val="0000EE"/>
                <w:w w:val="97"/>
              </w:rPr>
            </w:pPr>
            <w:hyperlink r:id="rId136">
              <w:r>
                <w:rPr>
                  <w:rFonts w:ascii="Times New Roman" w:cs="Times New Roman" w:eastAsia="Times New Roman" w:hAnsi="Times New Roman"/>
                  <w:sz w:val="17"/>
                  <w:szCs w:val="17"/>
                  <w:color w:val="0000EE"/>
                  <w:w w:val="97"/>
                </w:rPr>
                <w:t>(File No. 333-180084), filed on March 14, 2012).</w:t>
              </w:r>
            </w:hyperlink>
          </w:p>
        </w:tc>
        <w:tc>
          <w:tcPr>
            <w:tcW w:w="6520" w:type="dxa"/>
            <w:vAlign w:val="bottom"/>
            <w:gridSpan w:val="4"/>
          </w:tcPr>
          <w:p>
            <w:pPr>
              <w:spacing w:after="0"/>
              <w:rPr>
                <w:sz w:val="15"/>
                <w:szCs w:val="15"/>
                <w:color w:val="auto"/>
              </w:rPr>
            </w:pPr>
          </w:p>
        </w:tc>
      </w:tr>
    </w:tbl>
    <w:p>
      <w:pPr>
        <w:spacing w:after="0" w:line="108" w:lineRule="exact"/>
        <w:rPr>
          <w:sz w:val="20"/>
          <w:szCs w:val="20"/>
          <w:color w:val="auto"/>
        </w:rPr>
      </w:pPr>
    </w:p>
    <w:p>
      <w:pPr>
        <w:ind w:left="1006" w:right="540" w:hanging="1006"/>
        <w:spacing w:after="0" w:line="302" w:lineRule="auto"/>
        <w:tabs>
          <w:tab w:leader="none" w:pos="1006" w:val="left"/>
        </w:tabs>
        <w:numPr>
          <w:ilvl w:val="0"/>
          <w:numId w:val="51"/>
        </w:numPr>
        <w:rPr>
          <w:rFonts w:ascii="Times New Roman" w:cs="Times New Roman" w:eastAsia="Times New Roman" w:hAnsi="Times New Roman"/>
          <w:sz w:val="16"/>
          <w:szCs w:val="16"/>
          <w:u w:val="single" w:color="auto"/>
          <w:color w:val="0000EE"/>
        </w:rPr>
      </w:pPr>
      <w:hyperlink r:id="rId137">
        <w:r>
          <w:rPr>
            <w:rFonts w:ascii="Times New Roman" w:cs="Times New Roman" w:eastAsia="Times New Roman" w:hAnsi="Times New Roman"/>
            <w:sz w:val="16"/>
            <w:szCs w:val="16"/>
            <w:u w:val="single" w:color="auto"/>
            <w:color w:val="0000EE"/>
          </w:rPr>
          <w:t>Form of Custodian Agreement between the Registrant and The Bank of New York Mellon (Incorporated by reference to Exhibit 99(J) to the</w:t>
        </w:r>
      </w:hyperlink>
      <w:r>
        <w:rPr>
          <w:rFonts w:ascii="Times New Roman" w:cs="Times New Roman" w:eastAsia="Times New Roman" w:hAnsi="Times New Roman"/>
          <w:sz w:val="16"/>
          <w:szCs w:val="16"/>
          <w:u w:val="single" w:color="auto"/>
          <w:color w:val="0000EE"/>
        </w:rPr>
        <w:t xml:space="preserve"> </w:t>
      </w:r>
      <w:hyperlink r:id="rId137">
        <w:r>
          <w:rPr>
            <w:rFonts w:ascii="Times New Roman" w:cs="Times New Roman" w:eastAsia="Times New Roman" w:hAnsi="Times New Roman"/>
            <w:sz w:val="16"/>
            <w:szCs w:val="16"/>
            <w:u w:val="single" w:color="auto"/>
            <w:color w:val="0000EE"/>
          </w:rPr>
          <w:t>Registrant’s Pre-Effective Amendment No. 3 to the Registration Statement on Form N-2 (File No. 333-170243), filed on March 29, 2011).</w:t>
        </w:r>
      </w:hyperlink>
    </w:p>
    <w:p>
      <w:pPr>
        <w:spacing w:after="0" w:line="19" w:lineRule="exact"/>
        <w:rPr>
          <w:rFonts w:ascii="Times New Roman" w:cs="Times New Roman" w:eastAsia="Times New Roman" w:hAnsi="Times New Roman"/>
          <w:sz w:val="16"/>
          <w:szCs w:val="16"/>
          <w:color w:val="auto"/>
        </w:rPr>
      </w:pPr>
    </w:p>
    <w:tbl>
      <w:tblPr>
        <w:tblLayout w:type="fixed"/>
        <w:tblInd w:w="6"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(k)(1)</w:t>
            </w:r>
          </w:p>
        </w:tc>
        <w:tc>
          <w:tcPr>
            <w:tcW w:w="9860" w:type="dxa"/>
            <w:vAlign w:val="bottom"/>
            <w:gridSpan w:val="25"/>
          </w:tcPr>
          <w:p>
            <w:pPr>
              <w:spacing w:after="0"/>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Form of Stock Transfer Agency Agreement between the Registrant and American Stock Transfer &amp; Trust Company, LLC (Incorporated by</w:t>
              </w:r>
            </w:hyperlink>
          </w:p>
        </w:tc>
      </w:tr>
      <w:tr>
        <w:trPr>
          <w:trHeight w:val="180"/>
        </w:trPr>
        <w:tc>
          <w:tcPr>
            <w:tcW w:w="1000" w:type="dxa"/>
            <w:vAlign w:val="bottom"/>
          </w:tcPr>
          <w:p>
            <w:pPr>
              <w:spacing w:after="0"/>
              <w:rPr>
                <w:sz w:val="15"/>
                <w:szCs w:val="15"/>
                <w:color w:val="auto"/>
              </w:rPr>
            </w:pPr>
          </w:p>
        </w:tc>
        <w:tc>
          <w:tcPr>
            <w:tcW w:w="8300" w:type="dxa"/>
            <w:vAlign w:val="bottom"/>
            <w:tcBorders>
              <w:top w:val="single" w:sz="8" w:color="0000EE"/>
              <w:bottom w:val="single" w:sz="8" w:color="0000EE"/>
            </w:tcBorders>
            <w:gridSpan w:val="10"/>
          </w:tcPr>
          <w:p>
            <w:pPr>
              <w:spacing w:after="0" w:line="180" w:lineRule="exact"/>
              <w:rPr>
                <w:rFonts w:ascii="Times New Roman" w:cs="Times New Roman" w:eastAsia="Times New Roman" w:hAnsi="Times New Roman"/>
                <w:sz w:val="17"/>
                <w:szCs w:val="17"/>
                <w:color w:val="0000EE"/>
                <w:w w:val="97"/>
              </w:rPr>
            </w:pPr>
            <w:hyperlink r:id="rId138">
              <w:r>
                <w:rPr>
                  <w:rFonts w:ascii="Times New Roman" w:cs="Times New Roman" w:eastAsia="Times New Roman" w:hAnsi="Times New Roman"/>
                  <w:sz w:val="17"/>
                  <w:szCs w:val="17"/>
                  <w:color w:val="0000EE"/>
                  <w:w w:val="97"/>
                </w:rPr>
                <w:t>reference to Exhibit 99(K)(1) to the Registrant’s Pre-Effective Amendment No. 3 to the Registration Statement on Form N-2</w:t>
              </w:r>
            </w:hyperlink>
          </w:p>
        </w:tc>
        <w:tc>
          <w:tcPr>
            <w:tcW w:w="940" w:type="dxa"/>
            <w:vAlign w:val="bottom"/>
            <w:tcBorders>
              <w:top w:val="single" w:sz="8" w:color="0000EE"/>
            </w:tcBorders>
            <w:gridSpan w:val="5"/>
          </w:tcPr>
          <w:p>
            <w:pPr>
              <w:spacing w:after="0"/>
              <w:rPr>
                <w:sz w:val="15"/>
                <w:szCs w:val="15"/>
                <w:color w:val="auto"/>
              </w:rPr>
            </w:pPr>
          </w:p>
        </w:tc>
        <w:tc>
          <w:tcPr>
            <w:tcW w:w="620" w:type="dxa"/>
            <w:vAlign w:val="bottom"/>
            <w:gridSpan w:val="10"/>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9860" w:type="dxa"/>
            <w:vAlign w:val="bottom"/>
            <w:gridSpan w:val="25"/>
          </w:tcPr>
          <w:p>
            <w:pPr>
              <w:spacing w:after="0" w:line="180"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(File No. 333-170243), filed on March 29, 2011).</w:t>
              </w:r>
            </w:hyperlink>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(k)(2)*</w:t>
            </w:r>
          </w:p>
        </w:tc>
        <w:tc>
          <w:tcPr>
            <w:tcW w:w="986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w w:val="98"/>
              </w:rPr>
              <w:t>Amended and Restated Administration Agreement, dated as of May 20, 2024, between the Registrant and PennantPark Investment Administration,</w:t>
            </w:r>
          </w:p>
        </w:tc>
      </w:tr>
      <w:tr>
        <w:trPr>
          <w:trHeight w:val="180"/>
        </w:trPr>
        <w:tc>
          <w:tcPr>
            <w:tcW w:w="100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0" w:lineRule="exact"/>
              <w:rPr>
                <w:sz w:val="20"/>
                <w:szCs w:val="20"/>
                <w:color w:val="auto"/>
              </w:rPr>
            </w:pPr>
            <w:r>
              <w:rPr>
                <w:rFonts w:ascii="Times New Roman" w:cs="Times New Roman" w:eastAsia="Times New Roman" w:hAnsi="Times New Roman"/>
                <w:sz w:val="17"/>
                <w:szCs w:val="17"/>
                <w:color w:val="0000EE"/>
                <w:w w:val="93"/>
              </w:rPr>
              <w:t>LLC.</w:t>
            </w:r>
          </w:p>
        </w:tc>
        <w:tc>
          <w:tcPr>
            <w:tcW w:w="9420" w:type="dxa"/>
            <w:vAlign w:val="bottom"/>
            <w:tcBorders>
              <w:top w:val="single" w:sz="8" w:color="0000EE"/>
            </w:tcBorders>
            <w:gridSpan w:val="21"/>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(k)(3)</w:t>
            </w:r>
          </w:p>
        </w:tc>
        <w:tc>
          <w:tcPr>
            <w:tcW w:w="968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w w:val="97"/>
              </w:rPr>
            </w:pPr>
            <w:hyperlink r:id="rId139">
              <w:r>
                <w:rPr>
                  <w:rFonts w:ascii="Times New Roman" w:cs="Times New Roman" w:eastAsia="Times New Roman" w:hAnsi="Times New Roman"/>
                  <w:sz w:val="17"/>
                  <w:szCs w:val="17"/>
                  <w:color w:val="0000EE"/>
                  <w:w w:val="97"/>
                </w:rPr>
                <w:t>Form of Trademark License Agreement (Incorporated by reference to Exhibit 99(K)(3) to the Registrant’s Pre-Effective Amendment No. 3 to the</w:t>
              </w:r>
            </w:hyperlink>
          </w:p>
        </w:tc>
        <w:tc>
          <w:tcPr>
            <w:tcW w:w="180" w:type="dxa"/>
            <w:vAlign w:val="bottom"/>
            <w:gridSpan w:val="4"/>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5760" w:type="dxa"/>
            <w:vAlign w:val="bottom"/>
            <w:tcBorders>
              <w:bottom w:val="single" w:sz="8" w:color="0000EE"/>
            </w:tcBorders>
            <w:gridSpan w:val="8"/>
          </w:tcPr>
          <w:p>
            <w:pPr>
              <w:spacing w:after="0" w:line="180" w:lineRule="exact"/>
              <w:rPr>
                <w:rFonts w:ascii="Times New Roman" w:cs="Times New Roman" w:eastAsia="Times New Roman" w:hAnsi="Times New Roman"/>
                <w:sz w:val="17"/>
                <w:szCs w:val="17"/>
                <w:color w:val="0000EE"/>
                <w:w w:val="97"/>
              </w:rPr>
            </w:pPr>
            <w:hyperlink r:id="rId139">
              <w:r>
                <w:rPr>
                  <w:rFonts w:ascii="Times New Roman" w:cs="Times New Roman" w:eastAsia="Times New Roman" w:hAnsi="Times New Roman"/>
                  <w:sz w:val="17"/>
                  <w:szCs w:val="17"/>
                  <w:color w:val="0000EE"/>
                  <w:w w:val="97"/>
                </w:rPr>
                <w:t>Registration Statement on Form N-2 (File No. 333-170243), filed on March 29, 2011).</w:t>
              </w:r>
            </w:hyperlink>
          </w:p>
        </w:tc>
        <w:tc>
          <w:tcPr>
            <w:tcW w:w="4100" w:type="dxa"/>
            <w:vAlign w:val="bottom"/>
            <w:gridSpan w:val="17"/>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(k)(4)</w:t>
            </w:r>
          </w:p>
        </w:tc>
        <w:tc>
          <w:tcPr>
            <w:tcW w:w="936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w w:val="97"/>
              </w:rPr>
            </w:pPr>
            <w:hyperlink r:id="rId140">
              <w:r>
                <w:rPr>
                  <w:rFonts w:ascii="Times New Roman" w:cs="Times New Roman" w:eastAsia="Times New Roman" w:hAnsi="Times New Roman"/>
                  <w:sz w:val="17"/>
                  <w:szCs w:val="17"/>
                  <w:color w:val="0000EE"/>
                  <w:w w:val="97"/>
                </w:rPr>
                <w:t>Revolving Credit and Security Agreement, dated as of August 12, 2021, among PennantPark Floating Rate Funding I, LLC, as the borrower,</w:t>
              </w:r>
            </w:hyperlink>
          </w:p>
        </w:tc>
        <w:tc>
          <w:tcPr>
            <w:tcW w:w="500" w:type="dxa"/>
            <w:vAlign w:val="bottom"/>
            <w:gridSpan w:val="8"/>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9860" w:type="dxa"/>
            <w:vAlign w:val="bottom"/>
            <w:tcBorders>
              <w:bottom w:val="single" w:sz="8" w:color="0000EE"/>
            </w:tcBorders>
            <w:gridSpan w:val="25"/>
          </w:tcPr>
          <w:p>
            <w:pPr>
              <w:spacing w:after="0" w:line="180" w:lineRule="exact"/>
              <w:rPr>
                <w:rFonts w:ascii="Times New Roman" w:cs="Times New Roman" w:eastAsia="Times New Roman" w:hAnsi="Times New Roman"/>
                <w:sz w:val="17"/>
                <w:szCs w:val="17"/>
                <w:color w:val="0000EE"/>
                <w:w w:val="97"/>
              </w:rPr>
            </w:pPr>
            <w:hyperlink r:id="rId140">
              <w:r>
                <w:rPr>
                  <w:rFonts w:ascii="Times New Roman" w:cs="Times New Roman" w:eastAsia="Times New Roman" w:hAnsi="Times New Roman"/>
                  <w:sz w:val="17"/>
                  <w:szCs w:val="17"/>
                  <w:color w:val="0000EE"/>
                  <w:w w:val="97"/>
                </w:rPr>
                <w:t>PennantPark Investment Advisers, LLC, as the collateral manager, the lenders from time to time party thereto, Truist Bank., as administrative agent,</w:t>
              </w:r>
            </w:hyperlink>
          </w:p>
        </w:tc>
      </w:tr>
      <w:tr>
        <w:trPr>
          <w:trHeight w:val="180"/>
        </w:trPr>
        <w:tc>
          <w:tcPr>
            <w:tcW w:w="1000" w:type="dxa"/>
            <w:vAlign w:val="bottom"/>
          </w:tcPr>
          <w:p>
            <w:pPr>
              <w:spacing w:after="0"/>
              <w:rPr>
                <w:sz w:val="15"/>
                <w:szCs w:val="15"/>
                <w:color w:val="auto"/>
              </w:rPr>
            </w:pPr>
          </w:p>
        </w:tc>
        <w:tc>
          <w:tcPr>
            <w:tcW w:w="9860" w:type="dxa"/>
            <w:vAlign w:val="bottom"/>
            <w:gridSpan w:val="25"/>
          </w:tcPr>
          <w:p>
            <w:pPr>
              <w:spacing w:after="0" w:line="180"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Truist Securities, Inc., as lead arranger, U.S. Bank National Association, as collateral agent, U.S. Bank National Association, as collateral</w:t>
              </w:r>
            </w:hyperlink>
          </w:p>
        </w:tc>
      </w:tr>
      <w:tr>
        <w:trPr>
          <w:trHeight w:val="20"/>
        </w:trPr>
        <w:tc>
          <w:tcPr>
            <w:tcW w:w="10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1000" w:type="dxa"/>
            <w:vAlign w:val="bottom"/>
          </w:tcPr>
          <w:p>
            <w:pPr>
              <w:spacing w:after="0"/>
              <w:rPr>
                <w:sz w:val="15"/>
                <w:szCs w:val="15"/>
                <w:color w:val="auto"/>
              </w:rPr>
            </w:pPr>
          </w:p>
        </w:tc>
        <w:tc>
          <w:tcPr>
            <w:tcW w:w="9660" w:type="dxa"/>
            <w:vAlign w:val="bottom"/>
            <w:tcBorders>
              <w:bottom w:val="single" w:sz="8" w:color="0000EE"/>
            </w:tcBorders>
            <w:gridSpan w:val="20"/>
          </w:tcPr>
          <w:p>
            <w:pPr>
              <w:spacing w:after="0" w:line="180" w:lineRule="exact"/>
              <w:rPr>
                <w:rFonts w:ascii="Times New Roman" w:cs="Times New Roman" w:eastAsia="Times New Roman" w:hAnsi="Times New Roman"/>
                <w:sz w:val="17"/>
                <w:szCs w:val="17"/>
                <w:color w:val="0000EE"/>
                <w:w w:val="97"/>
              </w:rPr>
            </w:pPr>
            <w:hyperlink r:id="rId140">
              <w:r>
                <w:rPr>
                  <w:rFonts w:ascii="Times New Roman" w:cs="Times New Roman" w:eastAsia="Times New Roman" w:hAnsi="Times New Roman"/>
                  <w:sz w:val="17"/>
                  <w:szCs w:val="17"/>
                  <w:color w:val="0000EE"/>
                  <w:w w:val="97"/>
                </w:rPr>
                <w:t>administrator, U.S. Bank National Association, as backup collateral manager, and U.S. Bank National Association, as custodian (Incorporated by</w:t>
              </w:r>
            </w:hyperlink>
          </w:p>
        </w:tc>
        <w:tc>
          <w:tcPr>
            <w:tcW w:w="200" w:type="dxa"/>
            <w:vAlign w:val="bottom"/>
            <w:gridSpan w:val="5"/>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8160" w:type="dxa"/>
            <w:vAlign w:val="bottom"/>
            <w:tcBorders>
              <w:bottom w:val="single" w:sz="8" w:color="0000EE"/>
            </w:tcBorders>
            <w:gridSpan w:val="9"/>
          </w:tcPr>
          <w:p>
            <w:pPr>
              <w:spacing w:after="0" w:line="180" w:lineRule="exact"/>
              <w:rPr>
                <w:rFonts w:ascii="Times New Roman" w:cs="Times New Roman" w:eastAsia="Times New Roman" w:hAnsi="Times New Roman"/>
                <w:sz w:val="17"/>
                <w:szCs w:val="17"/>
                <w:color w:val="0000EE"/>
                <w:w w:val="97"/>
              </w:rPr>
            </w:pPr>
            <w:hyperlink r:id="rId140">
              <w:r>
                <w:rPr>
                  <w:rFonts w:ascii="Times New Roman" w:cs="Times New Roman" w:eastAsia="Times New Roman" w:hAnsi="Times New Roman"/>
                  <w:sz w:val="17"/>
                  <w:szCs w:val="17"/>
                  <w:color w:val="0000EE"/>
                  <w:w w:val="97"/>
                </w:rPr>
                <w:t>reference to Exhibit 10.1 to the Registrant’s Current Report on Form 8-K (File No. 814-00891), filed on August 18, 2021).</w:t>
              </w:r>
            </w:hyperlink>
          </w:p>
        </w:tc>
        <w:tc>
          <w:tcPr>
            <w:tcW w:w="1700" w:type="dxa"/>
            <w:vAlign w:val="bottom"/>
            <w:gridSpan w:val="16"/>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(k)(5)</w:t>
            </w:r>
          </w:p>
        </w:tc>
        <w:tc>
          <w:tcPr>
            <w:tcW w:w="9860" w:type="dxa"/>
            <w:vAlign w:val="bottom"/>
            <w:tcBorders>
              <w:bottom w:val="single" w:sz="8" w:color="0000EE"/>
            </w:tcBorders>
            <w:gridSpan w:val="25"/>
          </w:tcPr>
          <w:p>
            <w:pPr>
              <w:spacing w:after="0"/>
              <w:rPr>
                <w:rFonts w:ascii="Times New Roman" w:cs="Times New Roman" w:eastAsia="Times New Roman" w:hAnsi="Times New Roman"/>
                <w:sz w:val="17"/>
                <w:szCs w:val="17"/>
                <w:color w:val="0000EE"/>
                <w:w w:val="97"/>
              </w:rPr>
            </w:pPr>
            <w:hyperlink r:id="rId141">
              <w:r>
                <w:rPr>
                  <w:rFonts w:ascii="Times New Roman" w:cs="Times New Roman" w:eastAsia="Times New Roman" w:hAnsi="Times New Roman"/>
                  <w:sz w:val="17"/>
                  <w:szCs w:val="17"/>
                  <w:color w:val="0000EE"/>
                  <w:w w:val="97"/>
                </w:rPr>
                <w:t>Amended and Restated Purchase and Contribution Agreement, dated as of August 12, 2021, between PennantPark Floating Rate Capital Ltd., as the</w:t>
              </w:r>
            </w:hyperlink>
          </w:p>
        </w:tc>
      </w:tr>
      <w:tr>
        <w:trPr>
          <w:trHeight w:val="180"/>
        </w:trPr>
        <w:tc>
          <w:tcPr>
            <w:tcW w:w="1000" w:type="dxa"/>
            <w:vAlign w:val="bottom"/>
          </w:tcPr>
          <w:p>
            <w:pPr>
              <w:spacing w:after="0"/>
              <w:rPr>
                <w:sz w:val="15"/>
                <w:szCs w:val="15"/>
                <w:color w:val="auto"/>
              </w:rPr>
            </w:pPr>
          </w:p>
        </w:tc>
        <w:tc>
          <w:tcPr>
            <w:tcW w:w="9840" w:type="dxa"/>
            <w:vAlign w:val="bottom"/>
            <w:tcBorders>
              <w:bottom w:val="single" w:sz="8" w:color="0000EE"/>
            </w:tcBorders>
            <w:gridSpan w:val="24"/>
          </w:tcPr>
          <w:p>
            <w:pPr>
              <w:spacing w:after="0" w:line="180" w:lineRule="exact"/>
              <w:rPr>
                <w:rFonts w:ascii="Times New Roman" w:cs="Times New Roman" w:eastAsia="Times New Roman" w:hAnsi="Times New Roman"/>
                <w:sz w:val="17"/>
                <w:szCs w:val="17"/>
                <w:color w:val="0000EE"/>
                <w:w w:val="97"/>
              </w:rPr>
            </w:pPr>
            <w:hyperlink r:id="rId141">
              <w:r>
                <w:rPr>
                  <w:rFonts w:ascii="Times New Roman" w:cs="Times New Roman" w:eastAsia="Times New Roman" w:hAnsi="Times New Roman"/>
                  <w:sz w:val="17"/>
                  <w:szCs w:val="17"/>
                  <w:color w:val="0000EE"/>
                  <w:w w:val="97"/>
                </w:rPr>
                <w:t>seller, and PennantPark Floating Rate Funding I, LLC, as the buyer (Incorporated by reference to Exhibit 10.2 to the Registrant’s Current Report on</w:t>
              </w:r>
            </w:hyperlink>
          </w:p>
        </w:tc>
        <w:tc>
          <w:tcPr>
            <w:tcW w:w="20" w:type="dxa"/>
            <w:vAlign w:val="bottom"/>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3960" w:type="dxa"/>
            <w:vAlign w:val="bottom"/>
            <w:tcBorders>
              <w:bottom w:val="single" w:sz="8" w:color="0000EE"/>
            </w:tcBorders>
            <w:gridSpan w:val="6"/>
          </w:tcPr>
          <w:p>
            <w:pPr>
              <w:spacing w:after="0" w:line="180" w:lineRule="exact"/>
              <w:rPr>
                <w:rFonts w:ascii="Times New Roman" w:cs="Times New Roman" w:eastAsia="Times New Roman" w:hAnsi="Times New Roman"/>
                <w:sz w:val="17"/>
                <w:szCs w:val="17"/>
                <w:color w:val="0000EE"/>
                <w:w w:val="97"/>
              </w:rPr>
            </w:pPr>
            <w:hyperlink r:id="rId141">
              <w:r>
                <w:rPr>
                  <w:rFonts w:ascii="Times New Roman" w:cs="Times New Roman" w:eastAsia="Times New Roman" w:hAnsi="Times New Roman"/>
                  <w:sz w:val="17"/>
                  <w:szCs w:val="17"/>
                  <w:color w:val="0000EE"/>
                  <w:w w:val="97"/>
                </w:rPr>
                <w:t>Form 8-K (File No. 814-00891), filed on August 18, 2021).</w:t>
              </w:r>
            </w:hyperlink>
          </w:p>
        </w:tc>
        <w:tc>
          <w:tcPr>
            <w:tcW w:w="5900" w:type="dxa"/>
            <w:vAlign w:val="bottom"/>
            <w:gridSpan w:val="19"/>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(k)(6)</w:t>
            </w:r>
          </w:p>
        </w:tc>
        <w:tc>
          <w:tcPr>
            <w:tcW w:w="9860" w:type="dxa"/>
            <w:vAlign w:val="bottom"/>
            <w:gridSpan w:val="25"/>
          </w:tcPr>
          <w:p>
            <w:pPr>
              <w:spacing w:after="0"/>
              <w:rPr>
                <w:rFonts w:ascii="Times New Roman" w:cs="Times New Roman" w:eastAsia="Times New Roman" w:hAnsi="Times New Roman"/>
                <w:sz w:val="17"/>
                <w:szCs w:val="17"/>
                <w:color w:val="0000EE"/>
                <w:w w:val="99"/>
              </w:rPr>
            </w:pPr>
            <w:hyperlink r:id="rId142">
              <w:r>
                <w:rPr>
                  <w:rFonts w:ascii="Times New Roman" w:cs="Times New Roman" w:eastAsia="Times New Roman" w:hAnsi="Times New Roman"/>
                  <w:sz w:val="17"/>
                  <w:szCs w:val="17"/>
                  <w:color w:val="0000EE"/>
                  <w:w w:val="99"/>
                </w:rPr>
                <w:t>Limited Liability Company Agreement of PennantPark Senior Secured Loan Fund I LLC, dated as of May 4, 2017, by and between PennantPark</w:t>
              </w:r>
            </w:hyperlink>
          </w:p>
        </w:tc>
      </w:tr>
      <w:tr>
        <w:trPr>
          <w:trHeight w:val="20"/>
        </w:trPr>
        <w:tc>
          <w:tcPr>
            <w:tcW w:w="10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0"/>
        </w:trPr>
        <w:tc>
          <w:tcPr>
            <w:tcW w:w="1000" w:type="dxa"/>
            <w:vAlign w:val="bottom"/>
          </w:tcPr>
          <w:p>
            <w:pPr>
              <w:spacing w:after="0"/>
              <w:rPr>
                <w:sz w:val="15"/>
                <w:szCs w:val="15"/>
                <w:color w:val="auto"/>
              </w:rPr>
            </w:pPr>
          </w:p>
        </w:tc>
        <w:tc>
          <w:tcPr>
            <w:tcW w:w="9860" w:type="dxa"/>
            <w:vAlign w:val="bottom"/>
            <w:tcBorders>
              <w:bottom w:val="single" w:sz="8" w:color="0000EE"/>
            </w:tcBorders>
            <w:gridSpan w:val="25"/>
          </w:tcPr>
          <w:p>
            <w:pPr>
              <w:spacing w:after="0" w:line="180" w:lineRule="exact"/>
              <w:rPr>
                <w:rFonts w:ascii="Times New Roman" w:cs="Times New Roman" w:eastAsia="Times New Roman" w:hAnsi="Times New Roman"/>
                <w:sz w:val="17"/>
                <w:szCs w:val="17"/>
                <w:color w:val="0000EE"/>
                <w:w w:val="97"/>
              </w:rPr>
            </w:pPr>
            <w:hyperlink r:id="rId142">
              <w:r>
                <w:rPr>
                  <w:rFonts w:ascii="Times New Roman" w:cs="Times New Roman" w:eastAsia="Times New Roman" w:hAnsi="Times New Roman"/>
                  <w:sz w:val="17"/>
                  <w:szCs w:val="17"/>
                  <w:color w:val="0000EE"/>
                  <w:w w:val="97"/>
                </w:rPr>
                <w:t>Floating Rate Capital Ltd. and Trinity Universal Insurance Company (Incorporated by reference to Exhibit 10.1 to the Registrant’s Quarterly Report</w:t>
              </w:r>
            </w:hyperlink>
          </w:p>
        </w:tc>
      </w:tr>
      <w:tr>
        <w:trPr>
          <w:trHeight w:val="180"/>
        </w:trPr>
        <w:tc>
          <w:tcPr>
            <w:tcW w:w="1000" w:type="dxa"/>
            <w:vAlign w:val="bottom"/>
          </w:tcPr>
          <w:p>
            <w:pPr>
              <w:spacing w:after="0"/>
              <w:rPr>
                <w:sz w:val="15"/>
                <w:szCs w:val="15"/>
                <w:color w:val="auto"/>
              </w:rPr>
            </w:pPr>
          </w:p>
        </w:tc>
        <w:tc>
          <w:tcPr>
            <w:tcW w:w="9860" w:type="dxa"/>
            <w:vAlign w:val="bottom"/>
            <w:gridSpan w:val="25"/>
          </w:tcPr>
          <w:p>
            <w:pPr>
              <w:spacing w:after="0" w:line="180" w:lineRule="exact"/>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on Form 10-Q (File No. 814-00891), filed on August 8, 2017).</w:t>
              </w:r>
            </w:hyperlink>
          </w:p>
        </w:tc>
      </w:tr>
      <w:tr>
        <w:trPr>
          <w:trHeight w:val="20"/>
        </w:trPr>
        <w:tc>
          <w:tcPr>
            <w:tcW w:w="10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(k)(7)</w:t>
            </w:r>
          </w:p>
        </w:tc>
        <w:tc>
          <w:tcPr>
            <w:tcW w:w="9820" w:type="dxa"/>
            <w:vAlign w:val="bottom"/>
            <w:tcBorders>
              <w:bottom w:val="single" w:sz="8" w:color="0000EE"/>
            </w:tcBorders>
            <w:gridSpan w:val="23"/>
          </w:tcPr>
          <w:p>
            <w:pPr>
              <w:spacing w:after="0"/>
              <w:rPr>
                <w:rFonts w:ascii="Times New Roman" w:cs="Times New Roman" w:eastAsia="Times New Roman" w:hAnsi="Times New Roman"/>
                <w:sz w:val="17"/>
                <w:szCs w:val="17"/>
                <w:color w:val="0000EE"/>
                <w:w w:val="97"/>
              </w:rPr>
            </w:pPr>
            <w:hyperlink r:id="rId143">
              <w:r>
                <w:rPr>
                  <w:rFonts w:ascii="Times New Roman" w:cs="Times New Roman" w:eastAsia="Times New Roman" w:hAnsi="Times New Roman"/>
                  <w:sz w:val="17"/>
                  <w:szCs w:val="17"/>
                  <w:color w:val="0000EE"/>
                  <w:w w:val="97"/>
                </w:rPr>
                <w:t>Indemnification Agreement, dated as of November 15, 2016, between PennantPark Floating Rate Capital Ltd. and each of the directors and officers</w:t>
              </w:r>
            </w:hyperlink>
          </w:p>
        </w:tc>
        <w:tc>
          <w:tcPr>
            <w:tcW w:w="40" w:type="dxa"/>
            <w:vAlign w:val="bottom"/>
            <w:gridSpan w:val="2"/>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8640" w:type="dxa"/>
            <w:vAlign w:val="bottom"/>
            <w:tcBorders>
              <w:bottom w:val="single" w:sz="8" w:color="0000EE"/>
            </w:tcBorders>
            <w:gridSpan w:val="11"/>
          </w:tcPr>
          <w:p>
            <w:pPr>
              <w:spacing w:after="0" w:line="180" w:lineRule="exact"/>
              <w:rPr>
                <w:rFonts w:ascii="Times New Roman" w:cs="Times New Roman" w:eastAsia="Times New Roman" w:hAnsi="Times New Roman"/>
                <w:sz w:val="17"/>
                <w:szCs w:val="17"/>
                <w:color w:val="0000EE"/>
                <w:w w:val="97"/>
              </w:rPr>
            </w:pPr>
            <w:hyperlink r:id="rId143">
              <w:r>
                <w:rPr>
                  <w:rFonts w:ascii="Times New Roman" w:cs="Times New Roman" w:eastAsia="Times New Roman" w:hAnsi="Times New Roman"/>
                  <w:sz w:val="17"/>
                  <w:szCs w:val="17"/>
                  <w:color w:val="0000EE"/>
                  <w:w w:val="97"/>
                </w:rPr>
                <w:t>listed on Schedule A attached thereto (Incorporated by reference to Exhibit 10.6 on the Registrant’s Annual Report on Form 10-K</w:t>
              </w:r>
            </w:hyperlink>
          </w:p>
        </w:tc>
        <w:tc>
          <w:tcPr>
            <w:tcW w:w="1220" w:type="dxa"/>
            <w:vAlign w:val="bottom"/>
            <w:gridSpan w:val="14"/>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3480" w:type="dxa"/>
            <w:vAlign w:val="bottom"/>
            <w:tcBorders>
              <w:bottom w:val="single" w:sz="8" w:color="0000EE"/>
            </w:tcBorders>
            <w:gridSpan w:val="5"/>
          </w:tcPr>
          <w:p>
            <w:pPr>
              <w:spacing w:after="0" w:line="180" w:lineRule="exact"/>
              <w:rPr>
                <w:rFonts w:ascii="Times New Roman" w:cs="Times New Roman" w:eastAsia="Times New Roman" w:hAnsi="Times New Roman"/>
                <w:sz w:val="17"/>
                <w:szCs w:val="17"/>
                <w:color w:val="0000EE"/>
                <w:w w:val="97"/>
              </w:rPr>
            </w:pPr>
            <w:hyperlink r:id="rId143">
              <w:r>
                <w:rPr>
                  <w:rFonts w:ascii="Times New Roman" w:cs="Times New Roman" w:eastAsia="Times New Roman" w:hAnsi="Times New Roman"/>
                  <w:sz w:val="17"/>
                  <w:szCs w:val="17"/>
                  <w:color w:val="0000EE"/>
                  <w:w w:val="97"/>
                </w:rPr>
                <w:t>(File No. 814-00891), filed on November 22, 2016).</w:t>
              </w:r>
            </w:hyperlink>
          </w:p>
        </w:tc>
        <w:tc>
          <w:tcPr>
            <w:tcW w:w="6380" w:type="dxa"/>
            <w:vAlign w:val="bottom"/>
            <w:gridSpan w:val="20"/>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(k)(8)</w:t>
            </w:r>
          </w:p>
        </w:tc>
        <w:tc>
          <w:tcPr>
            <w:tcW w:w="9860" w:type="dxa"/>
            <w:vAlign w:val="bottom"/>
            <w:gridSpan w:val="25"/>
          </w:tcPr>
          <w:p>
            <w:pPr>
              <w:spacing w:after="0"/>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Credit Agreement, dated as of September 19, 2019, by and among PennantPark CLO I, Ltd., as borrower, PennantPark CLO I, LLC, as</w:t>
              </w:r>
            </w:hyperlink>
          </w:p>
        </w:tc>
      </w:tr>
      <w:tr>
        <w:trPr>
          <w:trHeight w:val="20"/>
        </w:trPr>
        <w:tc>
          <w:tcPr>
            <w:tcW w:w="10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76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80"/>
        </w:trPr>
        <w:tc>
          <w:tcPr>
            <w:tcW w:w="1000" w:type="dxa"/>
            <w:vAlign w:val="bottom"/>
          </w:tcPr>
          <w:p>
            <w:pPr>
              <w:spacing w:after="0"/>
              <w:rPr>
                <w:sz w:val="15"/>
                <w:szCs w:val="15"/>
                <w:color w:val="auto"/>
              </w:rPr>
            </w:pPr>
          </w:p>
        </w:tc>
        <w:tc>
          <w:tcPr>
            <w:tcW w:w="9660" w:type="dxa"/>
            <w:vAlign w:val="bottom"/>
            <w:tcBorders>
              <w:bottom w:val="single" w:sz="8" w:color="0000EE"/>
            </w:tcBorders>
            <w:gridSpan w:val="20"/>
          </w:tcPr>
          <w:p>
            <w:pPr>
              <w:spacing w:after="0" w:line="180" w:lineRule="exact"/>
              <w:rPr>
                <w:rFonts w:ascii="Times New Roman" w:cs="Times New Roman" w:eastAsia="Times New Roman" w:hAnsi="Times New Roman"/>
                <w:sz w:val="17"/>
                <w:szCs w:val="17"/>
                <w:color w:val="0000EE"/>
                <w:w w:val="97"/>
              </w:rPr>
            </w:pPr>
            <w:hyperlink r:id="rId144">
              <w:r>
                <w:rPr>
                  <w:rFonts w:ascii="Times New Roman" w:cs="Times New Roman" w:eastAsia="Times New Roman" w:hAnsi="Times New Roman"/>
                  <w:sz w:val="17"/>
                  <w:szCs w:val="17"/>
                  <w:color w:val="0000EE"/>
                  <w:w w:val="97"/>
                </w:rPr>
                <w:t>co-borrower, the various financial institutions party thereto from time to time, as lenders, and U.S. Bank National Association, as collateral agent</w:t>
              </w:r>
            </w:hyperlink>
          </w:p>
        </w:tc>
        <w:tc>
          <w:tcPr>
            <w:tcW w:w="200" w:type="dxa"/>
            <w:vAlign w:val="bottom"/>
            <w:gridSpan w:val="5"/>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9260" w:type="dxa"/>
            <w:vAlign w:val="bottom"/>
            <w:tcBorders>
              <w:bottom w:val="single" w:sz="8" w:color="0000EE"/>
            </w:tcBorders>
            <w:gridSpan w:val="16"/>
          </w:tcPr>
          <w:p>
            <w:pPr>
              <w:spacing w:after="0" w:line="180" w:lineRule="exact"/>
              <w:rPr>
                <w:rFonts w:ascii="Times New Roman" w:cs="Times New Roman" w:eastAsia="Times New Roman" w:hAnsi="Times New Roman"/>
                <w:sz w:val="17"/>
                <w:szCs w:val="17"/>
                <w:color w:val="0000EE"/>
                <w:w w:val="97"/>
              </w:rPr>
            </w:pPr>
            <w:hyperlink r:id="rId144">
              <w:r>
                <w:rPr>
                  <w:rFonts w:ascii="Times New Roman" w:cs="Times New Roman" w:eastAsia="Times New Roman" w:hAnsi="Times New Roman"/>
                  <w:sz w:val="17"/>
                  <w:szCs w:val="17"/>
                  <w:color w:val="0000EE"/>
                  <w:w w:val="97"/>
                </w:rPr>
                <w:t>and as loan agent (Incorporated by reference to Exhibit 99.3 to the Registrant’s Current Report on Form 8-K (File No. 814-00891), filed on</w:t>
              </w:r>
            </w:hyperlink>
          </w:p>
        </w:tc>
        <w:tc>
          <w:tcPr>
            <w:tcW w:w="600" w:type="dxa"/>
            <w:vAlign w:val="bottom"/>
            <w:gridSpan w:val="9"/>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1440" w:type="dxa"/>
            <w:vAlign w:val="bottom"/>
            <w:tcBorders>
              <w:bottom w:val="single" w:sz="8" w:color="0000EE"/>
            </w:tcBorders>
            <w:gridSpan w:val="2"/>
          </w:tcPr>
          <w:p>
            <w:pPr>
              <w:spacing w:after="0" w:line="180" w:lineRule="exact"/>
              <w:rPr>
                <w:rFonts w:ascii="Times New Roman" w:cs="Times New Roman" w:eastAsia="Times New Roman" w:hAnsi="Times New Roman"/>
                <w:sz w:val="17"/>
                <w:szCs w:val="17"/>
                <w:color w:val="0000EE"/>
                <w:w w:val="96"/>
              </w:rPr>
            </w:pPr>
            <w:hyperlink r:id="rId144">
              <w:r>
                <w:rPr>
                  <w:rFonts w:ascii="Times New Roman" w:cs="Times New Roman" w:eastAsia="Times New Roman" w:hAnsi="Times New Roman"/>
                  <w:sz w:val="17"/>
                  <w:szCs w:val="17"/>
                  <w:color w:val="0000EE"/>
                  <w:w w:val="96"/>
                </w:rPr>
                <w:t>September 20, 2019).</w:t>
              </w:r>
            </w:hyperlink>
          </w:p>
        </w:tc>
        <w:tc>
          <w:tcPr>
            <w:tcW w:w="8420" w:type="dxa"/>
            <w:vAlign w:val="bottom"/>
            <w:gridSpan w:val="23"/>
          </w:tcPr>
          <w:p>
            <w:pPr>
              <w:spacing w:after="0"/>
              <w:rPr>
                <w:sz w:val="15"/>
                <w:szCs w:val="15"/>
                <w:color w:val="auto"/>
              </w:rPr>
            </w:pPr>
          </w:p>
        </w:tc>
      </w:tr>
      <w:tr>
        <w:trPr>
          <w:trHeight w:val="279"/>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(k)(9)</w:t>
            </w:r>
          </w:p>
        </w:tc>
        <w:tc>
          <w:tcPr>
            <w:tcW w:w="9860" w:type="dxa"/>
            <w:vAlign w:val="bottom"/>
            <w:gridSpan w:val="25"/>
          </w:tcPr>
          <w:p>
            <w:pPr>
              <w:spacing w:after="0"/>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Collateral Management Agreement, dated as of September 19, 2019, between PennantPark CLO I, Ltd., as issuer, and PennantPark Investment</w:t>
              </w:r>
            </w:hyperlink>
          </w:p>
        </w:tc>
      </w:tr>
      <w:tr>
        <w:trPr>
          <w:trHeight w:val="180"/>
        </w:trPr>
        <w:tc>
          <w:tcPr>
            <w:tcW w:w="1000" w:type="dxa"/>
            <w:vAlign w:val="bottom"/>
          </w:tcPr>
          <w:p>
            <w:pPr>
              <w:spacing w:after="0"/>
              <w:rPr>
                <w:sz w:val="15"/>
                <w:szCs w:val="15"/>
                <w:color w:val="auto"/>
              </w:rPr>
            </w:pPr>
          </w:p>
        </w:tc>
        <w:tc>
          <w:tcPr>
            <w:tcW w:w="8900" w:type="dxa"/>
            <w:vAlign w:val="bottom"/>
            <w:tcBorders>
              <w:top w:val="single" w:sz="8" w:color="0000EE"/>
              <w:bottom w:val="single" w:sz="8" w:color="0000EE"/>
            </w:tcBorders>
            <w:gridSpan w:val="12"/>
          </w:tcPr>
          <w:p>
            <w:pPr>
              <w:spacing w:after="0" w:line="180" w:lineRule="exact"/>
              <w:rPr>
                <w:rFonts w:ascii="Times New Roman" w:cs="Times New Roman" w:eastAsia="Times New Roman" w:hAnsi="Times New Roman"/>
                <w:sz w:val="17"/>
                <w:szCs w:val="17"/>
                <w:color w:val="0000EE"/>
                <w:w w:val="97"/>
              </w:rPr>
            </w:pPr>
            <w:hyperlink r:id="rId145">
              <w:r>
                <w:rPr>
                  <w:rFonts w:ascii="Times New Roman" w:cs="Times New Roman" w:eastAsia="Times New Roman" w:hAnsi="Times New Roman"/>
                  <w:sz w:val="17"/>
                  <w:szCs w:val="17"/>
                  <w:color w:val="0000EE"/>
                  <w:w w:val="97"/>
                </w:rPr>
                <w:t>Advisers, LLC, as collateral manager (Incorporated by reference to Exhibit 99.4 to the Registrant’s Current Report on Form 8-K (File</w:t>
              </w:r>
            </w:hyperlink>
          </w:p>
        </w:tc>
        <w:tc>
          <w:tcPr>
            <w:tcW w:w="600" w:type="dxa"/>
            <w:vAlign w:val="bottom"/>
            <w:tcBorders>
              <w:top w:val="single" w:sz="8" w:color="0000EE"/>
            </w:tcBorders>
            <w:gridSpan w:val="6"/>
          </w:tcPr>
          <w:p>
            <w:pPr>
              <w:spacing w:after="0"/>
              <w:rPr>
                <w:sz w:val="15"/>
                <w:szCs w:val="15"/>
                <w:color w:val="auto"/>
              </w:rPr>
            </w:pPr>
          </w:p>
        </w:tc>
        <w:tc>
          <w:tcPr>
            <w:tcW w:w="360" w:type="dxa"/>
            <w:vAlign w:val="bottom"/>
            <w:gridSpan w:val="7"/>
          </w:tcPr>
          <w:p>
            <w:pPr>
              <w:spacing w:after="0"/>
              <w:rPr>
                <w:sz w:val="15"/>
                <w:szCs w:val="15"/>
                <w:color w:val="auto"/>
              </w:rPr>
            </w:pPr>
          </w:p>
        </w:tc>
      </w:tr>
      <w:tr>
        <w:trPr>
          <w:trHeight w:val="180"/>
        </w:trPr>
        <w:tc>
          <w:tcPr>
            <w:tcW w:w="1000" w:type="dxa"/>
            <w:vAlign w:val="bottom"/>
          </w:tcPr>
          <w:p>
            <w:pPr>
              <w:spacing w:after="0"/>
              <w:rPr>
                <w:sz w:val="15"/>
                <w:szCs w:val="15"/>
                <w:color w:val="auto"/>
              </w:rPr>
            </w:pPr>
          </w:p>
        </w:tc>
        <w:tc>
          <w:tcPr>
            <w:tcW w:w="3140" w:type="dxa"/>
            <w:vAlign w:val="bottom"/>
            <w:tcBorders>
              <w:bottom w:val="single" w:sz="8" w:color="0000EE"/>
            </w:tcBorders>
            <w:gridSpan w:val="3"/>
          </w:tcPr>
          <w:p>
            <w:pPr>
              <w:spacing w:after="0" w:line="180" w:lineRule="exact"/>
              <w:rPr>
                <w:rFonts w:ascii="Times New Roman" w:cs="Times New Roman" w:eastAsia="Times New Roman" w:hAnsi="Times New Roman"/>
                <w:sz w:val="17"/>
                <w:szCs w:val="17"/>
                <w:color w:val="0000EE"/>
                <w:w w:val="97"/>
              </w:rPr>
            </w:pPr>
            <w:hyperlink r:id="rId145">
              <w:r>
                <w:rPr>
                  <w:rFonts w:ascii="Times New Roman" w:cs="Times New Roman" w:eastAsia="Times New Roman" w:hAnsi="Times New Roman"/>
                  <w:sz w:val="17"/>
                  <w:szCs w:val="17"/>
                  <w:color w:val="0000EE"/>
                  <w:w w:val="97"/>
                </w:rPr>
                <w:t>No. 814-00891), filed on September 20, 2019).</w:t>
              </w:r>
            </w:hyperlink>
          </w:p>
        </w:tc>
        <w:tc>
          <w:tcPr>
            <w:tcW w:w="6720" w:type="dxa"/>
            <w:vAlign w:val="bottom"/>
            <w:gridSpan w:val="22"/>
          </w:tcPr>
          <w:p>
            <w:pPr>
              <w:spacing w:after="0"/>
              <w:rPr>
                <w:sz w:val="15"/>
                <w:szCs w:val="15"/>
                <w:color w:val="auto"/>
              </w:rPr>
            </w:pPr>
          </w:p>
        </w:tc>
      </w:tr>
      <w:tr>
        <w:trPr>
          <w:trHeight w:val="354"/>
        </w:trPr>
        <w:tc>
          <w:tcPr>
            <w:tcW w:w="1000" w:type="dxa"/>
            <w:vAlign w:val="bottom"/>
          </w:tcPr>
          <w:p>
            <w:pPr>
              <w:spacing w:after="0"/>
              <w:rPr>
                <w:sz w:val="24"/>
                <w:szCs w:val="24"/>
                <w:color w:val="auto"/>
              </w:rPr>
            </w:pPr>
          </w:p>
        </w:tc>
        <w:tc>
          <w:tcPr>
            <w:tcW w:w="5760" w:type="dxa"/>
            <w:vAlign w:val="bottom"/>
            <w:gridSpan w:val="8"/>
          </w:tcPr>
          <w:p>
            <w:pPr>
              <w:ind w:left="4160"/>
              <w:spacing w:after="0"/>
              <w:rPr>
                <w:sz w:val="20"/>
                <w:szCs w:val="20"/>
                <w:color w:val="auto"/>
              </w:rPr>
            </w:pPr>
            <w:r>
              <w:rPr>
                <w:rFonts w:ascii="Times New Roman" w:cs="Times New Roman" w:eastAsia="Times New Roman" w:hAnsi="Times New Roman"/>
                <w:sz w:val="17"/>
                <w:szCs w:val="17"/>
                <w:color w:val="auto"/>
              </w:rPr>
              <w:t>84</w:t>
            </w: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6"/>
          </w:cols>
          <w:pgMar w:left="694" w:top="268" w:right="339" w:bottom="1440" w:gutter="0" w:footer="0" w:header="0"/>
        </w:sectPr>
      </w:pPr>
    </w:p>
    <w:bookmarkStart w:id="87" w:name="page88"/>
    <w:bookmarkEnd w:id="87"/>
    <w:p>
      <w:pPr>
        <w:ind w:left="1000" w:right="40" w:hanging="999"/>
        <w:spacing w:after="0" w:line="257" w:lineRule="auto"/>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83755" cy="52070"/>
                    </a:xfrm>
                    <a:prstGeom prst="rect">
                      <a:avLst/>
                    </a:prstGeom>
                    <a:noFill/>
                  </pic:spPr>
                </pic:pic>
              </a:graphicData>
            </a:graphic>
          </wp:anchor>
        </w:drawing>
        <w:t>(k)(10)</w:t>
      </w:r>
      <w:r>
        <w:rPr>
          <w:sz w:val="20"/>
          <w:szCs w:val="20"/>
          <w:color w:val="auto"/>
        </w:rPr>
        <w:tab/>
      </w:r>
      <w:hyperlink r:id="rId147">
        <w:r>
          <w:rPr>
            <w:rFonts w:ascii="Times New Roman" w:cs="Times New Roman" w:eastAsia="Times New Roman" w:hAnsi="Times New Roman"/>
            <w:sz w:val="17"/>
            <w:szCs w:val="17"/>
            <w:u w:val="single" w:color="auto"/>
            <w:color w:val="0000EE"/>
          </w:rPr>
          <w:t>Master Loan Sale Agreement, dated as of September 19, 2019, among PennantPark Floating Rate Capital Ltd., as seller, PennantPark CLO I</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Depositor, LLC, as intermediate seller, and PennantPark CLO I Ltd., as buyer (Incorporated by reference to Exhibit 99.5 to the Registrant’s Current</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Report on Form 8-K (File No. 814-00891), filed on September 20, 2019).</w:t>
        </w:r>
      </w:hyperlink>
    </w:p>
    <w:p>
      <w:pPr>
        <w:spacing w:after="0" w:line="70" w:lineRule="exact"/>
        <w:rPr>
          <w:rFonts w:ascii="Times New Roman" w:cs="Times New Roman" w:eastAsia="Times New Roman" w:hAnsi="Times New Roman"/>
          <w:sz w:val="17"/>
          <w:szCs w:val="17"/>
          <w:u w:val="single" w:color="auto"/>
          <w:color w:val="0000EE"/>
        </w:rPr>
      </w:pPr>
    </w:p>
    <w:p>
      <w:pPr>
        <w:ind w:left="1000" w:right="200" w:hanging="999"/>
        <w:spacing w:after="0" w:line="257" w:lineRule="auto"/>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(k)(l1)</w:t>
      </w:r>
      <w:r>
        <w:rPr>
          <w:sz w:val="20"/>
          <w:szCs w:val="20"/>
          <w:color w:val="auto"/>
        </w:rPr>
        <w:tab/>
      </w:r>
      <w:hyperlink r:id="rId148">
        <w:r>
          <w:rPr>
            <w:rFonts w:ascii="Times New Roman" w:cs="Times New Roman" w:eastAsia="Times New Roman" w:hAnsi="Times New Roman"/>
            <w:sz w:val="17"/>
            <w:szCs w:val="17"/>
            <w:u w:val="single" w:color="auto"/>
            <w:color w:val="0000EE"/>
          </w:rPr>
          <w:t>Master Participation Agreement, dated as of September 19, 2019, between PennantPark Floating Rate Funding I, LLC, as seller and PennantPark</w:t>
        </w:r>
      </w:hyperlink>
      <w:r>
        <w:rPr>
          <w:rFonts w:ascii="Times New Roman" w:cs="Times New Roman" w:eastAsia="Times New Roman" w:hAnsi="Times New Roman"/>
          <w:sz w:val="17"/>
          <w:szCs w:val="17"/>
          <w:u w:val="single" w:color="auto"/>
          <w:color w:val="0000EE"/>
        </w:rPr>
        <w:t xml:space="preserve"> </w:t>
      </w:r>
      <w:hyperlink r:id="rId148">
        <w:r>
          <w:rPr>
            <w:rFonts w:ascii="Times New Roman" w:cs="Times New Roman" w:eastAsia="Times New Roman" w:hAnsi="Times New Roman"/>
            <w:sz w:val="17"/>
            <w:szCs w:val="17"/>
            <w:u w:val="single" w:color="auto"/>
            <w:color w:val="0000EE"/>
          </w:rPr>
          <w:t>CLO I, Ltd., as buyer (Incorporated by reference to Exhibit 99.6 to the Registrant’s Current Report on Form 8-K (File No. 814-00891), filed on</w:t>
        </w:r>
      </w:hyperlink>
      <w:r>
        <w:rPr>
          <w:rFonts w:ascii="Times New Roman" w:cs="Times New Roman" w:eastAsia="Times New Roman" w:hAnsi="Times New Roman"/>
          <w:sz w:val="17"/>
          <w:szCs w:val="17"/>
          <w:u w:val="single" w:color="auto"/>
          <w:color w:val="0000EE"/>
        </w:rPr>
        <w:t xml:space="preserve"> </w:t>
      </w:r>
      <w:hyperlink r:id="rId148">
        <w:r>
          <w:rPr>
            <w:rFonts w:ascii="Times New Roman" w:cs="Times New Roman" w:eastAsia="Times New Roman" w:hAnsi="Times New Roman"/>
            <w:sz w:val="17"/>
            <w:szCs w:val="17"/>
            <w:u w:val="single" w:color="auto"/>
            <w:color w:val="0000EE"/>
          </w:rPr>
          <w:t>September 20, 2019).</w:t>
        </w:r>
      </w:hyperlink>
    </w:p>
    <w:p>
      <w:pPr>
        <w:spacing w:after="0" w:line="70" w:lineRule="exact"/>
        <w:rPr>
          <w:rFonts w:ascii="Times New Roman" w:cs="Times New Roman" w:eastAsia="Times New Roman" w:hAnsi="Times New Roman"/>
          <w:sz w:val="17"/>
          <w:szCs w:val="17"/>
          <w:u w:val="single" w:color="auto"/>
          <w:color w:val="0000EE"/>
        </w:rPr>
      </w:pPr>
    </w:p>
    <w:p>
      <w:pPr>
        <w:ind w:left="1000" w:right="20" w:hanging="999"/>
        <w:spacing w:after="0" w:line="274" w:lineRule="auto"/>
        <w:tabs>
          <w:tab w:leader="none" w:pos="98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(k)(12)</w:t>
      </w:r>
      <w:r>
        <w:rPr>
          <w:sz w:val="20"/>
          <w:szCs w:val="20"/>
          <w:color w:val="auto"/>
        </w:rPr>
        <w:tab/>
      </w:r>
      <w:hyperlink r:id="rId149">
        <w:r>
          <w:rPr>
            <w:rFonts w:ascii="Times New Roman" w:cs="Times New Roman" w:eastAsia="Times New Roman" w:hAnsi="Times New Roman"/>
            <w:sz w:val="16"/>
            <w:szCs w:val="16"/>
            <w:u w:val="single" w:color="auto"/>
            <w:color w:val="0000EE"/>
          </w:rPr>
          <w:t>Underwriting Agreement, dated August 8, 2022, among PennantPark Floating Rate Capital Ltd., PennantPark Investment Advisers, LLC,</w:t>
        </w:r>
      </w:hyperlink>
      <w:r>
        <w:rPr>
          <w:rFonts w:ascii="Times New Roman" w:cs="Times New Roman" w:eastAsia="Times New Roman" w:hAnsi="Times New Roman"/>
          <w:sz w:val="16"/>
          <w:szCs w:val="16"/>
          <w:u w:val="single" w:color="auto"/>
          <w:color w:val="0000EE"/>
        </w:rPr>
        <w:t xml:space="preserve"> </w:t>
      </w:r>
      <w:hyperlink r:id="rId149">
        <w:r>
          <w:rPr>
            <w:rFonts w:ascii="Times New Roman" w:cs="Times New Roman" w:eastAsia="Times New Roman" w:hAnsi="Times New Roman"/>
            <w:sz w:val="16"/>
            <w:szCs w:val="16"/>
            <w:u w:val="single" w:color="auto"/>
            <w:color w:val="0000EE"/>
          </w:rPr>
          <w:t>PennantPark Investment Administration, LLC, and Morgan Stanley &amp; Co. LLC, Goldman Sachs &amp; Co. LLC, J.P. Morgan Securities LLC, Keefe,</w:t>
        </w:r>
      </w:hyperlink>
      <w:r>
        <w:rPr>
          <w:rFonts w:ascii="Times New Roman" w:cs="Times New Roman" w:eastAsia="Times New Roman" w:hAnsi="Times New Roman"/>
          <w:sz w:val="16"/>
          <w:szCs w:val="16"/>
          <w:u w:val="single" w:color="auto"/>
          <w:color w:val="0000EE"/>
        </w:rPr>
        <w:t xml:space="preserve"> </w:t>
      </w:r>
      <w:hyperlink r:id="rId149">
        <w:r>
          <w:rPr>
            <w:rFonts w:ascii="Times New Roman" w:cs="Times New Roman" w:eastAsia="Times New Roman" w:hAnsi="Times New Roman"/>
            <w:sz w:val="16"/>
            <w:szCs w:val="16"/>
            <w:u w:val="single" w:color="auto"/>
            <w:color w:val="0000EE"/>
          </w:rPr>
          <w:t>Bruyette &amp; Woods, Inc., RBC Capital Markets, LLC and Truist Securities, Inc., as representatives of the several underwriters named on Schedule A</w:t>
        </w:r>
      </w:hyperlink>
      <w:r>
        <w:rPr>
          <w:rFonts w:ascii="Times New Roman" w:cs="Times New Roman" w:eastAsia="Times New Roman" w:hAnsi="Times New Roman"/>
          <w:sz w:val="16"/>
          <w:szCs w:val="16"/>
          <w:u w:val="single" w:color="auto"/>
          <w:color w:val="0000EE"/>
        </w:rPr>
        <w:t xml:space="preserve"> </w:t>
      </w:r>
      <w:hyperlink r:id="rId149">
        <w:r>
          <w:rPr>
            <w:rFonts w:ascii="Times New Roman" w:cs="Times New Roman" w:eastAsia="Times New Roman" w:hAnsi="Times New Roman"/>
            <w:sz w:val="16"/>
            <w:szCs w:val="16"/>
            <w:u w:val="single" w:color="auto"/>
            <w:color w:val="0000EE"/>
          </w:rPr>
          <w:t>thereto (Incorporated by reference to Exhibit 1.1 to the Registrant’s Current Report on Form 8-K (File No. 814-00891), filed on August 11, 2022).</w:t>
        </w:r>
      </w:hyperlink>
    </w:p>
    <w:p>
      <w:pPr>
        <w:spacing w:after="0" w:line="58" w:lineRule="exact"/>
        <w:rPr>
          <w:rFonts w:ascii="Times New Roman" w:cs="Times New Roman" w:eastAsia="Times New Roman" w:hAnsi="Times New Roman"/>
          <w:sz w:val="16"/>
          <w:szCs w:val="16"/>
          <w:u w:val="single" w:color="auto"/>
          <w:color w:val="0000EE"/>
        </w:rPr>
      </w:pPr>
    </w:p>
    <w:p>
      <w:pPr>
        <w:ind w:left="1000" w:right="20" w:hanging="999"/>
        <w:spacing w:after="0" w:line="253" w:lineRule="auto"/>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(k)(13)</w:t>
      </w:r>
      <w:r>
        <w:rPr>
          <w:sz w:val="20"/>
          <w:szCs w:val="20"/>
          <w:color w:val="auto"/>
        </w:rPr>
        <w:tab/>
      </w:r>
      <w:hyperlink r:id="rId150">
        <w:r>
          <w:rPr>
            <w:rFonts w:ascii="Times New Roman" w:cs="Times New Roman" w:eastAsia="Times New Roman" w:hAnsi="Times New Roman"/>
            <w:sz w:val="17"/>
            <w:szCs w:val="17"/>
            <w:u w:val="single" w:color="auto"/>
            <w:color w:val="0000EE"/>
          </w:rPr>
          <w:t>First Amendment to Revolving Credit and Security Agreement, dated September 15, 2022, among PennantPark Floating Rate Funding I, LLC,</w:t>
        </w:r>
      </w:hyperlink>
      <w:r>
        <w:rPr>
          <w:rFonts w:ascii="Times New Roman" w:cs="Times New Roman" w:eastAsia="Times New Roman" w:hAnsi="Times New Roman"/>
          <w:sz w:val="17"/>
          <w:szCs w:val="17"/>
          <w:u w:val="single" w:color="auto"/>
          <w:color w:val="0000EE"/>
        </w:rPr>
        <w:t xml:space="preserve"> </w:t>
      </w:r>
      <w:hyperlink r:id="rId150">
        <w:r>
          <w:rPr>
            <w:rFonts w:ascii="Times New Roman" w:cs="Times New Roman" w:eastAsia="Times New Roman" w:hAnsi="Times New Roman"/>
            <w:sz w:val="17"/>
            <w:szCs w:val="17"/>
            <w:u w:val="single" w:color="auto"/>
            <w:color w:val="0000EE"/>
          </w:rPr>
          <w:t>PennantPark Investment Advisers, LLC, the lenders from time to time party thereto, Truist Bank, as administrative agent and swingline lender, U.S.</w:t>
        </w:r>
      </w:hyperlink>
      <w:r>
        <w:rPr>
          <w:rFonts w:ascii="Times New Roman" w:cs="Times New Roman" w:eastAsia="Times New Roman" w:hAnsi="Times New Roman"/>
          <w:sz w:val="17"/>
          <w:szCs w:val="17"/>
          <w:u w:val="single" w:color="auto"/>
          <w:color w:val="0000EE"/>
        </w:rPr>
        <w:t xml:space="preserve"> </w:t>
      </w:r>
      <w:hyperlink r:id="rId150">
        <w:r>
          <w:rPr>
            <w:rFonts w:ascii="Times New Roman" w:cs="Times New Roman" w:eastAsia="Times New Roman" w:hAnsi="Times New Roman"/>
            <w:sz w:val="17"/>
            <w:szCs w:val="17"/>
            <w:u w:val="single" w:color="auto"/>
            <w:color w:val="0000EE"/>
          </w:rPr>
          <w:t>Bank National Association, as collateral agent, custodian, collateral administrator and backup collateral manager (Incorporated by reference to</w:t>
        </w:r>
      </w:hyperlink>
      <w:r>
        <w:rPr>
          <w:rFonts w:ascii="Times New Roman" w:cs="Times New Roman" w:eastAsia="Times New Roman" w:hAnsi="Times New Roman"/>
          <w:sz w:val="17"/>
          <w:szCs w:val="17"/>
          <w:u w:val="single" w:color="auto"/>
          <w:color w:val="0000EE"/>
        </w:rPr>
        <w:t xml:space="preserve"> </w:t>
      </w:r>
      <w:hyperlink r:id="rId150">
        <w:r>
          <w:rPr>
            <w:rFonts w:ascii="Times New Roman" w:cs="Times New Roman" w:eastAsia="Times New Roman" w:hAnsi="Times New Roman"/>
            <w:sz w:val="17"/>
            <w:szCs w:val="17"/>
            <w:u w:val="single" w:color="auto"/>
            <w:color w:val="0000EE"/>
          </w:rPr>
          <w:t>Exhibit 10.1 to the Registrant’s Current Report on Form 8-K (File No. 814-00891), filed on September 21, 2022).</w:t>
        </w:r>
      </w:hyperlink>
    </w:p>
    <w:p>
      <w:pPr>
        <w:spacing w:after="0" w:line="74" w:lineRule="exact"/>
        <w:rPr>
          <w:rFonts w:ascii="Times New Roman" w:cs="Times New Roman" w:eastAsia="Times New Roman" w:hAnsi="Times New Roman"/>
          <w:sz w:val="17"/>
          <w:szCs w:val="17"/>
          <w:u w:val="single" w:color="auto"/>
          <w:color w:val="0000EE"/>
        </w:rPr>
      </w:pPr>
    </w:p>
    <w:p>
      <w:pPr>
        <w:ind w:left="1000" w:right="200" w:hanging="999"/>
        <w:spacing w:after="0" w:line="257" w:lineRule="auto"/>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(k)(14)</w:t>
      </w:r>
      <w:r>
        <w:rPr>
          <w:sz w:val="20"/>
          <w:szCs w:val="20"/>
          <w:color w:val="auto"/>
        </w:rPr>
        <w:tab/>
      </w:r>
      <w:hyperlink r:id="rId151">
        <w:r>
          <w:rPr>
            <w:rFonts w:ascii="Times New Roman" w:cs="Times New Roman" w:eastAsia="Times New Roman" w:hAnsi="Times New Roman"/>
            <w:sz w:val="17"/>
            <w:szCs w:val="17"/>
            <w:u w:val="single" w:color="auto"/>
            <w:color w:val="0000EE"/>
          </w:rPr>
          <w:t>Equity Distribution Agreement, dated as of August 11, 2023, by and among PennantPark Floating Rate Capital, Ltd., PennantPark Investment</w:t>
        </w:r>
      </w:hyperlink>
      <w:r>
        <w:rPr>
          <w:rFonts w:ascii="Times New Roman" w:cs="Times New Roman" w:eastAsia="Times New Roman" w:hAnsi="Times New Roman"/>
          <w:sz w:val="17"/>
          <w:szCs w:val="17"/>
          <w:u w:val="single" w:color="auto"/>
          <w:color w:val="0000EE"/>
        </w:rPr>
        <w:t xml:space="preserve"> </w:t>
      </w:r>
      <w:hyperlink r:id="rId151">
        <w:r>
          <w:rPr>
            <w:rFonts w:ascii="Times New Roman" w:cs="Times New Roman" w:eastAsia="Times New Roman" w:hAnsi="Times New Roman"/>
            <w:sz w:val="17"/>
            <w:szCs w:val="17"/>
            <w:u w:val="single" w:color="auto"/>
            <w:color w:val="0000EE"/>
          </w:rPr>
          <w:t>Advisers, LLC, PennantPark Investment Administration, LLC and Citizens JMP Securities, LLC, as the sales agent (Incorporated by reference to</w:t>
        </w:r>
      </w:hyperlink>
      <w:r>
        <w:rPr>
          <w:rFonts w:ascii="Times New Roman" w:cs="Times New Roman" w:eastAsia="Times New Roman" w:hAnsi="Times New Roman"/>
          <w:sz w:val="17"/>
          <w:szCs w:val="17"/>
          <w:u w:val="single" w:color="auto"/>
          <w:color w:val="0000EE"/>
        </w:rPr>
        <w:t xml:space="preserve"> </w:t>
      </w:r>
      <w:hyperlink r:id="rId151">
        <w:r>
          <w:rPr>
            <w:rFonts w:ascii="Times New Roman" w:cs="Times New Roman" w:eastAsia="Times New Roman" w:hAnsi="Times New Roman"/>
            <w:sz w:val="17"/>
            <w:szCs w:val="17"/>
            <w:u w:val="single" w:color="auto"/>
            <w:color w:val="0000EE"/>
          </w:rPr>
          <w:t>Exhibit 1.1 to the Registrant’s Form 8-K (File No. 814-00891), filed on August 11, 2023).</w:t>
        </w:r>
      </w:hyperlink>
    </w:p>
    <w:p>
      <w:pPr>
        <w:spacing w:after="0" w:line="70" w:lineRule="exact"/>
        <w:rPr>
          <w:rFonts w:ascii="Times New Roman" w:cs="Times New Roman" w:eastAsia="Times New Roman" w:hAnsi="Times New Roman"/>
          <w:sz w:val="17"/>
          <w:szCs w:val="17"/>
          <w:u w:val="single" w:color="auto"/>
          <w:color w:val="0000EE"/>
        </w:rPr>
      </w:pPr>
    </w:p>
    <w:p>
      <w:pPr>
        <w:ind w:left="1000" w:hanging="999"/>
        <w:spacing w:after="0" w:line="257" w:lineRule="auto"/>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(k)(15)</w:t>
      </w:r>
      <w:r>
        <w:rPr>
          <w:sz w:val="20"/>
          <w:szCs w:val="20"/>
          <w:color w:val="auto"/>
        </w:rPr>
        <w:tab/>
      </w:r>
      <w:hyperlink r:id="rId152">
        <w:r>
          <w:rPr>
            <w:rFonts w:ascii="Times New Roman" w:cs="Times New Roman" w:eastAsia="Times New Roman" w:hAnsi="Times New Roman"/>
            <w:sz w:val="17"/>
            <w:szCs w:val="17"/>
            <w:u w:val="single" w:color="auto"/>
            <w:color w:val="0000EE"/>
          </w:rPr>
          <w:t>Equity Distribution Agreement, dated as of August 11, 2023, by and among PennantPark Floating Rate Capital, Ltd., PennantPark Investment</w:t>
        </w:r>
      </w:hyperlink>
      <w:r>
        <w:rPr>
          <w:rFonts w:ascii="Times New Roman" w:cs="Times New Roman" w:eastAsia="Times New Roman" w:hAnsi="Times New Roman"/>
          <w:sz w:val="17"/>
          <w:szCs w:val="17"/>
          <w:u w:val="single" w:color="auto"/>
          <w:color w:val="0000EE"/>
        </w:rPr>
        <w:t xml:space="preserve"> </w:t>
      </w:r>
      <w:hyperlink r:id="rId152">
        <w:r>
          <w:rPr>
            <w:rFonts w:ascii="Times New Roman" w:cs="Times New Roman" w:eastAsia="Times New Roman" w:hAnsi="Times New Roman"/>
            <w:sz w:val="17"/>
            <w:szCs w:val="17"/>
            <w:u w:val="single" w:color="auto"/>
            <w:color w:val="0000EE"/>
          </w:rPr>
          <w:t>Advisers, LLC, PennantPark Investment Administration, LLC and Raymond James &amp; Associates, Inc., as the sales agent (Incorporated by reference</w:t>
        </w:r>
      </w:hyperlink>
      <w:r>
        <w:rPr>
          <w:rFonts w:ascii="Times New Roman" w:cs="Times New Roman" w:eastAsia="Times New Roman" w:hAnsi="Times New Roman"/>
          <w:sz w:val="17"/>
          <w:szCs w:val="17"/>
          <w:u w:val="single" w:color="auto"/>
          <w:color w:val="0000EE"/>
        </w:rPr>
        <w:t xml:space="preserve"> </w:t>
      </w:r>
      <w:hyperlink r:id="rId152">
        <w:r>
          <w:rPr>
            <w:rFonts w:ascii="Times New Roman" w:cs="Times New Roman" w:eastAsia="Times New Roman" w:hAnsi="Times New Roman"/>
            <w:sz w:val="17"/>
            <w:szCs w:val="17"/>
            <w:u w:val="single" w:color="auto"/>
            <w:color w:val="0000EE"/>
          </w:rPr>
          <w:t>to Exhibit 1.2 to the Registrant’s Form 8-K (File No. 814-00891), filed on August 11, 2023).</w:t>
        </w:r>
      </w:hyperlink>
    </w:p>
    <w:p>
      <w:pPr>
        <w:spacing w:after="0" w:line="70" w:lineRule="exact"/>
        <w:rPr>
          <w:rFonts w:ascii="Times New Roman" w:cs="Times New Roman" w:eastAsia="Times New Roman" w:hAnsi="Times New Roman"/>
          <w:sz w:val="17"/>
          <w:szCs w:val="17"/>
          <w:u w:val="single" w:color="auto"/>
          <w:color w:val="0000EE"/>
        </w:rPr>
      </w:pPr>
    </w:p>
    <w:p>
      <w:pPr>
        <w:ind w:left="1000" w:right="220" w:hanging="999"/>
        <w:spacing w:after="0" w:line="257" w:lineRule="auto"/>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(k)(16)</w:t>
      </w:r>
      <w:r>
        <w:rPr>
          <w:sz w:val="20"/>
          <w:szCs w:val="20"/>
          <w:color w:val="auto"/>
        </w:rPr>
        <w:tab/>
      </w:r>
      <w:hyperlink r:id="rId153">
        <w:r>
          <w:rPr>
            <w:rFonts w:ascii="Times New Roman" w:cs="Times New Roman" w:eastAsia="Times New Roman" w:hAnsi="Times New Roman"/>
            <w:sz w:val="17"/>
            <w:szCs w:val="17"/>
            <w:u w:val="single" w:color="auto"/>
            <w:color w:val="0000EE"/>
          </w:rPr>
          <w:t>Equity Distribution Agreement, dated as of August 11, 2023, by and among PennantPark Floating Rate Capital, Ltd., PennantPark Investment</w:t>
        </w:r>
      </w:hyperlink>
      <w:r>
        <w:rPr>
          <w:rFonts w:ascii="Times New Roman" w:cs="Times New Roman" w:eastAsia="Times New Roman" w:hAnsi="Times New Roman"/>
          <w:sz w:val="17"/>
          <w:szCs w:val="17"/>
          <w:u w:val="single" w:color="auto"/>
          <w:color w:val="0000EE"/>
        </w:rPr>
        <w:t xml:space="preserve"> </w:t>
      </w:r>
      <w:hyperlink r:id="rId153">
        <w:r>
          <w:rPr>
            <w:rFonts w:ascii="Times New Roman" w:cs="Times New Roman" w:eastAsia="Times New Roman" w:hAnsi="Times New Roman"/>
            <w:sz w:val="17"/>
            <w:szCs w:val="17"/>
            <w:u w:val="single" w:color="auto"/>
            <w:color w:val="0000EE"/>
          </w:rPr>
          <w:t>Advisers, LLC, PennantPark Investment Administration, LLC and Truist Securities, Inc., as the sales agent (Incorporated by reference to Exhibit</w:t>
        </w:r>
      </w:hyperlink>
      <w:r>
        <w:rPr>
          <w:rFonts w:ascii="Times New Roman" w:cs="Times New Roman" w:eastAsia="Times New Roman" w:hAnsi="Times New Roman"/>
          <w:sz w:val="17"/>
          <w:szCs w:val="17"/>
          <w:u w:val="single" w:color="auto"/>
          <w:color w:val="0000EE"/>
        </w:rPr>
        <w:t xml:space="preserve"> </w:t>
      </w:r>
      <w:hyperlink r:id="rId153">
        <w:r>
          <w:rPr>
            <w:rFonts w:ascii="Times New Roman" w:cs="Times New Roman" w:eastAsia="Times New Roman" w:hAnsi="Times New Roman"/>
            <w:sz w:val="17"/>
            <w:szCs w:val="17"/>
            <w:u w:val="single" w:color="auto"/>
            <w:color w:val="0000EE"/>
          </w:rPr>
          <w:t>1.3 to the Registrant’s Form 8-K (File No. 814-00891), filed on August 11, 2023).</w:t>
        </w:r>
      </w:hyperlink>
    </w:p>
    <w:p>
      <w:pPr>
        <w:spacing w:after="0" w:line="70" w:lineRule="exact"/>
        <w:rPr>
          <w:rFonts w:ascii="Times New Roman" w:cs="Times New Roman" w:eastAsia="Times New Roman" w:hAnsi="Times New Roman"/>
          <w:sz w:val="17"/>
          <w:szCs w:val="17"/>
          <w:u w:val="single" w:color="auto"/>
          <w:color w:val="0000EE"/>
        </w:rPr>
      </w:pPr>
    </w:p>
    <w:p>
      <w:pPr>
        <w:ind w:left="1000" w:right="220" w:hanging="999"/>
        <w:spacing w:after="0" w:line="253" w:lineRule="auto"/>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(k)(17)</w:t>
      </w:r>
      <w:r>
        <w:rPr>
          <w:sz w:val="20"/>
          <w:szCs w:val="20"/>
          <w:color w:val="auto"/>
        </w:rPr>
        <w:tab/>
      </w:r>
      <w:hyperlink r:id="rId154">
        <w:r>
          <w:rPr>
            <w:rFonts w:ascii="Times New Roman" w:cs="Times New Roman" w:eastAsia="Times New Roman" w:hAnsi="Times New Roman"/>
            <w:sz w:val="17"/>
            <w:szCs w:val="17"/>
            <w:u w:val="single" w:color="auto"/>
            <w:color w:val="0000EE"/>
          </w:rPr>
          <w:t>Underwriting Agreement, dated January 23, 2023, among PennantPark Floating Rate Capital Ltd., PennantPark Investment Advisers, LLC,</w:t>
        </w:r>
      </w:hyperlink>
      <w:r>
        <w:rPr>
          <w:rFonts w:ascii="Times New Roman" w:cs="Times New Roman" w:eastAsia="Times New Roman" w:hAnsi="Times New Roman"/>
          <w:sz w:val="17"/>
          <w:szCs w:val="17"/>
          <w:u w:val="single" w:color="auto"/>
          <w:color w:val="0000EE"/>
        </w:rPr>
        <w:t xml:space="preserve"> </w:t>
      </w:r>
      <w:hyperlink r:id="rId154">
        <w:r>
          <w:rPr>
            <w:rFonts w:ascii="Times New Roman" w:cs="Times New Roman" w:eastAsia="Times New Roman" w:hAnsi="Times New Roman"/>
            <w:sz w:val="17"/>
            <w:szCs w:val="17"/>
            <w:u w:val="single" w:color="auto"/>
            <w:color w:val="0000EE"/>
          </w:rPr>
          <w:t>PennantPark Investment Administration, LLC, and Morgan Stanley &amp; Co. LLC, UBS Securities LLC, Goldman Sachs &amp; Co. LLC, J.P. Morgan</w:t>
        </w:r>
      </w:hyperlink>
      <w:r>
        <w:rPr>
          <w:rFonts w:ascii="Times New Roman" w:cs="Times New Roman" w:eastAsia="Times New Roman" w:hAnsi="Times New Roman"/>
          <w:sz w:val="17"/>
          <w:szCs w:val="17"/>
          <w:u w:val="single" w:color="auto"/>
          <w:color w:val="0000EE"/>
        </w:rPr>
        <w:t xml:space="preserve"> </w:t>
      </w:r>
      <w:hyperlink r:id="rId154">
        <w:r>
          <w:rPr>
            <w:rFonts w:ascii="Times New Roman" w:cs="Times New Roman" w:eastAsia="Times New Roman" w:hAnsi="Times New Roman"/>
            <w:sz w:val="17"/>
            <w:szCs w:val="17"/>
            <w:u w:val="single" w:color="auto"/>
            <w:color w:val="0000EE"/>
          </w:rPr>
          <w:t>Securities LLC and Keefe, Bruyette &amp; Woods, Inc., as representatives of the several underwriters named on Schedule A thereto (Incorporated by</w:t>
        </w:r>
      </w:hyperlink>
      <w:r>
        <w:rPr>
          <w:rFonts w:ascii="Times New Roman" w:cs="Times New Roman" w:eastAsia="Times New Roman" w:hAnsi="Times New Roman"/>
          <w:sz w:val="17"/>
          <w:szCs w:val="17"/>
          <w:u w:val="single" w:color="auto"/>
          <w:color w:val="0000EE"/>
        </w:rPr>
        <w:t xml:space="preserve"> </w:t>
      </w:r>
      <w:hyperlink r:id="rId154">
        <w:r>
          <w:rPr>
            <w:rFonts w:ascii="Times New Roman" w:cs="Times New Roman" w:eastAsia="Times New Roman" w:hAnsi="Times New Roman"/>
            <w:sz w:val="17"/>
            <w:szCs w:val="17"/>
            <w:u w:val="single" w:color="auto"/>
            <w:color w:val="0000EE"/>
          </w:rPr>
          <w:t>reference to Exhibit 1.1 to the Registrant’s Form 8-K (File No. 814-00891), filed on January 26, 2023).</w:t>
        </w:r>
      </w:hyperlink>
    </w:p>
    <w:p>
      <w:pPr>
        <w:spacing w:after="0" w:line="74" w:lineRule="exact"/>
        <w:rPr>
          <w:rFonts w:ascii="Times New Roman" w:cs="Times New Roman" w:eastAsia="Times New Roman" w:hAnsi="Times New Roman"/>
          <w:sz w:val="17"/>
          <w:szCs w:val="17"/>
          <w:u w:val="single" w:color="auto"/>
          <w:color w:val="0000EE"/>
        </w:rPr>
      </w:pPr>
    </w:p>
    <w:p>
      <w:pPr>
        <w:jc w:val="both"/>
        <w:ind w:left="1000" w:right="140" w:hanging="999"/>
        <w:spacing w:after="0" w:line="257" w:lineRule="auto"/>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(k)(18)</w:t>
      </w:r>
      <w:r>
        <w:rPr>
          <w:sz w:val="20"/>
          <w:szCs w:val="20"/>
          <w:color w:val="auto"/>
        </w:rPr>
        <w:tab/>
      </w:r>
      <w:hyperlink r:id="rId155">
        <w:r>
          <w:rPr>
            <w:rFonts w:ascii="Times New Roman" w:cs="Times New Roman" w:eastAsia="Times New Roman" w:hAnsi="Times New Roman"/>
            <w:sz w:val="17"/>
            <w:szCs w:val="17"/>
            <w:u w:val="single" w:color="auto"/>
            <w:color w:val="0000EE"/>
          </w:rPr>
          <w:t>Indenture, dated as of February 22, 2024, by and between PennantPark CLO VIII, LLC, as issuer, and Wilmington Trust, National Association, as</w:t>
        </w:r>
      </w:hyperlink>
      <w:r>
        <w:rPr>
          <w:rFonts w:ascii="Times New Roman" w:cs="Times New Roman" w:eastAsia="Times New Roman" w:hAnsi="Times New Roman"/>
          <w:sz w:val="17"/>
          <w:szCs w:val="17"/>
          <w:u w:val="single" w:color="auto"/>
          <w:color w:val="0000EE"/>
        </w:rPr>
        <w:t xml:space="preserve"> </w:t>
      </w:r>
      <w:hyperlink r:id="rId155">
        <w:r>
          <w:rPr>
            <w:rFonts w:ascii="Times New Roman" w:cs="Times New Roman" w:eastAsia="Times New Roman" w:hAnsi="Times New Roman"/>
            <w:sz w:val="17"/>
            <w:szCs w:val="17"/>
            <w:u w:val="single" w:color="auto"/>
            <w:color w:val="0000EE"/>
          </w:rPr>
          <w:t>trustee and as collateral agent (Incorporated by reference to Exhibit 10.1 to the Registrant’s Form 8-K (File No. 814-00891), filed on February 27,</w:t>
        </w:r>
      </w:hyperlink>
      <w:r>
        <w:rPr>
          <w:rFonts w:ascii="Times New Roman" w:cs="Times New Roman" w:eastAsia="Times New Roman" w:hAnsi="Times New Roman"/>
          <w:sz w:val="17"/>
          <w:szCs w:val="17"/>
          <w:u w:val="single" w:color="auto"/>
          <w:color w:val="0000EE"/>
        </w:rPr>
        <w:t xml:space="preserve"> </w:t>
      </w:r>
      <w:hyperlink r:id="rId155">
        <w:r>
          <w:rPr>
            <w:rFonts w:ascii="Times New Roman" w:cs="Times New Roman" w:eastAsia="Times New Roman" w:hAnsi="Times New Roman"/>
            <w:sz w:val="17"/>
            <w:szCs w:val="17"/>
            <w:u w:val="single" w:color="auto"/>
            <w:color w:val="0000EE"/>
          </w:rPr>
          <w:t>2024).</w:t>
        </w:r>
      </w:hyperlink>
    </w:p>
    <w:p>
      <w:pPr>
        <w:spacing w:after="0" w:line="70" w:lineRule="exact"/>
        <w:rPr>
          <w:rFonts w:ascii="Times New Roman" w:cs="Times New Roman" w:eastAsia="Times New Roman" w:hAnsi="Times New Roman"/>
          <w:sz w:val="17"/>
          <w:szCs w:val="17"/>
          <w:u w:val="single" w:color="auto"/>
          <w:color w:val="0000EE"/>
        </w:rPr>
      </w:pPr>
    </w:p>
    <w:p>
      <w:pPr>
        <w:jc w:val="both"/>
        <w:ind w:left="1000" w:right="120" w:hanging="999"/>
        <w:spacing w:after="0" w:line="257" w:lineRule="auto"/>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(k)(19)</w:t>
      </w:r>
      <w:r>
        <w:rPr>
          <w:sz w:val="20"/>
          <w:szCs w:val="20"/>
          <w:color w:val="auto"/>
        </w:rPr>
        <w:tab/>
      </w:r>
      <w:hyperlink r:id="rId156">
        <w:r>
          <w:rPr>
            <w:rFonts w:ascii="Times New Roman" w:cs="Times New Roman" w:eastAsia="Times New Roman" w:hAnsi="Times New Roman"/>
            <w:sz w:val="17"/>
            <w:szCs w:val="17"/>
            <w:u w:val="single" w:color="auto"/>
            <w:color w:val="0000EE"/>
          </w:rPr>
          <w:t>Credit Agreement, dated as of February 22, 2024, by and among PennantPark CLO VIII, LLC, as borrower, the various financial institutions party</w:t>
        </w:r>
      </w:hyperlink>
      <w:r>
        <w:rPr>
          <w:rFonts w:ascii="Times New Roman" w:cs="Times New Roman" w:eastAsia="Times New Roman" w:hAnsi="Times New Roman"/>
          <w:sz w:val="17"/>
          <w:szCs w:val="17"/>
          <w:u w:val="single" w:color="auto"/>
          <w:color w:val="0000EE"/>
        </w:rPr>
        <w:t xml:space="preserve"> </w:t>
      </w:r>
      <w:hyperlink r:id="rId156">
        <w:r>
          <w:rPr>
            <w:rFonts w:ascii="Times New Roman" w:cs="Times New Roman" w:eastAsia="Times New Roman" w:hAnsi="Times New Roman"/>
            <w:sz w:val="17"/>
            <w:szCs w:val="17"/>
            <w:u w:val="single" w:color="auto"/>
            <w:color w:val="0000EE"/>
          </w:rPr>
          <w:t>thereto from time to time, as lenders, and Wilmington Trust, National Association, as collateral agent and as loan agent (Incorporated by reference</w:t>
        </w:r>
      </w:hyperlink>
      <w:r>
        <w:rPr>
          <w:rFonts w:ascii="Times New Roman" w:cs="Times New Roman" w:eastAsia="Times New Roman" w:hAnsi="Times New Roman"/>
          <w:sz w:val="17"/>
          <w:szCs w:val="17"/>
          <w:u w:val="single" w:color="auto"/>
          <w:color w:val="0000EE"/>
        </w:rPr>
        <w:t xml:space="preserve"> </w:t>
      </w:r>
      <w:hyperlink r:id="rId156">
        <w:r>
          <w:rPr>
            <w:rFonts w:ascii="Times New Roman" w:cs="Times New Roman" w:eastAsia="Times New Roman" w:hAnsi="Times New Roman"/>
            <w:sz w:val="17"/>
            <w:szCs w:val="17"/>
            <w:u w:val="single" w:color="auto"/>
            <w:color w:val="0000EE"/>
          </w:rPr>
          <w:t>to Exhibit 10.2 to the Registrant’s Form 8-K (File No. 814-00891), filed on February 27, 2024).</w:t>
        </w:r>
      </w:hyperlink>
    </w:p>
    <w:p>
      <w:pPr>
        <w:spacing w:after="0" w:line="70" w:lineRule="exact"/>
        <w:rPr>
          <w:rFonts w:ascii="Times New Roman" w:cs="Times New Roman" w:eastAsia="Times New Roman" w:hAnsi="Times New Roman"/>
          <w:sz w:val="17"/>
          <w:szCs w:val="17"/>
          <w:u w:val="single" w:color="auto"/>
          <w:color w:val="0000EE"/>
        </w:rPr>
      </w:pPr>
    </w:p>
    <w:p>
      <w:pPr>
        <w:ind w:left="1000" w:right="200" w:hanging="999"/>
        <w:spacing w:after="0" w:line="257" w:lineRule="auto"/>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(k)(20)</w:t>
      </w:r>
      <w:r>
        <w:rPr>
          <w:sz w:val="20"/>
          <w:szCs w:val="20"/>
          <w:color w:val="auto"/>
        </w:rPr>
        <w:tab/>
      </w:r>
      <w:hyperlink r:id="rId157">
        <w:r>
          <w:rPr>
            <w:rFonts w:ascii="Times New Roman" w:cs="Times New Roman" w:eastAsia="Times New Roman" w:hAnsi="Times New Roman"/>
            <w:sz w:val="17"/>
            <w:szCs w:val="17"/>
            <w:u w:val="single" w:color="auto"/>
            <w:color w:val="0000EE"/>
          </w:rPr>
          <w:t>Collateral Management Agreement, dated as of February 22, 2024, between PennantPark CLO VIII, LLC, as issuer, and PennantPark Investment</w:t>
        </w:r>
      </w:hyperlink>
      <w:r>
        <w:rPr>
          <w:rFonts w:ascii="Times New Roman" w:cs="Times New Roman" w:eastAsia="Times New Roman" w:hAnsi="Times New Roman"/>
          <w:sz w:val="17"/>
          <w:szCs w:val="17"/>
          <w:u w:val="single" w:color="auto"/>
          <w:color w:val="0000EE"/>
        </w:rPr>
        <w:t xml:space="preserve"> </w:t>
      </w:r>
      <w:hyperlink r:id="rId157">
        <w:r>
          <w:rPr>
            <w:rFonts w:ascii="Times New Roman" w:cs="Times New Roman" w:eastAsia="Times New Roman" w:hAnsi="Times New Roman"/>
            <w:sz w:val="17"/>
            <w:szCs w:val="17"/>
            <w:u w:val="single" w:color="auto"/>
            <w:color w:val="0000EE"/>
          </w:rPr>
          <w:t>Advisers, LLC, as collateral manager (Incorporated by reference to Exhibit 10.3 to the Registrant’s Form 8-K (File No. 814-00891), filed on</w:t>
        </w:r>
      </w:hyperlink>
      <w:r>
        <w:rPr>
          <w:rFonts w:ascii="Times New Roman" w:cs="Times New Roman" w:eastAsia="Times New Roman" w:hAnsi="Times New Roman"/>
          <w:sz w:val="17"/>
          <w:szCs w:val="17"/>
          <w:u w:val="single" w:color="auto"/>
          <w:color w:val="0000EE"/>
        </w:rPr>
        <w:t xml:space="preserve"> </w:t>
      </w:r>
      <w:hyperlink r:id="rId157">
        <w:r>
          <w:rPr>
            <w:rFonts w:ascii="Times New Roman" w:cs="Times New Roman" w:eastAsia="Times New Roman" w:hAnsi="Times New Roman"/>
            <w:sz w:val="17"/>
            <w:szCs w:val="17"/>
            <w:u w:val="single" w:color="auto"/>
            <w:color w:val="0000EE"/>
          </w:rPr>
          <w:t>February 27, 2024).</w:t>
        </w:r>
      </w:hyperlink>
    </w:p>
    <w:p>
      <w:pPr>
        <w:spacing w:after="0" w:line="108" w:lineRule="exact"/>
        <w:rPr>
          <w:rFonts w:ascii="Times New Roman" w:cs="Times New Roman" w:eastAsia="Times New Roman" w:hAnsi="Times New Roman"/>
          <w:sz w:val="17"/>
          <w:szCs w:val="17"/>
          <w:u w:val="single" w:color="auto"/>
          <w:color w:val="0000EE"/>
        </w:rPr>
      </w:pPr>
    </w:p>
    <w:p>
      <w:pPr>
        <w:jc w:val="center"/>
        <w:ind w:right="360"/>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0860"/>
          </w:cols>
          <w:pgMar w:left="700" w:top="285"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5"/>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(k)(21)</w:t>
            </w:r>
          </w:p>
        </w:tc>
        <w:tc>
          <w:tcPr>
            <w:tcW w:w="400" w:type="dxa"/>
            <w:vAlign w:val="bottom"/>
          </w:tcPr>
          <w:p>
            <w:pPr>
              <w:spacing w:after="0"/>
              <w:rPr>
                <w:sz w:val="17"/>
                <w:szCs w:val="17"/>
                <w:color w:val="auto"/>
              </w:rPr>
            </w:pPr>
          </w:p>
        </w:tc>
        <w:tc>
          <w:tcPr>
            <w:tcW w:w="9840" w:type="dxa"/>
            <w:vAlign w:val="bottom"/>
            <w:gridSpan w:val="19"/>
          </w:tcPr>
          <w:p>
            <w:pPr>
              <w:spacing w:after="0"/>
              <w:rPr>
                <w:rFonts w:ascii="Times New Roman" w:cs="Times New Roman" w:eastAsia="Times New Roman" w:hAnsi="Times New Roman"/>
                <w:sz w:val="17"/>
                <w:szCs w:val="17"/>
                <w:color w:val="0000EE"/>
              </w:rPr>
            </w:pPr>
            <w:hyperlink r:id="rId158">
              <w:r>
                <w:rPr>
                  <w:rFonts w:ascii="Times New Roman" w:cs="Times New Roman" w:eastAsia="Times New Roman" w:hAnsi="Times New Roman"/>
                  <w:sz w:val="17"/>
                  <w:szCs w:val="17"/>
                  <w:color w:val="0000EE"/>
                </w:rPr>
                <w:t>Master Loan Sale Agreement, dated as of February 22, 2024, among PennantPark Floating Rate Capital Ltd., as seller, PennantPark CLO VIII,</w:t>
              </w:r>
            </w:hyperlink>
          </w:p>
        </w:tc>
      </w:tr>
      <w:tr>
        <w:trPr>
          <w:trHeight w:val="180"/>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80" w:type="dxa"/>
            <w:vAlign w:val="bottom"/>
            <w:tcBorders>
              <w:top w:val="single" w:sz="8" w:color="0000EE"/>
              <w:bottom w:val="single" w:sz="8" w:color="0000EE"/>
            </w:tcBorders>
            <w:gridSpan w:val="11"/>
          </w:tcPr>
          <w:p>
            <w:pPr>
              <w:spacing w:after="0" w:line="180" w:lineRule="exact"/>
              <w:rPr>
                <w:rFonts w:ascii="Times New Roman" w:cs="Times New Roman" w:eastAsia="Times New Roman" w:hAnsi="Times New Roman"/>
                <w:sz w:val="17"/>
                <w:szCs w:val="17"/>
                <w:color w:val="0000EE"/>
                <w:w w:val="97"/>
              </w:rPr>
            </w:pPr>
            <w:hyperlink r:id="rId158">
              <w:r>
                <w:rPr>
                  <w:rFonts w:ascii="Times New Roman" w:cs="Times New Roman" w:eastAsia="Times New Roman" w:hAnsi="Times New Roman"/>
                  <w:sz w:val="17"/>
                  <w:szCs w:val="17"/>
                  <w:color w:val="0000EE"/>
                  <w:w w:val="97"/>
                </w:rPr>
                <w:t>LLC, as buyer, and PennantPark Floating Rate Funding I, LLC as the financing subsidiary (Incorporated by reference to Exhibit 10.4 to the</w:t>
              </w:r>
            </w:hyperlink>
          </w:p>
        </w:tc>
        <w:tc>
          <w:tcPr>
            <w:tcW w:w="220" w:type="dxa"/>
            <w:vAlign w:val="bottom"/>
            <w:tcBorders>
              <w:top w:val="single" w:sz="8" w:color="0000EE"/>
            </w:tcBorders>
            <w:gridSpan w:val="3"/>
          </w:tcPr>
          <w:p>
            <w:pPr>
              <w:spacing w:after="0"/>
              <w:rPr>
                <w:sz w:val="15"/>
                <w:szCs w:val="15"/>
                <w:color w:val="auto"/>
              </w:rPr>
            </w:pPr>
          </w:p>
        </w:tc>
        <w:tc>
          <w:tcPr>
            <w:tcW w:w="340" w:type="dxa"/>
            <w:vAlign w:val="bottom"/>
            <w:gridSpan w:val="5"/>
          </w:tcPr>
          <w:p>
            <w:pPr>
              <w:spacing w:after="0"/>
              <w:rPr>
                <w:sz w:val="15"/>
                <w:szCs w:val="15"/>
                <w:color w:val="auto"/>
              </w:rPr>
            </w:pPr>
          </w:p>
        </w:tc>
      </w:tr>
      <w:tr>
        <w:trPr>
          <w:trHeight w:val="180"/>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940" w:type="dxa"/>
            <w:vAlign w:val="bottom"/>
            <w:tcBorders>
              <w:bottom w:val="single" w:sz="8" w:color="0000EE"/>
            </w:tcBorders>
            <w:gridSpan w:val="9"/>
          </w:tcPr>
          <w:p>
            <w:pPr>
              <w:spacing w:after="0" w:line="180" w:lineRule="exact"/>
              <w:rPr>
                <w:rFonts w:ascii="Times New Roman" w:cs="Times New Roman" w:eastAsia="Times New Roman" w:hAnsi="Times New Roman"/>
                <w:sz w:val="17"/>
                <w:szCs w:val="17"/>
                <w:color w:val="0000EE"/>
                <w:w w:val="97"/>
              </w:rPr>
            </w:pPr>
            <w:hyperlink r:id="rId158">
              <w:r>
                <w:rPr>
                  <w:rFonts w:ascii="Times New Roman" w:cs="Times New Roman" w:eastAsia="Times New Roman" w:hAnsi="Times New Roman"/>
                  <w:sz w:val="17"/>
                  <w:szCs w:val="17"/>
                  <w:color w:val="0000EE"/>
                  <w:w w:val="97"/>
                </w:rPr>
                <w:t>Registrant’s Form 8-K (File No. 814-00891), filed on February 27, 2024).</w:t>
              </w:r>
            </w:hyperlink>
          </w:p>
        </w:tc>
        <w:tc>
          <w:tcPr>
            <w:tcW w:w="4900" w:type="dxa"/>
            <w:vAlign w:val="bottom"/>
            <w:gridSpan w:val="10"/>
          </w:tcPr>
          <w:p>
            <w:pPr>
              <w:spacing w:after="0"/>
              <w:rPr>
                <w:sz w:val="15"/>
                <w:szCs w:val="15"/>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(l)(1)*</w:t>
            </w:r>
          </w:p>
        </w:tc>
        <w:tc>
          <w:tcPr>
            <w:tcW w:w="400" w:type="dxa"/>
            <w:vAlign w:val="bottom"/>
          </w:tcPr>
          <w:p>
            <w:pPr>
              <w:spacing w:after="0"/>
              <w:rPr>
                <w:sz w:val="24"/>
                <w:szCs w:val="24"/>
                <w:color w:val="auto"/>
              </w:rPr>
            </w:pPr>
          </w:p>
        </w:tc>
        <w:tc>
          <w:tcPr>
            <w:tcW w:w="2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5"/>
              </w:rPr>
              <w:t>Opinion and Consent of Venable LLP.</w:t>
            </w:r>
          </w:p>
        </w:tc>
        <w:tc>
          <w:tcPr>
            <w:tcW w:w="7300" w:type="dxa"/>
            <w:vAlign w:val="bottom"/>
            <w:gridSpan w:val="15"/>
          </w:tcPr>
          <w:p>
            <w:pPr>
              <w:spacing w:after="0"/>
              <w:rPr>
                <w:sz w:val="24"/>
                <w:szCs w:val="24"/>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(l)(2)*</w:t>
            </w:r>
          </w:p>
        </w:tc>
        <w:tc>
          <w:tcPr>
            <w:tcW w:w="400" w:type="dxa"/>
            <w:vAlign w:val="bottom"/>
          </w:tcPr>
          <w:p>
            <w:pPr>
              <w:spacing w:after="0"/>
              <w:rPr>
                <w:sz w:val="24"/>
                <w:szCs w:val="24"/>
                <w:color w:val="auto"/>
              </w:rPr>
            </w:pPr>
          </w:p>
        </w:tc>
        <w:tc>
          <w:tcPr>
            <w:tcW w:w="984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Opinion and Consent of Dechert LLP.</w:t>
            </w: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(n)(1)*</w:t>
            </w:r>
          </w:p>
        </w:tc>
        <w:tc>
          <w:tcPr>
            <w:tcW w:w="400" w:type="dxa"/>
            <w:vAlign w:val="bottom"/>
          </w:tcPr>
          <w:p>
            <w:pPr>
              <w:spacing w:after="0"/>
              <w:rPr>
                <w:sz w:val="24"/>
                <w:szCs w:val="24"/>
                <w:color w:val="auto"/>
              </w:rPr>
            </w:pPr>
          </w:p>
        </w:tc>
        <w:tc>
          <w:tcPr>
            <w:tcW w:w="17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6"/>
              </w:rPr>
              <w:t>Consent of RSM US LLP.</w:t>
            </w:r>
          </w:p>
        </w:tc>
        <w:tc>
          <w:tcPr>
            <w:tcW w:w="780" w:type="dxa"/>
            <w:vAlign w:val="bottom"/>
            <w:tcBorders>
              <w:top w:val="single" w:sz="8" w:color="0000EE"/>
            </w:tcBorders>
            <w:gridSpan w:val="2"/>
          </w:tcPr>
          <w:p>
            <w:pPr>
              <w:spacing w:after="0"/>
              <w:rPr>
                <w:sz w:val="24"/>
                <w:szCs w:val="24"/>
                <w:color w:val="auto"/>
              </w:rPr>
            </w:pPr>
          </w:p>
        </w:tc>
        <w:tc>
          <w:tcPr>
            <w:tcW w:w="7320" w:type="dxa"/>
            <w:vAlign w:val="bottom"/>
            <w:gridSpan w:val="16"/>
          </w:tcPr>
          <w:p>
            <w:pPr>
              <w:spacing w:after="0"/>
              <w:rPr>
                <w:sz w:val="24"/>
                <w:szCs w:val="24"/>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(n)(2)*</w:t>
            </w:r>
          </w:p>
        </w:tc>
        <w:tc>
          <w:tcPr>
            <w:tcW w:w="400" w:type="dxa"/>
            <w:vAlign w:val="bottom"/>
          </w:tcPr>
          <w:p>
            <w:pPr>
              <w:spacing w:after="0"/>
              <w:rPr>
                <w:sz w:val="24"/>
                <w:szCs w:val="24"/>
                <w:color w:val="auto"/>
              </w:rPr>
            </w:pPr>
          </w:p>
        </w:tc>
        <w:tc>
          <w:tcPr>
            <w:tcW w:w="17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6"/>
              </w:rPr>
              <w:t>Consent of RSM US LLP.</w:t>
            </w:r>
          </w:p>
        </w:tc>
        <w:tc>
          <w:tcPr>
            <w:tcW w:w="8100" w:type="dxa"/>
            <w:vAlign w:val="bottom"/>
            <w:gridSpan w:val="18"/>
          </w:tcPr>
          <w:p>
            <w:pPr>
              <w:spacing w:after="0"/>
              <w:rPr>
                <w:sz w:val="24"/>
                <w:szCs w:val="24"/>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(n)(3)</w:t>
            </w:r>
          </w:p>
        </w:tc>
        <w:tc>
          <w:tcPr>
            <w:tcW w:w="400" w:type="dxa"/>
            <w:vAlign w:val="bottom"/>
          </w:tcPr>
          <w:p>
            <w:pPr>
              <w:spacing w:after="0"/>
              <w:rPr>
                <w:sz w:val="24"/>
                <w:szCs w:val="24"/>
                <w:color w:val="auto"/>
              </w:rPr>
            </w:pPr>
          </w:p>
        </w:tc>
        <w:tc>
          <w:tcPr>
            <w:tcW w:w="9840" w:type="dxa"/>
            <w:vAlign w:val="bottom"/>
            <w:gridSpan w:val="19"/>
          </w:tcPr>
          <w:p>
            <w:pPr>
              <w:spacing w:after="0"/>
              <w:rPr>
                <w:rFonts w:ascii="Times New Roman" w:cs="Times New Roman" w:eastAsia="Times New Roman" w:hAnsi="Times New Roman"/>
                <w:sz w:val="17"/>
                <w:szCs w:val="17"/>
                <w:color w:val="0000EE"/>
              </w:rPr>
            </w:pPr>
            <w:hyperlink r:id="rId159">
              <w:r>
                <w:rPr>
                  <w:rFonts w:ascii="Times New Roman" w:cs="Times New Roman" w:eastAsia="Times New Roman" w:hAnsi="Times New Roman"/>
                  <w:sz w:val="17"/>
                  <w:szCs w:val="17"/>
                  <w:color w:val="0000EE"/>
                </w:rPr>
                <w:t>Report of RSM US LLP on Senior Securities Table (Incorporated by reference to Exhibit 99.2 to the Registrant’s Annual Report on Form 10-K</w:t>
              </w:r>
            </w:hyperlink>
          </w:p>
        </w:tc>
      </w:tr>
      <w:tr>
        <w:trPr>
          <w:trHeight w:val="180"/>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5"/>
          </w:tcPr>
          <w:p>
            <w:pPr>
              <w:spacing w:after="0" w:line="180" w:lineRule="exact"/>
              <w:rPr>
                <w:rFonts w:ascii="Times New Roman" w:cs="Times New Roman" w:eastAsia="Times New Roman" w:hAnsi="Times New Roman"/>
                <w:sz w:val="17"/>
                <w:szCs w:val="17"/>
                <w:color w:val="0000EE"/>
                <w:w w:val="97"/>
              </w:rPr>
            </w:pPr>
            <w:hyperlink r:id="rId159">
              <w:r>
                <w:rPr>
                  <w:rFonts w:ascii="Times New Roman" w:cs="Times New Roman" w:eastAsia="Times New Roman" w:hAnsi="Times New Roman"/>
                  <w:sz w:val="17"/>
                  <w:szCs w:val="17"/>
                  <w:color w:val="0000EE"/>
                  <w:w w:val="97"/>
                </w:rPr>
                <w:t>(File No. 814-00891), accepted on December 7, 2023).</w:t>
              </w:r>
            </w:hyperlink>
          </w:p>
        </w:tc>
        <w:tc>
          <w:tcPr>
            <w:tcW w:w="5860" w:type="dxa"/>
            <w:vAlign w:val="bottom"/>
            <w:tcBorders>
              <w:top w:val="single" w:sz="8" w:color="0000EE"/>
            </w:tcBorders>
            <w:gridSpan w:val="10"/>
          </w:tcPr>
          <w:p>
            <w:pPr>
              <w:spacing w:after="0"/>
              <w:rPr>
                <w:sz w:val="15"/>
                <w:szCs w:val="15"/>
                <w:color w:val="auto"/>
              </w:rPr>
            </w:pPr>
          </w:p>
        </w:tc>
        <w:tc>
          <w:tcPr>
            <w:tcW w:w="320" w:type="dxa"/>
            <w:vAlign w:val="bottom"/>
            <w:gridSpan w:val="4"/>
          </w:tcPr>
          <w:p>
            <w:pPr>
              <w:spacing w:after="0"/>
              <w:rPr>
                <w:sz w:val="15"/>
                <w:szCs w:val="15"/>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(r)(1)</w:t>
            </w:r>
          </w:p>
        </w:tc>
        <w:tc>
          <w:tcPr>
            <w:tcW w:w="400" w:type="dxa"/>
            <w:vAlign w:val="bottom"/>
          </w:tcPr>
          <w:p>
            <w:pPr>
              <w:spacing w:after="0"/>
              <w:rPr>
                <w:sz w:val="24"/>
                <w:szCs w:val="24"/>
                <w:color w:val="auto"/>
              </w:rPr>
            </w:pPr>
          </w:p>
        </w:tc>
        <w:tc>
          <w:tcPr>
            <w:tcW w:w="9840" w:type="dxa"/>
            <w:vAlign w:val="bottom"/>
            <w:tcBorders>
              <w:bottom w:val="single" w:sz="8" w:color="0000EE"/>
            </w:tcBorders>
            <w:gridSpan w:val="19"/>
          </w:tcPr>
          <w:p>
            <w:pPr>
              <w:spacing w:after="0"/>
              <w:rPr>
                <w:rFonts w:ascii="Times New Roman" w:cs="Times New Roman" w:eastAsia="Times New Roman" w:hAnsi="Times New Roman"/>
                <w:sz w:val="17"/>
                <w:szCs w:val="17"/>
                <w:color w:val="0000EE"/>
                <w:w w:val="97"/>
              </w:rPr>
            </w:pPr>
            <w:hyperlink r:id="rId160">
              <w:r>
                <w:rPr>
                  <w:rFonts w:ascii="Times New Roman" w:cs="Times New Roman" w:eastAsia="Times New Roman" w:hAnsi="Times New Roman"/>
                  <w:sz w:val="17"/>
                  <w:szCs w:val="17"/>
                  <w:color w:val="0000EE"/>
                  <w:w w:val="97"/>
                </w:rPr>
                <w:t>Joint Code of Ethics of the Registrant, PennantPark Investment Corporation and PennantPark Investment Advisers, LLC (Incorporated by reference</w:t>
              </w:r>
            </w:hyperlink>
          </w:p>
        </w:tc>
      </w:tr>
      <w:tr>
        <w:trPr>
          <w:trHeight w:val="180"/>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60" w:type="dxa"/>
            <w:vAlign w:val="bottom"/>
            <w:tcBorders>
              <w:bottom w:val="single" w:sz="8" w:color="0000EE"/>
            </w:tcBorders>
            <w:gridSpan w:val="10"/>
          </w:tcPr>
          <w:p>
            <w:pPr>
              <w:spacing w:after="0" w:line="180" w:lineRule="exact"/>
              <w:rPr>
                <w:rFonts w:ascii="Times New Roman" w:cs="Times New Roman" w:eastAsia="Times New Roman" w:hAnsi="Times New Roman"/>
                <w:sz w:val="17"/>
                <w:szCs w:val="17"/>
                <w:color w:val="0000EE"/>
                <w:w w:val="97"/>
              </w:rPr>
            </w:pPr>
            <w:hyperlink r:id="rId160">
              <w:r>
                <w:rPr>
                  <w:rFonts w:ascii="Times New Roman" w:cs="Times New Roman" w:eastAsia="Times New Roman" w:hAnsi="Times New Roman"/>
                  <w:sz w:val="17"/>
                  <w:szCs w:val="17"/>
                  <w:color w:val="0000EE"/>
                  <w:w w:val="97"/>
                </w:rPr>
                <w:t>to Exhibit 14.1 to the Registrant’s Annual Report on Form 10-K (File No. 814-00891), accepted on December 7, 2023).</w:t>
              </w:r>
            </w:hyperlink>
          </w:p>
        </w:tc>
        <w:tc>
          <w:tcPr>
            <w:tcW w:w="1880" w:type="dxa"/>
            <w:vAlign w:val="bottom"/>
            <w:gridSpan w:val="9"/>
          </w:tcPr>
          <w:p>
            <w:pPr>
              <w:spacing w:after="0"/>
              <w:rPr>
                <w:sz w:val="15"/>
                <w:szCs w:val="15"/>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(s)(1)</w:t>
            </w:r>
          </w:p>
        </w:tc>
        <w:tc>
          <w:tcPr>
            <w:tcW w:w="400" w:type="dxa"/>
            <w:vAlign w:val="bottom"/>
          </w:tcPr>
          <w:p>
            <w:pPr>
              <w:spacing w:after="0"/>
              <w:rPr>
                <w:sz w:val="24"/>
                <w:szCs w:val="24"/>
                <w:color w:val="auto"/>
              </w:rPr>
            </w:pPr>
          </w:p>
        </w:tc>
        <w:tc>
          <w:tcPr>
            <w:tcW w:w="94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7"/>
              </w:rPr>
            </w:pPr>
            <w:hyperlink r:id="rId161">
              <w:r>
                <w:rPr>
                  <w:rFonts w:ascii="Times New Roman" w:cs="Times New Roman" w:eastAsia="Times New Roman" w:hAnsi="Times New Roman"/>
                  <w:sz w:val="17"/>
                  <w:szCs w:val="17"/>
                  <w:color w:val="0000EE"/>
                  <w:w w:val="97"/>
                </w:rPr>
                <w:t>Form of Prospectus Supplement For Common Stock Offerings (Incorporated by reference to Exhibit 99(S)(1) to the Registrant’s Registration</w:t>
              </w:r>
            </w:hyperlink>
          </w:p>
        </w:tc>
        <w:tc>
          <w:tcPr>
            <w:tcW w:w="420" w:type="dxa"/>
            <w:vAlign w:val="bottom"/>
            <w:gridSpan w:val="6"/>
          </w:tcPr>
          <w:p>
            <w:pPr>
              <w:spacing w:after="0"/>
              <w:rPr>
                <w:sz w:val="24"/>
                <w:szCs w:val="24"/>
                <w:color w:val="auto"/>
              </w:rPr>
            </w:pPr>
          </w:p>
        </w:tc>
      </w:tr>
      <w:tr>
        <w:trPr>
          <w:trHeight w:val="180"/>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920" w:type="dxa"/>
            <w:vAlign w:val="bottom"/>
            <w:tcBorders>
              <w:bottom w:val="single" w:sz="8" w:color="0000EE"/>
            </w:tcBorders>
            <w:gridSpan w:val="8"/>
          </w:tcPr>
          <w:p>
            <w:pPr>
              <w:spacing w:after="0" w:line="180" w:lineRule="exact"/>
              <w:rPr>
                <w:rFonts w:ascii="Times New Roman" w:cs="Times New Roman" w:eastAsia="Times New Roman" w:hAnsi="Times New Roman"/>
                <w:sz w:val="17"/>
                <w:szCs w:val="17"/>
                <w:color w:val="0000EE"/>
                <w:w w:val="97"/>
              </w:rPr>
            </w:pPr>
            <w:hyperlink r:id="rId161">
              <w:r>
                <w:rPr>
                  <w:rFonts w:ascii="Times New Roman" w:cs="Times New Roman" w:eastAsia="Times New Roman" w:hAnsi="Times New Roman"/>
                  <w:sz w:val="17"/>
                  <w:szCs w:val="17"/>
                  <w:color w:val="0000EE"/>
                  <w:w w:val="97"/>
                </w:rPr>
                <w:t>Statement on Form N-2 (File No. 333-180084), filed on March 14, 2012).</w:t>
              </w:r>
            </w:hyperlink>
          </w:p>
        </w:tc>
        <w:tc>
          <w:tcPr>
            <w:tcW w:w="4920" w:type="dxa"/>
            <w:vAlign w:val="bottom"/>
            <w:gridSpan w:val="11"/>
          </w:tcPr>
          <w:p>
            <w:pPr>
              <w:spacing w:after="0"/>
              <w:rPr>
                <w:sz w:val="15"/>
                <w:szCs w:val="15"/>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(s)(2)</w:t>
            </w:r>
          </w:p>
        </w:tc>
        <w:tc>
          <w:tcPr>
            <w:tcW w:w="400" w:type="dxa"/>
            <w:vAlign w:val="bottom"/>
          </w:tcPr>
          <w:p>
            <w:pPr>
              <w:spacing w:after="0"/>
              <w:rPr>
                <w:sz w:val="24"/>
                <w:szCs w:val="24"/>
                <w:color w:val="auto"/>
              </w:rPr>
            </w:pPr>
          </w:p>
        </w:tc>
        <w:tc>
          <w:tcPr>
            <w:tcW w:w="940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7"/>
              </w:rPr>
            </w:pPr>
            <w:hyperlink r:id="rId162">
              <w:r>
                <w:rPr>
                  <w:rFonts w:ascii="Times New Roman" w:cs="Times New Roman" w:eastAsia="Times New Roman" w:hAnsi="Times New Roman"/>
                  <w:sz w:val="17"/>
                  <w:szCs w:val="17"/>
                  <w:color w:val="0000EE"/>
                  <w:w w:val="97"/>
                </w:rPr>
                <w:t>Form of Prospectus Supplement For Preferred Stock Offerings (Incorporated by reference to Exhibit 99(S)(2) to the Registrant’s Registration</w:t>
              </w:r>
            </w:hyperlink>
          </w:p>
        </w:tc>
        <w:tc>
          <w:tcPr>
            <w:tcW w:w="440" w:type="dxa"/>
            <w:vAlign w:val="bottom"/>
            <w:gridSpan w:val="7"/>
          </w:tcPr>
          <w:p>
            <w:pPr>
              <w:spacing w:after="0"/>
              <w:rPr>
                <w:sz w:val="24"/>
                <w:szCs w:val="24"/>
                <w:color w:val="auto"/>
              </w:rPr>
            </w:pPr>
          </w:p>
        </w:tc>
      </w:tr>
      <w:tr>
        <w:trPr>
          <w:trHeight w:val="180"/>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920" w:type="dxa"/>
            <w:vAlign w:val="bottom"/>
            <w:tcBorders>
              <w:bottom w:val="single" w:sz="8" w:color="0000EE"/>
            </w:tcBorders>
            <w:gridSpan w:val="8"/>
          </w:tcPr>
          <w:p>
            <w:pPr>
              <w:spacing w:after="0" w:line="180" w:lineRule="exact"/>
              <w:rPr>
                <w:rFonts w:ascii="Times New Roman" w:cs="Times New Roman" w:eastAsia="Times New Roman" w:hAnsi="Times New Roman"/>
                <w:sz w:val="17"/>
                <w:szCs w:val="17"/>
                <w:color w:val="0000EE"/>
                <w:w w:val="97"/>
              </w:rPr>
            </w:pPr>
            <w:hyperlink r:id="rId162">
              <w:r>
                <w:rPr>
                  <w:rFonts w:ascii="Times New Roman" w:cs="Times New Roman" w:eastAsia="Times New Roman" w:hAnsi="Times New Roman"/>
                  <w:sz w:val="17"/>
                  <w:szCs w:val="17"/>
                  <w:color w:val="0000EE"/>
                  <w:w w:val="97"/>
                </w:rPr>
                <w:t>Statement on Form N-2 (File No. 333-180084), filed on March 14, 2012).</w:t>
              </w:r>
            </w:hyperlink>
          </w:p>
        </w:tc>
        <w:tc>
          <w:tcPr>
            <w:tcW w:w="4920" w:type="dxa"/>
            <w:vAlign w:val="bottom"/>
            <w:gridSpan w:val="11"/>
          </w:tcPr>
          <w:p>
            <w:pPr>
              <w:spacing w:after="0"/>
              <w:rPr>
                <w:sz w:val="15"/>
                <w:szCs w:val="15"/>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(s)(3)</w:t>
            </w:r>
          </w:p>
        </w:tc>
        <w:tc>
          <w:tcPr>
            <w:tcW w:w="400" w:type="dxa"/>
            <w:vAlign w:val="bottom"/>
          </w:tcPr>
          <w:p>
            <w:pPr>
              <w:spacing w:after="0"/>
              <w:rPr>
                <w:sz w:val="24"/>
                <w:szCs w:val="24"/>
                <w:color w:val="auto"/>
              </w:rPr>
            </w:pPr>
          </w:p>
        </w:tc>
        <w:tc>
          <w:tcPr>
            <w:tcW w:w="960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w w:val="97"/>
              </w:rPr>
            </w:pPr>
            <w:hyperlink r:id="rId163">
              <w:r>
                <w:rPr>
                  <w:rFonts w:ascii="Times New Roman" w:cs="Times New Roman" w:eastAsia="Times New Roman" w:hAnsi="Times New Roman"/>
                  <w:sz w:val="17"/>
                  <w:szCs w:val="17"/>
                  <w:color w:val="0000EE"/>
                  <w:w w:val="97"/>
                </w:rPr>
                <w:t>Form of Prospectus Supplement For Debt Offerings (Incorporated by reference to Exhibit 99(S)(3) to the Registrant’s Registration Statement on</w:t>
              </w:r>
            </w:hyperlink>
          </w:p>
        </w:tc>
        <w:tc>
          <w:tcPr>
            <w:tcW w:w="240" w:type="dxa"/>
            <w:vAlign w:val="bottom"/>
            <w:gridSpan w:val="3"/>
          </w:tcPr>
          <w:p>
            <w:pPr>
              <w:spacing w:after="0"/>
              <w:rPr>
                <w:sz w:val="24"/>
                <w:szCs w:val="24"/>
                <w:color w:val="auto"/>
              </w:rPr>
            </w:pPr>
          </w:p>
        </w:tc>
      </w:tr>
      <w:tr>
        <w:trPr>
          <w:trHeight w:val="180"/>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20" w:type="dxa"/>
            <w:vAlign w:val="bottom"/>
            <w:tcBorders>
              <w:bottom w:val="single" w:sz="8" w:color="0000EE"/>
            </w:tcBorders>
            <w:gridSpan w:val="7"/>
          </w:tcPr>
          <w:p>
            <w:pPr>
              <w:spacing w:after="0" w:line="180" w:lineRule="exact"/>
              <w:rPr>
                <w:rFonts w:ascii="Times New Roman" w:cs="Times New Roman" w:eastAsia="Times New Roman" w:hAnsi="Times New Roman"/>
                <w:sz w:val="17"/>
                <w:szCs w:val="17"/>
                <w:color w:val="0000EE"/>
                <w:w w:val="97"/>
              </w:rPr>
            </w:pPr>
            <w:hyperlink r:id="rId163">
              <w:r>
                <w:rPr>
                  <w:rFonts w:ascii="Times New Roman" w:cs="Times New Roman" w:eastAsia="Times New Roman" w:hAnsi="Times New Roman"/>
                  <w:sz w:val="17"/>
                  <w:szCs w:val="17"/>
                  <w:color w:val="0000EE"/>
                  <w:w w:val="97"/>
                </w:rPr>
                <w:t>Form N-2 (File No. 333-180084), filed on March 14, 2012).</w:t>
              </w:r>
            </w:hyperlink>
          </w:p>
        </w:tc>
        <w:tc>
          <w:tcPr>
            <w:tcW w:w="5820" w:type="dxa"/>
            <w:vAlign w:val="bottom"/>
            <w:gridSpan w:val="12"/>
          </w:tcPr>
          <w:p>
            <w:pPr>
              <w:spacing w:after="0"/>
              <w:rPr>
                <w:sz w:val="15"/>
                <w:szCs w:val="15"/>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(s)(4)</w:t>
            </w:r>
          </w:p>
        </w:tc>
        <w:tc>
          <w:tcPr>
            <w:tcW w:w="400" w:type="dxa"/>
            <w:vAlign w:val="bottom"/>
          </w:tcPr>
          <w:p>
            <w:pPr>
              <w:spacing w:after="0"/>
              <w:rPr>
                <w:sz w:val="24"/>
                <w:szCs w:val="24"/>
                <w:color w:val="auto"/>
              </w:rPr>
            </w:pPr>
          </w:p>
        </w:tc>
        <w:tc>
          <w:tcPr>
            <w:tcW w:w="9840" w:type="dxa"/>
            <w:vAlign w:val="bottom"/>
            <w:gridSpan w:val="19"/>
          </w:tcPr>
          <w:p>
            <w:pPr>
              <w:spacing w:after="0"/>
              <w:rPr>
                <w:rFonts w:ascii="Times New Roman" w:cs="Times New Roman" w:eastAsia="Times New Roman" w:hAnsi="Times New Roman"/>
                <w:sz w:val="17"/>
                <w:szCs w:val="17"/>
                <w:color w:val="0000EE"/>
                <w:w w:val="98"/>
              </w:rPr>
            </w:pPr>
            <w:hyperlink r:id="rId164">
              <w:r>
                <w:rPr>
                  <w:rFonts w:ascii="Times New Roman" w:cs="Times New Roman" w:eastAsia="Times New Roman" w:hAnsi="Times New Roman"/>
                  <w:sz w:val="17"/>
                  <w:szCs w:val="17"/>
                  <w:color w:val="0000EE"/>
                  <w:w w:val="98"/>
                </w:rPr>
                <w:t>Form of Prospectus Supplement For Rights Offerings (Incorporated by reference to Exhibit 99(S)(4) to the Registrant’s Registration Statement on</w:t>
              </w:r>
            </w:hyperlink>
          </w:p>
        </w:tc>
      </w:tr>
      <w:tr>
        <w:trPr>
          <w:trHeight w:val="180"/>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20" w:type="dxa"/>
            <w:vAlign w:val="bottom"/>
            <w:tcBorders>
              <w:top w:val="single" w:sz="8" w:color="0000EE"/>
              <w:bottom w:val="single" w:sz="8" w:color="0000EE"/>
            </w:tcBorders>
            <w:gridSpan w:val="7"/>
          </w:tcPr>
          <w:p>
            <w:pPr>
              <w:spacing w:after="0" w:line="180" w:lineRule="exact"/>
              <w:rPr>
                <w:rFonts w:ascii="Times New Roman" w:cs="Times New Roman" w:eastAsia="Times New Roman" w:hAnsi="Times New Roman"/>
                <w:sz w:val="17"/>
                <w:szCs w:val="17"/>
                <w:color w:val="0000EE"/>
                <w:w w:val="97"/>
              </w:rPr>
            </w:pPr>
            <w:hyperlink r:id="rId164">
              <w:r>
                <w:rPr>
                  <w:rFonts w:ascii="Times New Roman" w:cs="Times New Roman" w:eastAsia="Times New Roman" w:hAnsi="Times New Roman"/>
                  <w:sz w:val="17"/>
                  <w:szCs w:val="17"/>
                  <w:color w:val="0000EE"/>
                  <w:w w:val="97"/>
                </w:rPr>
                <w:t>Form N-2 (File No. 333-180084), filed on March 14, 2012).</w:t>
              </w:r>
            </w:hyperlink>
          </w:p>
        </w:tc>
        <w:tc>
          <w:tcPr>
            <w:tcW w:w="5680" w:type="dxa"/>
            <w:vAlign w:val="bottom"/>
            <w:tcBorders>
              <w:top w:val="single" w:sz="8" w:color="0000EE"/>
            </w:tcBorders>
            <w:gridSpan w:val="10"/>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(s)(5)</w:t>
            </w:r>
          </w:p>
        </w:tc>
        <w:tc>
          <w:tcPr>
            <w:tcW w:w="400" w:type="dxa"/>
            <w:vAlign w:val="bottom"/>
          </w:tcPr>
          <w:p>
            <w:pPr>
              <w:spacing w:after="0"/>
              <w:rPr>
                <w:sz w:val="24"/>
                <w:szCs w:val="24"/>
                <w:color w:val="auto"/>
              </w:rPr>
            </w:pPr>
          </w:p>
        </w:tc>
        <w:tc>
          <w:tcPr>
            <w:tcW w:w="9840" w:type="dxa"/>
            <w:vAlign w:val="bottom"/>
            <w:gridSpan w:val="19"/>
          </w:tcPr>
          <w:p>
            <w:pPr>
              <w:spacing w:after="0"/>
              <w:rPr>
                <w:rFonts w:ascii="Times New Roman" w:cs="Times New Roman" w:eastAsia="Times New Roman" w:hAnsi="Times New Roman"/>
                <w:sz w:val="17"/>
                <w:szCs w:val="17"/>
                <w:color w:val="0000EE"/>
                <w:w w:val="97"/>
              </w:rPr>
            </w:pPr>
            <w:hyperlink r:id="rId165">
              <w:r>
                <w:rPr>
                  <w:rFonts w:ascii="Times New Roman" w:cs="Times New Roman" w:eastAsia="Times New Roman" w:hAnsi="Times New Roman"/>
                  <w:sz w:val="17"/>
                  <w:szCs w:val="17"/>
                  <w:color w:val="0000EE"/>
                  <w:w w:val="97"/>
                </w:rPr>
                <w:t>Form of Prospectus Supplement For Warrant Offerings (Incorporated by reference to Exhibit 99(S)(5) to the Registrant’s Registration Statement on</w:t>
              </w:r>
            </w:hyperlink>
          </w:p>
        </w:tc>
      </w:tr>
      <w:tr>
        <w:trPr>
          <w:trHeight w:val="180"/>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6"/>
          </w:tcPr>
          <w:p>
            <w:pPr>
              <w:spacing w:after="0" w:line="180" w:lineRule="exact"/>
              <w:rPr>
                <w:rFonts w:ascii="Times New Roman" w:cs="Times New Roman" w:eastAsia="Times New Roman" w:hAnsi="Times New Roman"/>
                <w:sz w:val="17"/>
                <w:szCs w:val="17"/>
                <w:color w:val="0000EE"/>
                <w:w w:val="97"/>
              </w:rPr>
            </w:pPr>
            <w:hyperlink r:id="rId165">
              <w:r>
                <w:rPr>
                  <w:rFonts w:ascii="Times New Roman" w:cs="Times New Roman" w:eastAsia="Times New Roman" w:hAnsi="Times New Roman"/>
                  <w:sz w:val="17"/>
                  <w:szCs w:val="17"/>
                  <w:color w:val="0000EE"/>
                  <w:w w:val="97"/>
                </w:rPr>
                <w:t>Form N-2 (File No. 333-180084), filed on March 14, 2012).</w:t>
              </w:r>
            </w:hyperlink>
          </w:p>
        </w:tc>
        <w:tc>
          <w:tcPr>
            <w:tcW w:w="5800" w:type="dxa"/>
            <w:vAlign w:val="bottom"/>
            <w:tcBorders>
              <w:top w:val="single" w:sz="8" w:color="0000EE"/>
            </w:tcBorders>
            <w:gridSpan w:val="12"/>
          </w:tcPr>
          <w:p>
            <w:pPr>
              <w:spacing w:after="0"/>
              <w:rPr>
                <w:sz w:val="15"/>
                <w:szCs w:val="15"/>
                <w:color w:val="auto"/>
              </w:rPr>
            </w:pPr>
          </w:p>
        </w:tc>
        <w:tc>
          <w:tcPr>
            <w:tcW w:w="40" w:type="dxa"/>
            <w:vAlign w:val="bottom"/>
          </w:tcPr>
          <w:p>
            <w:pPr>
              <w:spacing w:after="0"/>
              <w:rPr>
                <w:sz w:val="15"/>
                <w:szCs w:val="15"/>
                <w:color w:val="auto"/>
              </w:rPr>
            </w:pPr>
          </w:p>
        </w:tc>
      </w:tr>
      <w:tr>
        <w:trPr>
          <w:trHeight w:val="279"/>
        </w:trPr>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(s)(6)*</w:t>
            </w:r>
          </w:p>
        </w:tc>
        <w:tc>
          <w:tcPr>
            <w:tcW w:w="400" w:type="dxa"/>
            <w:vAlign w:val="bottom"/>
          </w:tcPr>
          <w:p>
            <w:pPr>
              <w:spacing w:after="0"/>
              <w:rPr>
                <w:sz w:val="24"/>
                <w:szCs w:val="24"/>
                <w:color w:val="auto"/>
              </w:rPr>
            </w:pPr>
          </w:p>
        </w:tc>
        <w:tc>
          <w:tcPr>
            <w:tcW w:w="984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Calculation of Filing Fee Table.</w:t>
            </w:r>
          </w:p>
        </w:tc>
      </w:tr>
      <w:tr>
        <w:trPr>
          <w:trHeight w:val="442"/>
        </w:trPr>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Filed herewith</w:t>
            </w:r>
          </w:p>
        </w:tc>
        <w:tc>
          <w:tcPr>
            <w:tcW w:w="2120" w:type="dxa"/>
            <w:vAlign w:val="bottom"/>
            <w:tcBorders>
              <w:top w:val="single" w:sz="8" w:color="0000EE"/>
            </w:tcBorders>
            <w:gridSpan w:val="2"/>
          </w:tcPr>
          <w:p>
            <w:pPr>
              <w:spacing w:after="0"/>
              <w:rPr>
                <w:sz w:val="24"/>
                <w:szCs w:val="24"/>
                <w:color w:val="auto"/>
              </w:rPr>
            </w:pPr>
          </w:p>
        </w:tc>
        <w:tc>
          <w:tcPr>
            <w:tcW w:w="7720" w:type="dxa"/>
            <w:vAlign w:val="bottom"/>
            <w:gridSpan w:val="17"/>
          </w:tcPr>
          <w:p>
            <w:pPr>
              <w:spacing w:after="0"/>
              <w:rPr>
                <w:sz w:val="24"/>
                <w:szCs w:val="24"/>
                <w:color w:val="auto"/>
              </w:rPr>
            </w:pPr>
          </w:p>
        </w:tc>
      </w:tr>
      <w:tr>
        <w:trPr>
          <w:trHeight w:val="536"/>
        </w:trPr>
        <w:tc>
          <w:tcPr>
            <w:tcW w:w="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26.</w:t>
            </w:r>
          </w:p>
        </w:tc>
        <w:tc>
          <w:tcPr>
            <w:tcW w:w="10240" w:type="dxa"/>
            <w:vAlign w:val="bottom"/>
            <w:gridSpan w:val="20"/>
          </w:tcPr>
          <w:p>
            <w:pPr>
              <w:ind w:left="140"/>
              <w:spacing w:after="0"/>
              <w:rPr>
                <w:sz w:val="20"/>
                <w:szCs w:val="20"/>
                <w:color w:val="auto"/>
              </w:rPr>
            </w:pPr>
            <w:r>
              <w:rPr>
                <w:rFonts w:ascii="Times New Roman" w:cs="Times New Roman" w:eastAsia="Times New Roman" w:hAnsi="Times New Roman"/>
                <w:sz w:val="17"/>
                <w:szCs w:val="17"/>
                <w:b w:val="1"/>
                <w:bCs w:val="1"/>
                <w:color w:val="auto"/>
              </w:rPr>
              <w:t>Marketing arrangements</w:t>
            </w:r>
          </w:p>
        </w:tc>
      </w:tr>
    </w:tbl>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7183755" cy="5207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7"/>
          <w:szCs w:val="17"/>
          <w:color w:val="auto"/>
        </w:rPr>
        <w:t>The information contained under the heading “Plan of Distribution” in this Registration Statement is hereby incorporated by reference.</w:t>
      </w:r>
    </w:p>
    <w:p>
      <w:pPr>
        <w:spacing w:after="0" w:line="33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27.</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estimated expenses to be incurred by the Registrant in connection with the offering described in this registration statement:</w:t>
      </w:r>
    </w:p>
    <w:p>
      <w:pPr>
        <w:spacing w:after="0" w:line="245" w:lineRule="exact"/>
        <w:rPr>
          <w:sz w:val="20"/>
          <w:szCs w:val="20"/>
          <w:color w:val="auto"/>
        </w:rPr>
      </w:pPr>
    </w:p>
    <w:tbl>
      <w:tblPr>
        <w:tblLayout w:type="fixed"/>
        <w:tblInd w:w="1800" w:type="dxa"/>
        <w:tblCellMar>
          <w:top w:w="0" w:type="dxa"/>
          <w:left w:w="0" w:type="dxa"/>
          <w:bottom w:w="0" w:type="dxa"/>
          <w:right w:w="0" w:type="dxa"/>
        </w:tblCellMar>
      </w:tblPr>
      <w:tr>
        <w:trPr>
          <w:trHeight w:val="20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117,808.29*</w:t>
            </w:r>
          </w:p>
        </w:tc>
      </w:tr>
      <w:tr>
        <w:trPr>
          <w:trHeight w:val="200"/>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NYSE listing fee</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Printing (other than certificates)</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 fees and expenses</w:t>
            </w:r>
          </w:p>
        </w:tc>
        <w:tc>
          <w:tcPr>
            <w:tcW w:w="3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37"/>
        </w:trPr>
        <w:tc>
          <w:tcPr>
            <w:tcW w:w="2960" w:type="dxa"/>
            <w:vAlign w:val="bottom"/>
          </w:tcPr>
          <w:p>
            <w:pPr>
              <w:spacing w:after="0"/>
              <w:rPr>
                <w:sz w:val="24"/>
                <w:szCs w:val="24"/>
                <w:color w:val="auto"/>
              </w:rPr>
            </w:pPr>
          </w:p>
        </w:tc>
        <w:tc>
          <w:tcPr>
            <w:tcW w:w="3740" w:type="dxa"/>
            <w:vAlign w:val="bottom"/>
          </w:tcPr>
          <w:p>
            <w:pPr>
              <w:jc w:val="right"/>
              <w:ind w:right="2717"/>
              <w:spacing w:after="0"/>
              <w:rPr>
                <w:sz w:val="20"/>
                <w:szCs w:val="20"/>
                <w:color w:val="auto"/>
              </w:rPr>
            </w:pPr>
            <w:r>
              <w:rPr>
                <w:rFonts w:ascii="Times New Roman" w:cs="Times New Roman" w:eastAsia="Times New Roman" w:hAnsi="Times New Roman"/>
                <w:sz w:val="17"/>
                <w:szCs w:val="17"/>
                <w:color w:val="auto"/>
              </w:rPr>
              <w:t>86</w:t>
            </w:r>
          </w:p>
        </w:tc>
        <w:tc>
          <w:tcPr>
            <w:tcW w:w="960" w:type="dxa"/>
            <w:vAlign w:val="bottom"/>
          </w:tcPr>
          <w:p>
            <w:pPr>
              <w:spacing w:after="0"/>
              <w:rPr>
                <w:sz w:val="24"/>
                <w:szCs w:val="24"/>
                <w:color w:val="auto"/>
              </w:rPr>
            </w:pPr>
          </w:p>
        </w:tc>
      </w:tr>
    </w:tbl>
    <w:p>
      <w:pPr>
        <w:sectPr>
          <w:pgSz w:w="11900" w:h="16838" w:orient="portrait"/>
          <w:cols w:equalWidth="0" w:num="1">
            <w:col w:w="11220"/>
          </w:cols>
          <w:pgMar w:left="320" w:top="268" w:right="35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83755" cy="52070"/>
                    </a:xfrm>
                    <a:prstGeom prst="rect">
                      <a:avLst/>
                    </a:prstGeom>
                    <a:noFill/>
                  </pic:spPr>
                </pic:pic>
              </a:graphicData>
            </a:graphic>
          </wp:anchor>
        </w:drawing>
        <w:t>All of the expenses set forth above shall be borne by the Registrant.</w:t>
      </w:r>
    </w:p>
    <w:p>
      <w:pPr>
        <w:spacing w:after="0" w:line="229" w:lineRule="exact"/>
        <w:rPr>
          <w:sz w:val="20"/>
          <w:szCs w:val="20"/>
          <w:color w:val="auto"/>
        </w:rPr>
      </w:pPr>
    </w:p>
    <w:p>
      <w:pPr>
        <w:ind w:right="2020"/>
        <w:spacing w:after="0" w:line="270" w:lineRule="auto"/>
        <w:tabs>
          <w:tab w:leader="none" w:pos="44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amount has been offset against a filing fee associated with unsold securities registered under a previous registration statement. ** To be provided by amendment.</w:t>
      </w:r>
    </w:p>
    <w:p>
      <w:pPr>
        <w:spacing w:after="0" w:line="2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28.</w:t>
      </w:r>
      <w:r>
        <w:rPr>
          <w:sz w:val="20"/>
          <w:szCs w:val="20"/>
          <w:color w:val="auto"/>
        </w:rPr>
        <w:tab/>
      </w:r>
      <w:r>
        <w:rPr>
          <w:rFonts w:ascii="Times New Roman" w:cs="Times New Roman" w:eastAsia="Times New Roman" w:hAnsi="Times New Roman"/>
          <w:sz w:val="17"/>
          <w:szCs w:val="17"/>
          <w:b w:val="1"/>
          <w:bCs w:val="1"/>
          <w:color w:val="auto"/>
        </w:rPr>
        <w:t>Persons controlled by or under common control with the registrant</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lists sets forth each of the companies considered to be controlled by us as defined by the 1940 Act.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Voting</w:t>
            </w:r>
          </w:p>
        </w:tc>
        <w:tc>
          <w:tcPr>
            <w:tcW w:w="0" w:type="dxa"/>
            <w:vAlign w:val="bottom"/>
          </w:tcPr>
          <w:p>
            <w:pPr>
              <w:spacing w:after="0"/>
              <w:rPr>
                <w:sz w:val="1"/>
                <w:szCs w:val="1"/>
                <w:color w:val="auto"/>
              </w:rPr>
            </w:pPr>
          </w:p>
        </w:tc>
      </w:tr>
      <w:tr>
        <w:trPr>
          <w:trHeight w:val="137"/>
        </w:trPr>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8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0" w:type="dxa"/>
            <w:vAlign w:val="bottom"/>
          </w:tcPr>
          <w:p>
            <w:pPr>
              <w:spacing w:after="0"/>
              <w:rPr>
                <w:sz w:val="1"/>
                <w:szCs w:val="1"/>
                <w:color w:val="auto"/>
              </w:rPr>
            </w:pPr>
          </w:p>
        </w:tc>
      </w:tr>
      <w:tr>
        <w:trPr>
          <w:trHeight w:val="137"/>
        </w:trPr>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vMerge w:val="restart"/>
          </w:tcPr>
          <w:p>
            <w:pPr>
              <w:spacing w:after="0"/>
              <w:rPr>
                <w:sz w:val="11"/>
                <w:szCs w:val="11"/>
                <w:color w:val="auto"/>
              </w:rPr>
            </w:pPr>
          </w:p>
        </w:tc>
        <w:tc>
          <w:tcPr>
            <w:tcW w:w="2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entity and place of jurisdiction</w:t>
            </w:r>
          </w:p>
        </w:tc>
        <w:tc>
          <w:tcPr>
            <w:tcW w:w="294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98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3"/>
                <w:szCs w:val="13"/>
                <w:b w:val="1"/>
                <w:bCs w:val="1"/>
                <w:color w:val="auto"/>
              </w:rPr>
              <w:t>Owned</w:t>
            </w:r>
          </w:p>
        </w:tc>
        <w:tc>
          <w:tcPr>
            <w:tcW w:w="0" w:type="dxa"/>
            <w:vAlign w:val="bottom"/>
          </w:tcPr>
          <w:p>
            <w:pPr>
              <w:spacing w:after="0"/>
              <w:rPr>
                <w:sz w:val="1"/>
                <w:szCs w:val="1"/>
                <w:color w:val="auto"/>
              </w:rPr>
            </w:pPr>
          </w:p>
        </w:tc>
      </w:tr>
      <w:tr>
        <w:trPr>
          <w:trHeight w:val="152"/>
        </w:trPr>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60" w:type="dxa"/>
            <w:vAlign w:val="bottom"/>
            <w:tcBorders>
              <w:bottom w:val="single" w:sz="8" w:color="auto"/>
            </w:tcBorders>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2460" w:type="dxa"/>
            <w:vAlign w:val="bottom"/>
            <w:gridSpan w:val="3"/>
          </w:tcPr>
          <w:p>
            <w:pPr>
              <w:jc w:val="center"/>
              <w:ind w:left="1039"/>
              <w:spacing w:after="0" w:line="147"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PennantPark Floating Rate Funding I, LLC (Delaware)</w:t>
            </w:r>
          </w:p>
        </w:tc>
        <w:tc>
          <w:tcPr>
            <w:tcW w:w="1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0" w:type="dxa"/>
            <w:vAlign w:val="bottom"/>
            <w:gridSpan w:val="2"/>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PennantPark Floating Rate Funding II, LLC (Delaware)</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PennantPark CLO I, LLC (Delaware)</w:t>
            </w:r>
          </w:p>
        </w:tc>
        <w:tc>
          <w:tcPr>
            <w:tcW w:w="2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PennantPark CLO I, Ltd. (Cayman Islands)</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PennantPark CLO I Depositor, LLC (Delaware)</w:t>
            </w:r>
          </w:p>
        </w:tc>
        <w:tc>
          <w:tcPr>
            <w:tcW w:w="2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PennantPark CLO VIII, LLC (Delaware)</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PFLT Investment Holdings, LLC (Delaware)</w:t>
            </w:r>
          </w:p>
        </w:tc>
        <w:tc>
          <w:tcPr>
            <w:tcW w:w="2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PFLT Investment Holdings II, LLC (Delaware)</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PennantPark Senior Secured Loan Fund I LLC</w:t>
            </w:r>
          </w:p>
        </w:tc>
        <w:tc>
          <w:tcPr>
            <w:tcW w:w="2460" w:type="dxa"/>
            <w:vAlign w:val="bottom"/>
            <w:gridSpan w:val="3"/>
            <w:shd w:val="clear" w:color="auto" w:fill="CCEEFF"/>
          </w:tcPr>
          <w:p>
            <w:pPr>
              <w:jc w:val="right"/>
              <w:ind w:right="60"/>
              <w:spacing w:after="0" w:line="200" w:lineRule="exact"/>
              <w:rPr>
                <w:sz w:val="20"/>
                <w:szCs w:val="20"/>
                <w:color w:val="auto"/>
              </w:rPr>
            </w:pPr>
            <w:r>
              <w:rPr>
                <w:rFonts w:ascii="Times New Roman" w:cs="Times New Roman" w:eastAsia="Times New Roman" w:hAnsi="Times New Roman"/>
                <w:sz w:val="17"/>
                <w:szCs w:val="17"/>
                <w:color w:val="auto"/>
              </w:rPr>
              <w:t xml:space="preserve">100% </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137"/>
        </w:trPr>
        <w:tc>
          <w:tcPr>
            <w:tcW w:w="1240" w:type="dxa"/>
            <w:vAlign w:val="bottom"/>
            <w:tcBorders>
              <w:bottom w:val="single" w:sz="8" w:color="auto"/>
            </w:tcBorders>
            <w:gridSpan w:val="2"/>
          </w:tcPr>
          <w:p>
            <w:pPr>
              <w:spacing w:after="0"/>
              <w:rPr>
                <w:sz w:val="11"/>
                <w:szCs w:val="11"/>
                <w:color w:val="auto"/>
              </w:rPr>
            </w:pPr>
          </w:p>
        </w:tc>
        <w:tc>
          <w:tcPr>
            <w:tcW w:w="5760" w:type="dxa"/>
            <w:vAlign w:val="bottom"/>
            <w:gridSpan w:val="3"/>
          </w:tcPr>
          <w:p>
            <w:pPr>
              <w:spacing w:after="0"/>
              <w:rPr>
                <w:sz w:val="11"/>
                <w:szCs w:val="11"/>
                <w:color w:val="auto"/>
              </w:rPr>
            </w:pPr>
          </w:p>
        </w:tc>
        <w:tc>
          <w:tcPr>
            <w:tcW w:w="1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0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   This is a controlled affiliated investment.</w:t>
            </w: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29.</w:t>
            </w:r>
          </w:p>
        </w:tc>
        <w:tc>
          <w:tcPr>
            <w:tcW w:w="6160" w:type="dxa"/>
            <w:vAlign w:val="bottom"/>
            <w:gridSpan w:val="4"/>
          </w:tcPr>
          <w:p>
            <w:pPr>
              <w:ind w:left="280"/>
              <w:spacing w:after="0"/>
              <w:rPr>
                <w:sz w:val="20"/>
                <w:szCs w:val="20"/>
                <w:color w:val="auto"/>
              </w:rPr>
            </w:pPr>
            <w:r>
              <w:rPr>
                <w:rFonts w:ascii="Times New Roman" w:cs="Times New Roman" w:eastAsia="Times New Roman" w:hAnsi="Times New Roman"/>
                <w:sz w:val="17"/>
                <w:szCs w:val="17"/>
                <w:b w:val="1"/>
                <w:bCs w:val="1"/>
                <w:color w:val="auto"/>
              </w:rPr>
              <w:t>Number of holders of securities</w:t>
            </w: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000" w:type="dxa"/>
            <w:vAlign w:val="bottom"/>
            <w:gridSpan w:val="5"/>
          </w:tcPr>
          <w:p>
            <w:pPr>
              <w:ind w:left="440"/>
              <w:spacing w:after="0"/>
              <w:rPr>
                <w:sz w:val="20"/>
                <w:szCs w:val="20"/>
                <w:color w:val="auto"/>
              </w:rPr>
            </w:pPr>
            <w:r>
              <w:rPr>
                <w:rFonts w:ascii="Times New Roman" w:cs="Times New Roman" w:eastAsia="Times New Roman" w:hAnsi="Times New Roman"/>
                <w:sz w:val="17"/>
                <w:szCs w:val="17"/>
                <w:color w:val="auto"/>
              </w:rPr>
              <w:t>As of March 31, 2024</w:t>
            </w: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gridSpan w:val="2"/>
          </w:tcPr>
          <w:p>
            <w:pPr>
              <w:jc w:val="center"/>
              <w:ind w:left="17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0" w:type="dxa"/>
            <w:vAlign w:val="bottom"/>
          </w:tcPr>
          <w:p>
            <w:pPr>
              <w:spacing w:after="0"/>
              <w:rPr>
                <w:sz w:val="1"/>
                <w:szCs w:val="1"/>
                <w:color w:val="auto"/>
              </w:rPr>
            </w:pPr>
          </w:p>
        </w:tc>
      </w:tr>
      <w:tr>
        <w:trPr>
          <w:trHeight w:val="137"/>
        </w:trPr>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80" w:type="dxa"/>
            <w:vAlign w:val="bottom"/>
            <w:gridSpan w:val="2"/>
          </w:tcPr>
          <w:p>
            <w:pPr>
              <w:jc w:val="center"/>
              <w:ind w:left="171"/>
              <w:spacing w:after="0" w:line="138" w:lineRule="exact"/>
              <w:rPr>
                <w:sz w:val="20"/>
                <w:szCs w:val="20"/>
                <w:color w:val="auto"/>
              </w:rPr>
            </w:pPr>
            <w:r>
              <w:rPr>
                <w:rFonts w:ascii="Times New Roman" w:cs="Times New Roman" w:eastAsia="Times New Roman" w:hAnsi="Times New Roman"/>
                <w:sz w:val="13"/>
                <w:szCs w:val="13"/>
                <w:b w:val="1"/>
                <w:bCs w:val="1"/>
                <w:color w:val="auto"/>
              </w:rPr>
              <w:t>Record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760" w:type="dxa"/>
            <w:vAlign w:val="bottom"/>
            <w:gridSpan w:val="3"/>
          </w:tcPr>
          <w:p>
            <w:pPr>
              <w:ind w:left="560"/>
              <w:spacing w:after="0"/>
              <w:rPr>
                <w:sz w:val="20"/>
                <w:szCs w:val="20"/>
                <w:color w:val="auto"/>
              </w:rPr>
            </w:pPr>
            <w:r>
              <w:rPr>
                <w:rFonts w:ascii="Times New Roman" w:cs="Times New Roman" w:eastAsia="Times New Roman" w:hAnsi="Times New Roman"/>
                <w:sz w:val="13"/>
                <w:szCs w:val="13"/>
                <w:b w:val="1"/>
                <w:bCs w:val="1"/>
                <w:color w:val="auto"/>
              </w:rPr>
              <w:t>Title of Class</w:t>
            </w:r>
          </w:p>
        </w:tc>
        <w:tc>
          <w:tcPr>
            <w:tcW w:w="1480" w:type="dxa"/>
            <w:vAlign w:val="bottom"/>
          </w:tcPr>
          <w:p>
            <w:pPr>
              <w:spacing w:after="0"/>
              <w:rPr>
                <w:sz w:val="14"/>
                <w:szCs w:val="14"/>
                <w:color w:val="auto"/>
              </w:rPr>
            </w:pPr>
          </w:p>
        </w:tc>
        <w:tc>
          <w:tcPr>
            <w:tcW w:w="980" w:type="dxa"/>
            <w:vAlign w:val="bottom"/>
            <w:gridSpan w:val="2"/>
          </w:tcPr>
          <w:p>
            <w:pPr>
              <w:jc w:val="center"/>
              <w:ind w:left="151"/>
              <w:spacing w:after="0"/>
              <w:rPr>
                <w:sz w:val="20"/>
                <w:szCs w:val="20"/>
                <w:color w:val="auto"/>
              </w:rPr>
            </w:pPr>
            <w:r>
              <w:rPr>
                <w:rFonts w:ascii="Times New Roman" w:cs="Times New Roman" w:eastAsia="Times New Roman" w:hAnsi="Times New Roman"/>
                <w:sz w:val="13"/>
                <w:szCs w:val="13"/>
                <w:b w:val="1"/>
                <w:bCs w:val="1"/>
                <w:color w:val="auto"/>
                <w:w w:val="99"/>
              </w:rPr>
              <w:t>Holders</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$0.001 par value</w:t>
            </w:r>
          </w:p>
        </w:tc>
        <w:tc>
          <w:tcPr>
            <w:tcW w:w="2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30.</w:t>
      </w:r>
      <w:r>
        <w:rPr>
          <w:sz w:val="20"/>
          <w:szCs w:val="20"/>
          <w:color w:val="auto"/>
        </w:rPr>
        <w:tab/>
      </w:r>
      <w:r>
        <w:rPr>
          <w:rFonts w:ascii="Times New Roman" w:cs="Times New Roman" w:eastAsia="Times New Roman" w:hAnsi="Times New Roman"/>
          <w:sz w:val="17"/>
          <w:szCs w:val="17"/>
          <w:b w:val="1"/>
          <w:bCs w:val="1"/>
          <w:color w:val="auto"/>
        </w:rPr>
        <w:t>Indemnification</w:t>
      </w:r>
    </w:p>
    <w:p>
      <w:pPr>
        <w:spacing w:after="0" w:line="108" w:lineRule="exact"/>
        <w:rPr>
          <w:sz w:val="20"/>
          <w:szCs w:val="20"/>
          <w:color w:val="auto"/>
        </w:rPr>
      </w:pPr>
    </w:p>
    <w:p>
      <w:pPr>
        <w:ind w:right="20" w:firstLine="450"/>
        <w:spacing w:after="0" w:line="270" w:lineRule="auto"/>
        <w:rPr>
          <w:sz w:val="20"/>
          <w:szCs w:val="20"/>
          <w:color w:val="auto"/>
        </w:rPr>
      </w:pPr>
      <w:r>
        <w:rPr>
          <w:rFonts w:ascii="Times New Roman" w:cs="Times New Roman" w:eastAsia="Times New Roman" w:hAnsi="Times New Roman"/>
          <w:sz w:val="17"/>
          <w:szCs w:val="17"/>
          <w:color w:val="auto"/>
        </w:rPr>
        <w:t>The information contained under the heading “Description of our Capital Stock—Limitation on Liability of Directors and Officers; Indemnification and Advance of Expenses” is incorporated herein by reference.</w:t>
      </w:r>
    </w:p>
    <w:p>
      <w:pPr>
        <w:spacing w:after="0" w:line="2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31.</w:t>
      </w:r>
      <w:r>
        <w:rPr>
          <w:sz w:val="20"/>
          <w:szCs w:val="20"/>
          <w:color w:val="auto"/>
        </w:rPr>
        <w:tab/>
      </w:r>
      <w:r>
        <w:rPr>
          <w:rFonts w:ascii="Times New Roman" w:cs="Times New Roman" w:eastAsia="Times New Roman" w:hAnsi="Times New Roman"/>
          <w:sz w:val="17"/>
          <w:szCs w:val="17"/>
          <w:b w:val="1"/>
          <w:bCs w:val="1"/>
          <w:color w:val="auto"/>
        </w:rPr>
        <w:t>Business and other connections of Investment Adviser</w:t>
      </w:r>
    </w:p>
    <w:p>
      <w:pPr>
        <w:spacing w:after="0" w:line="108"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7"/>
          <w:szCs w:val="17"/>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“Portfolio Management” or is otherwise incorporated by reference. Additional information regarding the Investment Adviser and its officers and directors is set forth in its Form ADV, as filed with the SEC (SEC File No. 801-67622), and is incorporated herein by reference.</w:t>
      </w:r>
    </w:p>
    <w:p>
      <w:pPr>
        <w:spacing w:after="0" w:line="30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32.</w:t>
      </w:r>
      <w:r>
        <w:rPr>
          <w:sz w:val="20"/>
          <w:szCs w:val="20"/>
          <w:color w:val="auto"/>
        </w:rPr>
        <w:tab/>
      </w:r>
      <w:r>
        <w:rPr>
          <w:rFonts w:ascii="Times New Roman" w:cs="Times New Roman" w:eastAsia="Times New Roman" w:hAnsi="Times New Roman"/>
          <w:sz w:val="17"/>
          <w:szCs w:val="17"/>
          <w:b w:val="1"/>
          <w:bCs w:val="1"/>
          <w:color w:val="auto"/>
        </w:rPr>
        <w:t>Location of accounts and records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All accounts, books and other documents required to be maintained by Section 31(a) of the 1940 Act, and the rules thereunder are maintained at the offices of:</w:t>
      </w:r>
    </w:p>
    <w:p>
      <w:pPr>
        <w:spacing w:after="0" w:line="128" w:lineRule="exact"/>
        <w:rPr>
          <w:sz w:val="20"/>
          <w:szCs w:val="20"/>
          <w:color w:val="auto"/>
        </w:rPr>
      </w:pPr>
    </w:p>
    <w:p>
      <w:pPr>
        <w:ind w:left="5540" w:right="3160" w:hanging="5091"/>
        <w:spacing w:after="0" w:line="438" w:lineRule="auto"/>
        <w:tabs>
          <w:tab w:leader="none" w:pos="100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PennantPark Floating Rate Capital Ltd., 1691 Michigan Avenue, Miami Beach, FL 33139; 87</w:t>
      </w:r>
    </w:p>
    <w:p>
      <w:pPr>
        <w:sectPr>
          <w:pgSz w:w="11900" w:h="16838" w:orient="portrait"/>
          <w:cols w:equalWidth="0" w:num="1">
            <w:col w:w="11200"/>
          </w:cols>
          <w:pgMar w:left="320" w:top="285" w:right="379" w:bottom="1440" w:gutter="0" w:footer="0" w:header="0"/>
        </w:sectPr>
      </w:pPr>
    </w:p>
    <w:bookmarkStart w:id="90" w:name="page91"/>
    <w:bookmarkEnd w:id="90"/>
    <w:p>
      <w:pPr>
        <w:ind w:left="1000" w:hanging="551"/>
        <w:spacing w:after="0"/>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83755" cy="52070"/>
                    </a:xfrm>
                    <a:prstGeom prst="rect">
                      <a:avLst/>
                    </a:prstGeom>
                    <a:noFill/>
                  </pic:spPr>
                </pic:pic>
              </a:graphicData>
            </a:graphic>
          </wp:anchor>
        </w:drawing>
        <w:t>the Transfer Agent, Equiniti Trust Company, LLC, 48 Wall Street, 22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Floor, New York, NY 10005;</w:t>
      </w:r>
    </w:p>
    <w:p>
      <w:pPr>
        <w:spacing w:after="0" w:line="82"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Custodian, The Bank of New York Mellon, 240 Greenwich Street, New York, NY 10286; and</w:t>
      </w:r>
    </w:p>
    <w:p>
      <w:pPr>
        <w:spacing w:after="0" w:line="116"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Investment Adviser, PennantPark Investment Advisers, LLC, 1691 Michigan Avenue, Miami Beach, FL 33139.</w:t>
      </w:r>
    </w:p>
    <w:p>
      <w:pPr>
        <w:spacing w:after="0" w:line="33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33.</w:t>
      </w:r>
      <w:r>
        <w:rPr>
          <w:sz w:val="20"/>
          <w:szCs w:val="20"/>
          <w:color w:val="auto"/>
        </w:rPr>
        <w:tab/>
      </w:r>
      <w:r>
        <w:rPr>
          <w:rFonts w:ascii="Times New Roman" w:cs="Times New Roman" w:eastAsia="Times New Roman" w:hAnsi="Times New Roman"/>
          <w:sz w:val="17"/>
          <w:szCs w:val="17"/>
          <w:b w:val="1"/>
          <w:bCs w:val="1"/>
          <w:color w:val="auto"/>
        </w:rPr>
        <w:t>Management services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33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34.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hereby undertakes:</w:t>
      </w:r>
    </w:p>
    <w:p>
      <w:pPr>
        <w:spacing w:after="0" w:line="116" w:lineRule="exact"/>
        <w:rPr>
          <w:sz w:val="20"/>
          <w:szCs w:val="20"/>
          <w:color w:val="auto"/>
        </w:rPr>
      </w:pPr>
    </w:p>
    <w:p>
      <w:pPr>
        <w:ind w:left="1000" w:right="240" w:hanging="551"/>
        <w:spacing w:after="0" w:line="257" w:lineRule="auto"/>
        <w:tabs>
          <w:tab w:leader="none" w:pos="10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suspend the offering of shares until the prospectus filed as part of this registration statement is amended if (1) subsequent to the effective date of its registration statement, the NAV declines more than ten percent from its NAV as of the effective date of the registration statement; or (2) the NAV increases to an amount greater than the net proceeds as stated in the prospectus.</w:t>
      </w:r>
    </w:p>
    <w:p>
      <w:pPr>
        <w:spacing w:after="0" w:line="82"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116"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116" w:lineRule="exact"/>
        <w:rPr>
          <w:rFonts w:ascii="Times New Roman" w:cs="Times New Roman" w:eastAsia="Times New Roman" w:hAnsi="Times New Roman"/>
          <w:sz w:val="17"/>
          <w:szCs w:val="17"/>
          <w:color w:val="auto"/>
        </w:rPr>
      </w:pPr>
    </w:p>
    <w:p>
      <w:pPr>
        <w:ind w:left="1000" w:right="20" w:hanging="551"/>
        <w:spacing w:after="0" w:line="270" w:lineRule="auto"/>
        <w:tabs>
          <w:tab w:leader="none" w:pos="10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 the purpose of determining any liability under the Securities Act, the information omitted from the form of prospectus filed as part of this registration statement in reliance upon Rule 430A and contained in a form of prospectus filed by the Registrant under Rule 424(b) (1) under the Securities Act shall be deemed to be part of this registration statement as of the time it was declared effective; and (b)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74" w:lineRule="exact"/>
        <w:rPr>
          <w:rFonts w:ascii="Times New Roman" w:cs="Times New Roman" w:eastAsia="Times New Roman" w:hAnsi="Times New Roman"/>
          <w:sz w:val="16"/>
          <w:szCs w:val="16"/>
          <w:color w:val="auto"/>
        </w:rPr>
      </w:pPr>
    </w:p>
    <w:p>
      <w:pPr>
        <w:ind w:left="1000" w:hanging="551"/>
        <w:spacing w:after="0"/>
        <w:tabs>
          <w:tab w:leader="none" w:pos="10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116" w:lineRule="exact"/>
        <w:rPr>
          <w:rFonts w:ascii="Times New Roman" w:cs="Times New Roman" w:eastAsia="Times New Roman" w:hAnsi="Times New Roman"/>
          <w:sz w:val="17"/>
          <w:szCs w:val="17"/>
          <w:color w:val="auto"/>
        </w:rPr>
      </w:pPr>
    </w:p>
    <w:p>
      <w:pPr>
        <w:ind w:left="1000" w:right="60" w:hanging="551"/>
        <w:spacing w:after="0" w:line="248" w:lineRule="auto"/>
        <w:tabs>
          <w:tab w:leader="none" w:pos="10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2" w:lineRule="exact"/>
        <w:rPr>
          <w:rFonts w:ascii="Times New Roman" w:cs="Times New Roman" w:eastAsia="Times New Roman" w:hAnsi="Times New Roman"/>
          <w:sz w:val="17"/>
          <w:szCs w:val="17"/>
          <w:color w:val="auto"/>
        </w:rPr>
      </w:pPr>
    </w:p>
    <w:p>
      <w:pPr>
        <w:ind w:left="1000" w:hanging="551"/>
        <w:spacing w:after="0" w:line="270" w:lineRule="auto"/>
        <w:tabs>
          <w:tab w:leader="none" w:pos="10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send by first class mail or other means designed to ensure equally prompt delivery, within two business days of receipt of a written or oral request, any prospectus or Statement of Additional Information.</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1200"/>
          </w:cols>
          <w:pgMar w:left="320" w:top="285" w:right="37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0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7183755" cy="52070"/>
                    </a:xfrm>
                    <a:prstGeom prst="rect">
                      <a:avLst/>
                    </a:prstGeom>
                    <a:noFill/>
                  </pic:spPr>
                </pic:pic>
              </a:graphicData>
            </a:graphic>
          </wp:anchor>
        </w:drawing>
        <w:t>SIGNATURES</w:t>
      </w:r>
    </w:p>
    <w:p>
      <w:pPr>
        <w:spacing w:after="0" w:line="208" w:lineRule="exact"/>
        <w:rPr>
          <w:sz w:val="20"/>
          <w:szCs w:val="20"/>
          <w:color w:val="auto"/>
        </w:rPr>
      </w:pPr>
    </w:p>
    <w:p>
      <w:pPr>
        <w:ind w:right="160" w:firstLine="45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on Form N-2 to be signed on its behalf by the undersigned, thereunto duly authorized, in the City of Miami Beach, and State of Florida on the 24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of May,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Arthur H. Penn</w:t>
            </w:r>
          </w:p>
        </w:tc>
      </w:tr>
      <w:tr>
        <w:trPr>
          <w:trHeight w:val="184"/>
        </w:trPr>
        <w:tc>
          <w:tcPr>
            <w:tcW w:w="8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482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7"/>
              </w:rPr>
              <w:t>Arthur H. Penn</w:t>
            </w:r>
          </w:p>
        </w:tc>
      </w:tr>
      <w:tr>
        <w:trPr>
          <w:trHeight w:val="22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Chief Executive Officer and Chairman of the Board</w:t>
            </w:r>
          </w:p>
        </w:tc>
      </w:tr>
    </w:tbl>
    <w:p>
      <w:pPr>
        <w:spacing w:after="0" w:line="183"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7"/>
          <w:szCs w:val="17"/>
          <w:color w:val="auto"/>
        </w:rPr>
        <w:t>KNOW ALL MEN BY THESE PRESENT, each person whose signature appears below hereby constitutes and appoints Richard T. Allorto, Jr. his true and lawful attorney-in-fact and agent, with full power of substitution and resubstitution, for him and in his name, place and stead, in any and all capacities, to sign any and all amendments to this Registration Statement on Form N-2 and any registration statement filed pursuant to Rule 462(b) under the Securities Act of 1933, as amended,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might or could do in person, hereby ratifying and confirming all that said attorney-in-fact and agent, or his substitutes, may lawfully do or cause to be done by virtue hereof.</w:t>
      </w:r>
    </w:p>
    <w:p>
      <w:pPr>
        <w:spacing w:after="0" w:line="175" w:lineRule="exact"/>
        <w:rPr>
          <w:sz w:val="20"/>
          <w:szCs w:val="20"/>
          <w:color w:val="auto"/>
        </w:rPr>
      </w:pPr>
    </w:p>
    <w:p>
      <w:pPr>
        <w:ind w:right="80" w:firstLine="45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on Form N-2 has been signed by the following persons in the capacities set forth below on the 24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of May,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Borders>
              <w:bottom w:val="single" w:sz="8" w:color="auto"/>
            </w:tcBorders>
          </w:tcPr>
          <w:p>
            <w:pPr>
              <w:jc w:val="center"/>
              <w:ind w:left="1038"/>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r>
      <w:tr>
        <w:trPr>
          <w:trHeight w:val="279"/>
        </w:trPr>
        <w:tc>
          <w:tcPr>
            <w:tcW w:w="4620" w:type="dxa"/>
            <w:vAlign w:val="bottom"/>
            <w:tcBorders>
              <w:bottom w:val="single" w:sz="8" w:color="auto"/>
            </w:tcBorders>
          </w:tcPr>
          <w:p>
            <w:pPr>
              <w:jc w:val="center"/>
              <w:ind w:left="1038"/>
              <w:spacing w:after="0"/>
              <w:rPr>
                <w:sz w:val="20"/>
                <w:szCs w:val="20"/>
                <w:color w:val="auto"/>
              </w:rPr>
            </w:pPr>
            <w:r>
              <w:rPr>
                <w:rFonts w:ascii="Times New Roman" w:cs="Times New Roman" w:eastAsia="Times New Roman" w:hAnsi="Times New Roman"/>
                <w:sz w:val="17"/>
                <w:szCs w:val="17"/>
                <w:color w:val="auto"/>
                <w:w w:val="97"/>
              </w:rPr>
              <w:t>/s/ Arthur H. Penn</w:t>
            </w: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Chief Executive Officer and Chairman of the Board of Directors (Principal</w:t>
            </w:r>
          </w:p>
        </w:tc>
      </w:tr>
      <w:tr>
        <w:trPr>
          <w:trHeight w:val="213"/>
        </w:trPr>
        <w:tc>
          <w:tcPr>
            <w:tcW w:w="4620" w:type="dxa"/>
            <w:vAlign w:val="bottom"/>
          </w:tcPr>
          <w:p>
            <w:pPr>
              <w:jc w:val="center"/>
              <w:ind w:left="1058"/>
              <w:spacing w:after="0"/>
              <w:rPr>
                <w:sz w:val="20"/>
                <w:szCs w:val="20"/>
                <w:color w:val="auto"/>
              </w:rPr>
            </w:pPr>
            <w:r>
              <w:rPr>
                <w:rFonts w:ascii="Times New Roman" w:cs="Times New Roman" w:eastAsia="Times New Roman" w:hAnsi="Times New Roman"/>
                <w:sz w:val="17"/>
                <w:szCs w:val="17"/>
                <w:b w:val="1"/>
                <w:bCs w:val="1"/>
                <w:color w:val="auto"/>
                <w:w w:val="97"/>
              </w:rPr>
              <w:t>Arthur H. Penn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Executive Officer)</w:t>
            </w:r>
          </w:p>
        </w:tc>
      </w:tr>
      <w:tr>
        <w:trPr>
          <w:trHeight w:val="291"/>
        </w:trPr>
        <w:tc>
          <w:tcPr>
            <w:tcW w:w="4620" w:type="dxa"/>
            <w:vAlign w:val="bottom"/>
            <w:tcBorders>
              <w:bottom w:val="single" w:sz="8" w:color="auto"/>
            </w:tcBorders>
          </w:tcPr>
          <w:p>
            <w:pPr>
              <w:jc w:val="center"/>
              <w:ind w:left="1038"/>
              <w:spacing w:after="0"/>
              <w:rPr>
                <w:sz w:val="20"/>
                <w:szCs w:val="20"/>
                <w:color w:val="auto"/>
              </w:rPr>
            </w:pPr>
            <w:r>
              <w:rPr>
                <w:rFonts w:ascii="Times New Roman" w:cs="Times New Roman" w:eastAsia="Times New Roman" w:hAnsi="Times New Roman"/>
                <w:sz w:val="17"/>
                <w:szCs w:val="17"/>
                <w:color w:val="auto"/>
                <w:w w:val="96"/>
              </w:rPr>
              <w:t>/s/ Richard T. Allorto, Jr.</w:t>
            </w: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Chief Financial Officer and Treasurer (Principal Financial and Accounting</w:t>
            </w:r>
          </w:p>
        </w:tc>
      </w:tr>
      <w:tr>
        <w:trPr>
          <w:trHeight w:val="213"/>
        </w:trPr>
        <w:tc>
          <w:tcPr>
            <w:tcW w:w="4620" w:type="dxa"/>
            <w:vAlign w:val="bottom"/>
          </w:tcPr>
          <w:p>
            <w:pPr>
              <w:jc w:val="center"/>
              <w:ind w:left="1038"/>
              <w:spacing w:after="0"/>
              <w:rPr>
                <w:sz w:val="20"/>
                <w:szCs w:val="20"/>
                <w:color w:val="auto"/>
              </w:rPr>
            </w:pPr>
            <w:r>
              <w:rPr>
                <w:rFonts w:ascii="Times New Roman" w:cs="Times New Roman" w:eastAsia="Times New Roman" w:hAnsi="Times New Roman"/>
                <w:sz w:val="17"/>
                <w:szCs w:val="17"/>
                <w:b w:val="1"/>
                <w:bCs w:val="1"/>
                <w:color w:val="auto"/>
                <w:w w:val="96"/>
              </w:rPr>
              <w:t>Richard T. Allorto, Jr.</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Officer)</w:t>
            </w:r>
          </w:p>
        </w:tc>
      </w:tr>
      <w:tr>
        <w:trPr>
          <w:trHeight w:val="291"/>
        </w:trPr>
        <w:tc>
          <w:tcPr>
            <w:tcW w:w="4620" w:type="dxa"/>
            <w:vAlign w:val="bottom"/>
            <w:tcBorders>
              <w:bottom w:val="single" w:sz="8" w:color="auto"/>
            </w:tcBorders>
          </w:tcPr>
          <w:p>
            <w:pPr>
              <w:jc w:val="center"/>
              <w:ind w:left="1058"/>
              <w:spacing w:after="0"/>
              <w:rPr>
                <w:sz w:val="20"/>
                <w:szCs w:val="20"/>
                <w:color w:val="auto"/>
              </w:rPr>
            </w:pPr>
            <w:r>
              <w:rPr>
                <w:rFonts w:ascii="Times New Roman" w:cs="Times New Roman" w:eastAsia="Times New Roman" w:hAnsi="Times New Roman"/>
                <w:sz w:val="17"/>
                <w:szCs w:val="17"/>
                <w:color w:val="auto"/>
                <w:w w:val="97"/>
              </w:rPr>
              <w:t>/s/ Adam K. Bernstein</w:t>
            </w: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3"/>
        </w:trPr>
        <w:tc>
          <w:tcPr>
            <w:tcW w:w="4620" w:type="dxa"/>
            <w:vAlign w:val="bottom"/>
          </w:tcPr>
          <w:p>
            <w:pPr>
              <w:jc w:val="center"/>
              <w:ind w:left="1038"/>
              <w:spacing w:after="0"/>
              <w:rPr>
                <w:sz w:val="20"/>
                <w:szCs w:val="20"/>
                <w:color w:val="auto"/>
              </w:rPr>
            </w:pPr>
            <w:r>
              <w:rPr>
                <w:rFonts w:ascii="Times New Roman" w:cs="Times New Roman" w:eastAsia="Times New Roman" w:hAnsi="Times New Roman"/>
                <w:sz w:val="17"/>
                <w:szCs w:val="17"/>
                <w:b w:val="1"/>
                <w:bCs w:val="1"/>
                <w:color w:val="auto"/>
                <w:w w:val="98"/>
              </w:rPr>
              <w:t>Adam K. Bernstein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91"/>
        </w:trPr>
        <w:tc>
          <w:tcPr>
            <w:tcW w:w="4620" w:type="dxa"/>
            <w:vAlign w:val="bottom"/>
            <w:tcBorders>
              <w:bottom w:val="single" w:sz="8" w:color="auto"/>
            </w:tcBorders>
          </w:tcPr>
          <w:p>
            <w:pPr>
              <w:jc w:val="center"/>
              <w:ind w:left="1058"/>
              <w:spacing w:after="0"/>
              <w:rPr>
                <w:sz w:val="20"/>
                <w:szCs w:val="20"/>
                <w:color w:val="auto"/>
              </w:rPr>
            </w:pPr>
            <w:r>
              <w:rPr>
                <w:rFonts w:ascii="Times New Roman" w:cs="Times New Roman" w:eastAsia="Times New Roman" w:hAnsi="Times New Roman"/>
                <w:sz w:val="17"/>
                <w:szCs w:val="17"/>
                <w:color w:val="auto"/>
                <w:w w:val="97"/>
              </w:rPr>
              <w:t>/s/ Jeffrey Flug</w:t>
            </w: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3"/>
        </w:trPr>
        <w:tc>
          <w:tcPr>
            <w:tcW w:w="4620" w:type="dxa"/>
            <w:vAlign w:val="bottom"/>
          </w:tcPr>
          <w:p>
            <w:pPr>
              <w:jc w:val="center"/>
              <w:ind w:left="1038"/>
              <w:spacing w:after="0"/>
              <w:rPr>
                <w:sz w:val="20"/>
                <w:szCs w:val="20"/>
                <w:color w:val="auto"/>
              </w:rPr>
            </w:pPr>
            <w:r>
              <w:rPr>
                <w:rFonts w:ascii="Times New Roman" w:cs="Times New Roman" w:eastAsia="Times New Roman" w:hAnsi="Times New Roman"/>
                <w:sz w:val="17"/>
                <w:szCs w:val="17"/>
                <w:b w:val="1"/>
                <w:bCs w:val="1"/>
                <w:color w:val="auto"/>
                <w:w w:val="97"/>
              </w:rPr>
              <w:t>Jeffrey Flug</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91"/>
        </w:trPr>
        <w:tc>
          <w:tcPr>
            <w:tcW w:w="4620" w:type="dxa"/>
            <w:vAlign w:val="bottom"/>
            <w:tcBorders>
              <w:bottom w:val="single" w:sz="8" w:color="auto"/>
            </w:tcBorders>
          </w:tcPr>
          <w:p>
            <w:pPr>
              <w:jc w:val="center"/>
              <w:ind w:left="1038"/>
              <w:spacing w:after="0"/>
              <w:rPr>
                <w:sz w:val="20"/>
                <w:szCs w:val="20"/>
                <w:color w:val="auto"/>
              </w:rPr>
            </w:pPr>
            <w:r>
              <w:rPr>
                <w:rFonts w:ascii="Times New Roman" w:cs="Times New Roman" w:eastAsia="Times New Roman" w:hAnsi="Times New Roman"/>
                <w:sz w:val="17"/>
                <w:szCs w:val="17"/>
                <w:color w:val="auto"/>
                <w:w w:val="97"/>
              </w:rPr>
              <w:t>/s/ Marshall Brozost</w:t>
            </w: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3"/>
        </w:trPr>
        <w:tc>
          <w:tcPr>
            <w:tcW w:w="4620" w:type="dxa"/>
            <w:vAlign w:val="bottom"/>
          </w:tcPr>
          <w:p>
            <w:pPr>
              <w:jc w:val="center"/>
              <w:ind w:left="1038"/>
              <w:spacing w:after="0"/>
              <w:rPr>
                <w:sz w:val="20"/>
                <w:szCs w:val="20"/>
                <w:color w:val="auto"/>
              </w:rPr>
            </w:pPr>
            <w:r>
              <w:rPr>
                <w:rFonts w:ascii="Times New Roman" w:cs="Times New Roman" w:eastAsia="Times New Roman" w:hAnsi="Times New Roman"/>
                <w:sz w:val="17"/>
                <w:szCs w:val="17"/>
                <w:b w:val="1"/>
                <w:bCs w:val="1"/>
                <w:color w:val="auto"/>
                <w:w w:val="96"/>
              </w:rPr>
              <w:t>Marshall Brozost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91"/>
        </w:trPr>
        <w:tc>
          <w:tcPr>
            <w:tcW w:w="4620" w:type="dxa"/>
            <w:vAlign w:val="bottom"/>
            <w:tcBorders>
              <w:bottom w:val="single" w:sz="8" w:color="auto"/>
            </w:tcBorders>
          </w:tcPr>
          <w:p>
            <w:pPr>
              <w:jc w:val="center"/>
              <w:ind w:left="1058"/>
              <w:spacing w:after="0"/>
              <w:rPr>
                <w:sz w:val="20"/>
                <w:szCs w:val="20"/>
                <w:color w:val="auto"/>
              </w:rPr>
            </w:pPr>
            <w:r>
              <w:rPr>
                <w:rFonts w:ascii="Times New Roman" w:cs="Times New Roman" w:eastAsia="Times New Roman" w:hAnsi="Times New Roman"/>
                <w:sz w:val="17"/>
                <w:szCs w:val="17"/>
                <w:color w:val="auto"/>
                <w:w w:val="97"/>
              </w:rPr>
              <w:t>/s/ Samuel L. Katz</w:t>
            </w: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3"/>
        </w:trPr>
        <w:tc>
          <w:tcPr>
            <w:tcW w:w="4620" w:type="dxa"/>
            <w:vAlign w:val="bottom"/>
          </w:tcPr>
          <w:p>
            <w:pPr>
              <w:jc w:val="center"/>
              <w:ind w:left="1038"/>
              <w:spacing w:after="0"/>
              <w:rPr>
                <w:sz w:val="20"/>
                <w:szCs w:val="20"/>
                <w:color w:val="auto"/>
              </w:rPr>
            </w:pPr>
            <w:r>
              <w:rPr>
                <w:rFonts w:ascii="Times New Roman" w:cs="Times New Roman" w:eastAsia="Times New Roman" w:hAnsi="Times New Roman"/>
                <w:sz w:val="17"/>
                <w:szCs w:val="17"/>
                <w:b w:val="1"/>
                <w:bCs w:val="1"/>
                <w:color w:val="auto"/>
                <w:w w:val="97"/>
              </w:rPr>
              <w:t>Samuel L. Katz</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91"/>
        </w:trPr>
        <w:tc>
          <w:tcPr>
            <w:tcW w:w="4620" w:type="dxa"/>
            <w:vAlign w:val="bottom"/>
            <w:tcBorders>
              <w:bottom w:val="single" w:sz="8" w:color="auto"/>
            </w:tcBorders>
          </w:tcPr>
          <w:p>
            <w:pPr>
              <w:jc w:val="center"/>
              <w:ind w:left="1058"/>
              <w:spacing w:after="0"/>
              <w:rPr>
                <w:sz w:val="20"/>
                <w:szCs w:val="20"/>
                <w:color w:val="auto"/>
              </w:rPr>
            </w:pPr>
            <w:r>
              <w:rPr>
                <w:rFonts w:ascii="Times New Roman" w:cs="Times New Roman" w:eastAsia="Times New Roman" w:hAnsi="Times New Roman"/>
                <w:sz w:val="17"/>
                <w:szCs w:val="17"/>
                <w:color w:val="auto"/>
                <w:w w:val="97"/>
              </w:rPr>
              <w:t>/s/ José A. Briones</w:t>
            </w: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3"/>
        </w:trPr>
        <w:tc>
          <w:tcPr>
            <w:tcW w:w="4620" w:type="dxa"/>
            <w:vAlign w:val="bottom"/>
          </w:tcPr>
          <w:p>
            <w:pPr>
              <w:jc w:val="center"/>
              <w:ind w:left="1038"/>
              <w:spacing w:after="0"/>
              <w:rPr>
                <w:sz w:val="20"/>
                <w:szCs w:val="20"/>
                <w:color w:val="auto"/>
              </w:rPr>
            </w:pPr>
            <w:r>
              <w:rPr>
                <w:rFonts w:ascii="Times New Roman" w:cs="Times New Roman" w:eastAsia="Times New Roman" w:hAnsi="Times New Roman"/>
                <w:sz w:val="17"/>
                <w:szCs w:val="17"/>
                <w:b w:val="1"/>
                <w:bCs w:val="1"/>
                <w:color w:val="auto"/>
                <w:w w:val="98"/>
              </w:rPr>
              <w:t>José A. Briones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329"/>
        </w:trPr>
        <w:tc>
          <w:tcPr>
            <w:tcW w:w="4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40" w:type="dxa"/>
            <w:vAlign w:val="bottom"/>
          </w:tcPr>
          <w:p>
            <w:pPr>
              <w:spacing w:after="0"/>
              <w:rPr>
                <w:sz w:val="24"/>
                <w:szCs w:val="24"/>
                <w:color w:val="auto"/>
              </w:rPr>
            </w:pPr>
          </w:p>
        </w:tc>
        <w:tc>
          <w:tcPr>
            <w:tcW w:w="5260" w:type="dxa"/>
            <w:vAlign w:val="bottom"/>
          </w:tcPr>
          <w:p>
            <w:pPr>
              <w:spacing w:after="0"/>
              <w:rPr>
                <w:sz w:val="24"/>
                <w:szCs w:val="24"/>
                <w:color w:val="auto"/>
              </w:rPr>
            </w:pPr>
          </w:p>
        </w:tc>
      </w:tr>
    </w:tbl>
    <w:p>
      <w:pPr>
        <w:sectPr>
          <w:pgSz w:w="11900" w:h="16838" w:orient="portrait"/>
          <w:cols w:equalWidth="0" w:num="1">
            <w:col w:w="11240"/>
          </w:cols>
          <w:pgMar w:left="320" w:top="28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4248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110490</wp:posOffset>
            </wp:positionV>
            <wp:extent cx="714248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204470</wp:posOffset>
            </wp:positionV>
            <wp:extent cx="150431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229235</wp:posOffset>
            </wp:positionV>
            <wp:extent cx="150431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 OF ELIGIBILITY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TRUST INDENTURE ACT OF 1939</w:t>
      </w:r>
    </w:p>
    <w:p>
      <w:pPr>
        <w:jc w:val="center"/>
        <w:spacing w:after="0"/>
        <w:rPr>
          <w:sz w:val="20"/>
          <w:szCs w:val="20"/>
          <w:color w:val="auto"/>
        </w:rPr>
      </w:pPr>
      <w:r>
        <w:rPr>
          <w:rFonts w:ascii="Times New Roman" w:cs="Times New Roman" w:eastAsia="Times New Roman" w:hAnsi="Times New Roman"/>
          <w:sz w:val="20"/>
          <w:szCs w:val="20"/>
          <w:b w:val="1"/>
          <w:bCs w:val="1"/>
          <w:color w:val="auto"/>
        </w:rPr>
        <w:t>OF A CORPORATION DESIGNATED TO ACT AS TRUSTEE</w:t>
      </w:r>
    </w:p>
    <w:p>
      <w:pPr>
        <w:spacing w:after="0" w:line="193" w:lineRule="exact"/>
        <w:rPr>
          <w:sz w:val="20"/>
          <w:szCs w:val="20"/>
          <w:color w:val="auto"/>
        </w:rPr>
      </w:pPr>
    </w:p>
    <w:p>
      <w:pPr>
        <w:ind w:left="440" w:hanging="440"/>
        <w:spacing w:after="0"/>
        <w:tabs>
          <w:tab w:leader="none" w:pos="440" w:val="left"/>
        </w:tabs>
        <w:numPr>
          <w:ilvl w:val="0"/>
          <w:numId w:val="56"/>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236855</wp:posOffset>
            </wp:positionV>
            <wp:extent cx="150431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1504315" cy="76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EQUINITI TRUST COMPANY, LLC</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0" w:type="dxa"/>
            <w:vAlign w:val="bottom"/>
            <w:gridSpan w:val="4"/>
          </w:tcPr>
          <w:p>
            <w:pPr>
              <w:jc w:val="center"/>
              <w:ind w:left="3585"/>
              <w:spacing w:after="0"/>
              <w:rPr>
                <w:sz w:val="20"/>
                <w:szCs w:val="20"/>
                <w:color w:val="auto"/>
              </w:rPr>
            </w:pPr>
            <w:r>
              <w:rPr>
                <w:rFonts w:ascii="Times New Roman" w:cs="Times New Roman" w:eastAsia="Times New Roman" w:hAnsi="Times New Roman"/>
                <w:sz w:val="17"/>
                <w:szCs w:val="17"/>
                <w:b w:val="1"/>
                <w:bCs w:val="1"/>
                <w:color w:val="auto"/>
                <w:w w:val="97"/>
              </w:rPr>
              <w:t>(Exact name of trustee as specified in its charter)</w:t>
            </w:r>
          </w:p>
        </w:tc>
        <w:tc>
          <w:tcPr>
            <w:tcW w:w="3640" w:type="dxa"/>
            <w:vAlign w:val="bottom"/>
          </w:tcPr>
          <w:p>
            <w:pPr>
              <w:spacing w:after="0"/>
              <w:rPr>
                <w:sz w:val="19"/>
                <w:szCs w:val="19"/>
                <w:color w:val="auto"/>
              </w:rPr>
            </w:pPr>
          </w:p>
        </w:tc>
      </w:tr>
      <w:tr>
        <w:trPr>
          <w:trHeight w:val="302"/>
        </w:trPr>
        <w:tc>
          <w:tcPr>
            <w:tcW w:w="444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2"/>
        </w:trPr>
        <w:tc>
          <w:tcPr>
            <w:tcW w:w="7600" w:type="dxa"/>
            <w:vAlign w:val="bottom"/>
            <w:gridSpan w:val="4"/>
          </w:tcPr>
          <w:p>
            <w:pPr>
              <w:jc w:val="center"/>
              <w:ind w:right="1900"/>
              <w:spacing w:after="0"/>
              <w:rPr>
                <w:sz w:val="20"/>
                <w:szCs w:val="20"/>
                <w:color w:val="auto"/>
              </w:rPr>
            </w:pPr>
            <w:r>
              <w:rPr>
                <w:rFonts w:ascii="Times New Roman" w:cs="Times New Roman" w:eastAsia="Times New Roman" w:hAnsi="Times New Roman"/>
                <w:sz w:val="17"/>
                <w:szCs w:val="17"/>
                <w:b w:val="1"/>
                <w:bCs w:val="1"/>
                <w:color w:val="auto"/>
                <w:w w:val="94"/>
              </w:rPr>
              <w:t>New York</w:t>
            </w:r>
          </w:p>
        </w:tc>
        <w:tc>
          <w:tcPr>
            <w:tcW w:w="3640" w:type="dxa"/>
            <w:vAlign w:val="bottom"/>
          </w:tcPr>
          <w:p>
            <w:pPr>
              <w:jc w:val="center"/>
              <w:ind w:right="1727"/>
              <w:spacing w:after="0"/>
              <w:rPr>
                <w:sz w:val="20"/>
                <w:szCs w:val="20"/>
                <w:color w:val="auto"/>
              </w:rPr>
            </w:pPr>
            <w:r>
              <w:rPr>
                <w:rFonts w:ascii="Times New Roman" w:cs="Times New Roman" w:eastAsia="Times New Roman" w:hAnsi="Times New Roman"/>
                <w:sz w:val="17"/>
                <w:szCs w:val="17"/>
                <w:b w:val="1"/>
                <w:bCs w:val="1"/>
                <w:color w:val="auto"/>
                <w:w w:val="97"/>
              </w:rPr>
              <w:t>13-3439945</w:t>
            </w:r>
          </w:p>
        </w:tc>
      </w:tr>
      <w:tr>
        <w:trPr>
          <w:trHeight w:val="137"/>
        </w:trPr>
        <w:tc>
          <w:tcPr>
            <w:tcW w:w="7600" w:type="dxa"/>
            <w:vAlign w:val="bottom"/>
            <w:gridSpan w:val="4"/>
          </w:tcPr>
          <w:p>
            <w:pPr>
              <w:jc w:val="center"/>
              <w:ind w:right="1920"/>
              <w:spacing w:after="0" w:line="138" w:lineRule="exact"/>
              <w:rPr>
                <w:sz w:val="20"/>
                <w:szCs w:val="20"/>
                <w:color w:val="auto"/>
              </w:rPr>
            </w:pPr>
            <w:r>
              <w:rPr>
                <w:rFonts w:ascii="Times New Roman" w:cs="Times New Roman" w:eastAsia="Times New Roman" w:hAnsi="Times New Roman"/>
                <w:sz w:val="13"/>
                <w:szCs w:val="13"/>
                <w:b w:val="1"/>
                <w:bCs w:val="1"/>
                <w:color w:val="auto"/>
              </w:rPr>
              <w:t>(State of incorporation of</w:t>
            </w:r>
          </w:p>
        </w:tc>
        <w:tc>
          <w:tcPr>
            <w:tcW w:w="3640" w:type="dxa"/>
            <w:vAlign w:val="bottom"/>
          </w:tcPr>
          <w:p>
            <w:pPr>
              <w:jc w:val="center"/>
              <w:ind w:right="1727"/>
              <w:spacing w:after="0" w:line="138"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7600" w:type="dxa"/>
            <w:vAlign w:val="bottom"/>
            <w:gridSpan w:val="4"/>
          </w:tcPr>
          <w:p>
            <w:pPr>
              <w:jc w:val="center"/>
              <w:ind w:right="1920"/>
              <w:spacing w:after="0"/>
              <w:rPr>
                <w:sz w:val="20"/>
                <w:szCs w:val="20"/>
                <w:color w:val="auto"/>
              </w:rPr>
            </w:pPr>
            <w:r>
              <w:rPr>
                <w:rFonts w:ascii="Times New Roman" w:cs="Times New Roman" w:eastAsia="Times New Roman" w:hAnsi="Times New Roman"/>
                <w:sz w:val="13"/>
                <w:szCs w:val="13"/>
                <w:b w:val="1"/>
                <w:bCs w:val="1"/>
                <w:color w:val="auto"/>
              </w:rPr>
              <w:t>organization if not a U.S. national bank)</w:t>
            </w:r>
          </w:p>
        </w:tc>
        <w:tc>
          <w:tcPr>
            <w:tcW w:w="3640" w:type="dxa"/>
            <w:vAlign w:val="bottom"/>
          </w:tcPr>
          <w:p>
            <w:pPr>
              <w:jc w:val="center"/>
              <w:ind w:right="1727"/>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401"/>
        </w:trPr>
        <w:tc>
          <w:tcPr>
            <w:tcW w:w="7600" w:type="dxa"/>
            <w:vAlign w:val="bottom"/>
            <w:gridSpan w:val="4"/>
          </w:tcPr>
          <w:p>
            <w:pPr>
              <w:jc w:val="center"/>
              <w:ind w:right="1920"/>
              <w:spacing w:after="0"/>
              <w:rPr>
                <w:sz w:val="20"/>
                <w:szCs w:val="20"/>
                <w:color w:val="auto"/>
              </w:rPr>
            </w:pPr>
            <w:r>
              <w:rPr>
                <w:rFonts w:ascii="Times New Roman" w:cs="Times New Roman" w:eastAsia="Times New Roman" w:hAnsi="Times New Roman"/>
                <w:sz w:val="17"/>
                <w:szCs w:val="17"/>
                <w:b w:val="1"/>
                <w:bCs w:val="1"/>
                <w:color w:val="auto"/>
                <w:w w:val="94"/>
              </w:rPr>
              <w:t>48 Wall Street, 22</w:t>
            </w:r>
            <w:r>
              <w:rPr>
                <w:rFonts w:ascii="Times New Roman" w:cs="Times New Roman" w:eastAsia="Times New Roman" w:hAnsi="Times New Roman"/>
                <w:sz w:val="24"/>
                <w:szCs w:val="24"/>
                <w:b w:val="1"/>
                <w:bCs w:val="1"/>
                <w:color w:val="auto"/>
                <w:w w:val="94"/>
                <w:vertAlign w:val="superscript"/>
              </w:rPr>
              <w:t>nd</w:t>
            </w:r>
            <w:r>
              <w:rPr>
                <w:rFonts w:ascii="Times New Roman" w:cs="Times New Roman" w:eastAsia="Times New Roman" w:hAnsi="Times New Roman"/>
                <w:sz w:val="17"/>
                <w:szCs w:val="17"/>
                <w:b w:val="1"/>
                <w:bCs w:val="1"/>
                <w:color w:val="auto"/>
                <w:w w:val="94"/>
              </w:rPr>
              <w:t xml:space="preserve"> Floor,</w:t>
            </w:r>
          </w:p>
        </w:tc>
        <w:tc>
          <w:tcPr>
            <w:tcW w:w="3640" w:type="dxa"/>
            <w:vAlign w:val="bottom"/>
          </w:tcPr>
          <w:p>
            <w:pPr>
              <w:spacing w:after="0"/>
              <w:rPr>
                <w:sz w:val="24"/>
                <w:szCs w:val="24"/>
                <w:color w:val="auto"/>
              </w:rPr>
            </w:pPr>
          </w:p>
        </w:tc>
      </w:tr>
      <w:tr>
        <w:trPr>
          <w:trHeight w:val="210"/>
        </w:trPr>
        <w:tc>
          <w:tcPr>
            <w:tcW w:w="7600" w:type="dxa"/>
            <w:vAlign w:val="bottom"/>
            <w:gridSpan w:val="4"/>
          </w:tcPr>
          <w:p>
            <w:pPr>
              <w:jc w:val="center"/>
              <w:ind w:right="1920"/>
              <w:spacing w:after="0"/>
              <w:rPr>
                <w:sz w:val="20"/>
                <w:szCs w:val="20"/>
                <w:color w:val="auto"/>
              </w:rPr>
            </w:pPr>
            <w:r>
              <w:rPr>
                <w:rFonts w:ascii="Times New Roman" w:cs="Times New Roman" w:eastAsia="Times New Roman" w:hAnsi="Times New Roman"/>
                <w:sz w:val="17"/>
                <w:szCs w:val="17"/>
                <w:b w:val="1"/>
                <w:bCs w:val="1"/>
                <w:color w:val="auto"/>
                <w:w w:val="96"/>
              </w:rPr>
              <w:t>New York, New York 10005</w:t>
            </w:r>
          </w:p>
        </w:tc>
        <w:tc>
          <w:tcPr>
            <w:tcW w:w="3640" w:type="dxa"/>
            <w:vAlign w:val="bottom"/>
          </w:tcPr>
          <w:p>
            <w:pPr>
              <w:jc w:val="center"/>
              <w:ind w:right="1707"/>
              <w:spacing w:after="0"/>
              <w:rPr>
                <w:sz w:val="20"/>
                <w:szCs w:val="20"/>
                <w:color w:val="auto"/>
              </w:rPr>
            </w:pPr>
            <w:r>
              <w:rPr>
                <w:rFonts w:ascii="Times New Roman" w:cs="Times New Roman" w:eastAsia="Times New Roman" w:hAnsi="Times New Roman"/>
                <w:sz w:val="17"/>
                <w:szCs w:val="17"/>
                <w:b w:val="1"/>
                <w:bCs w:val="1"/>
                <w:color w:val="auto"/>
                <w:w w:val="98"/>
              </w:rPr>
              <w:t>10005</w:t>
            </w:r>
          </w:p>
        </w:tc>
      </w:tr>
      <w:tr>
        <w:trPr>
          <w:trHeight w:val="174"/>
        </w:trPr>
        <w:tc>
          <w:tcPr>
            <w:tcW w:w="7600" w:type="dxa"/>
            <w:vAlign w:val="bottom"/>
            <w:gridSpan w:val="4"/>
          </w:tcPr>
          <w:p>
            <w:pPr>
              <w:jc w:val="center"/>
              <w:ind w:right="19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40" w:type="dxa"/>
            <w:vAlign w:val="bottom"/>
          </w:tcPr>
          <w:p>
            <w:pPr>
              <w:jc w:val="center"/>
              <w:ind w:right="1707"/>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64"/>
        </w:trPr>
        <w:tc>
          <w:tcPr>
            <w:tcW w:w="4440" w:type="dxa"/>
            <w:vAlign w:val="bottom"/>
          </w:tcPr>
          <w:p>
            <w:pPr>
              <w:spacing w:after="0"/>
              <w:rPr>
                <w:sz w:val="24"/>
                <w:szCs w:val="24"/>
                <w:color w:val="auto"/>
              </w:rPr>
            </w:pPr>
          </w:p>
        </w:tc>
        <w:tc>
          <w:tcPr>
            <w:tcW w:w="316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6"/>
              </w:rPr>
              <w:t>Paul H. Kim</w:t>
            </w:r>
          </w:p>
        </w:tc>
        <w:tc>
          <w:tcPr>
            <w:tcW w:w="3640" w:type="dxa"/>
            <w:vAlign w:val="bottom"/>
          </w:tcPr>
          <w:p>
            <w:pPr>
              <w:spacing w:after="0"/>
              <w:rPr>
                <w:sz w:val="24"/>
                <w:szCs w:val="24"/>
                <w:color w:val="auto"/>
              </w:rPr>
            </w:pPr>
          </w:p>
        </w:tc>
      </w:tr>
      <w:tr>
        <w:trPr>
          <w:trHeight w:val="200"/>
        </w:trPr>
        <w:tc>
          <w:tcPr>
            <w:tcW w:w="4440" w:type="dxa"/>
            <w:vAlign w:val="bottom"/>
          </w:tcPr>
          <w:p>
            <w:pPr>
              <w:spacing w:after="0"/>
              <w:rPr>
                <w:sz w:val="17"/>
                <w:szCs w:val="17"/>
                <w:color w:val="auto"/>
              </w:rPr>
            </w:pPr>
          </w:p>
        </w:tc>
        <w:tc>
          <w:tcPr>
            <w:tcW w:w="316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6"/>
              </w:rPr>
              <w:t>Equiniti Trust Company, LLC</w:t>
            </w:r>
          </w:p>
        </w:tc>
        <w:tc>
          <w:tcPr>
            <w:tcW w:w="3640" w:type="dxa"/>
            <w:vAlign w:val="bottom"/>
          </w:tcPr>
          <w:p>
            <w:pPr>
              <w:spacing w:after="0"/>
              <w:rPr>
                <w:sz w:val="17"/>
                <w:szCs w:val="17"/>
                <w:color w:val="auto"/>
              </w:rPr>
            </w:pPr>
          </w:p>
        </w:tc>
      </w:tr>
      <w:tr>
        <w:trPr>
          <w:trHeight w:val="200"/>
        </w:trPr>
        <w:tc>
          <w:tcPr>
            <w:tcW w:w="4440" w:type="dxa"/>
            <w:vAlign w:val="bottom"/>
          </w:tcPr>
          <w:p>
            <w:pPr>
              <w:spacing w:after="0"/>
              <w:rPr>
                <w:sz w:val="17"/>
                <w:szCs w:val="17"/>
                <w:color w:val="auto"/>
              </w:rPr>
            </w:pPr>
          </w:p>
        </w:tc>
        <w:tc>
          <w:tcPr>
            <w:tcW w:w="3160" w:type="dxa"/>
            <w:vAlign w:val="bottom"/>
            <w:gridSpan w:val="3"/>
          </w:tcPr>
          <w:p>
            <w:pPr>
              <w:jc w:val="center"/>
              <w:ind w:right="780"/>
              <w:spacing w:after="0" w:line="200" w:lineRule="exact"/>
              <w:rPr>
                <w:sz w:val="20"/>
                <w:szCs w:val="20"/>
                <w:color w:val="auto"/>
              </w:rPr>
            </w:pPr>
            <w:r>
              <w:rPr>
                <w:rFonts w:ascii="Times New Roman" w:cs="Times New Roman" w:eastAsia="Times New Roman" w:hAnsi="Times New Roman"/>
                <w:sz w:val="16"/>
                <w:szCs w:val="16"/>
                <w:b w:val="1"/>
                <w:bCs w:val="1"/>
                <w:color w:val="auto"/>
              </w:rPr>
              <w:t>48 Wall Street, 22</w:t>
            </w:r>
            <w:r>
              <w:rPr>
                <w:rFonts w:ascii="Times New Roman" w:cs="Times New Roman" w:eastAsia="Times New Roman" w:hAnsi="Times New Roman"/>
                <w:sz w:val="23"/>
                <w:szCs w:val="23"/>
                <w:b w:val="1"/>
                <w:bCs w:val="1"/>
                <w:color w:val="auto"/>
                <w:vertAlign w:val="superscript"/>
              </w:rPr>
              <w:t>nd</w:t>
            </w:r>
            <w:r>
              <w:rPr>
                <w:rFonts w:ascii="Times New Roman" w:cs="Times New Roman" w:eastAsia="Times New Roman" w:hAnsi="Times New Roman"/>
                <w:sz w:val="16"/>
                <w:szCs w:val="16"/>
                <w:b w:val="1"/>
                <w:bCs w:val="1"/>
                <w:color w:val="auto"/>
              </w:rPr>
              <w:t xml:space="preserve"> Floor</w:t>
            </w:r>
          </w:p>
        </w:tc>
        <w:tc>
          <w:tcPr>
            <w:tcW w:w="3640" w:type="dxa"/>
            <w:vAlign w:val="bottom"/>
          </w:tcPr>
          <w:p>
            <w:pPr>
              <w:spacing w:after="0"/>
              <w:rPr>
                <w:sz w:val="17"/>
                <w:szCs w:val="17"/>
                <w:color w:val="auto"/>
              </w:rPr>
            </w:pPr>
          </w:p>
        </w:tc>
      </w:tr>
      <w:tr>
        <w:trPr>
          <w:trHeight w:val="200"/>
        </w:trPr>
        <w:tc>
          <w:tcPr>
            <w:tcW w:w="4440" w:type="dxa"/>
            <w:vAlign w:val="bottom"/>
          </w:tcPr>
          <w:p>
            <w:pPr>
              <w:spacing w:after="0"/>
              <w:rPr>
                <w:sz w:val="17"/>
                <w:szCs w:val="17"/>
                <w:color w:val="auto"/>
              </w:rPr>
            </w:pPr>
          </w:p>
        </w:tc>
        <w:tc>
          <w:tcPr>
            <w:tcW w:w="316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6"/>
              </w:rPr>
              <w:t>New York, NY 10005</w:t>
            </w:r>
          </w:p>
        </w:tc>
        <w:tc>
          <w:tcPr>
            <w:tcW w:w="3640" w:type="dxa"/>
            <w:vAlign w:val="bottom"/>
          </w:tcPr>
          <w:p>
            <w:pPr>
              <w:spacing w:after="0"/>
              <w:rPr>
                <w:sz w:val="17"/>
                <w:szCs w:val="17"/>
                <w:color w:val="auto"/>
              </w:rPr>
            </w:pPr>
          </w:p>
        </w:tc>
      </w:tr>
      <w:tr>
        <w:trPr>
          <w:trHeight w:val="198"/>
        </w:trPr>
        <w:tc>
          <w:tcPr>
            <w:tcW w:w="6800" w:type="dxa"/>
            <w:vAlign w:val="bottom"/>
            <w:gridSpan w:val="2"/>
          </w:tcPr>
          <w:p>
            <w:pPr>
              <w:jc w:val="center"/>
              <w:ind w:left="4365"/>
              <w:spacing w:after="0"/>
              <w:rPr>
                <w:sz w:val="20"/>
                <w:szCs w:val="20"/>
                <w:color w:val="auto"/>
              </w:rPr>
            </w:pPr>
            <w:r>
              <w:rPr>
                <w:rFonts w:ascii="Times New Roman" w:cs="Times New Roman" w:eastAsia="Times New Roman" w:hAnsi="Times New Roman"/>
                <w:sz w:val="17"/>
                <w:szCs w:val="17"/>
                <w:b w:val="1"/>
                <w:bCs w:val="1"/>
                <w:color w:val="auto"/>
                <w:w w:val="97"/>
              </w:rPr>
              <w:t>(800) 468-9716</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174"/>
        </w:trPr>
        <w:tc>
          <w:tcPr>
            <w:tcW w:w="7600" w:type="dxa"/>
            <w:vAlign w:val="bottom"/>
            <w:gridSpan w:val="4"/>
          </w:tcPr>
          <w:p>
            <w:pPr>
              <w:jc w:val="center"/>
              <w:ind w:left="3585"/>
              <w:spacing w:after="0"/>
              <w:rPr>
                <w:sz w:val="20"/>
                <w:szCs w:val="20"/>
                <w:color w:val="auto"/>
              </w:rPr>
            </w:pPr>
            <w:r>
              <w:rPr>
                <w:rFonts w:ascii="Times New Roman" w:cs="Times New Roman" w:eastAsia="Times New Roman" w:hAnsi="Times New Roman"/>
                <w:sz w:val="13"/>
                <w:szCs w:val="13"/>
                <w:b w:val="1"/>
                <w:bCs w:val="1"/>
                <w:color w:val="auto"/>
              </w:rPr>
              <w:t>(Name, address and telephone number of agent for service)</w:t>
            </w:r>
          </w:p>
        </w:tc>
        <w:tc>
          <w:tcPr>
            <w:tcW w:w="3640" w:type="dxa"/>
            <w:vAlign w:val="bottom"/>
          </w:tcPr>
          <w:p>
            <w:pPr>
              <w:spacing w:after="0"/>
              <w:rPr>
                <w:sz w:val="15"/>
                <w:szCs w:val="15"/>
                <w:color w:val="auto"/>
              </w:rPr>
            </w:pPr>
          </w:p>
        </w:tc>
      </w:tr>
      <w:tr>
        <w:trPr>
          <w:trHeight w:val="309"/>
        </w:trPr>
        <w:tc>
          <w:tcPr>
            <w:tcW w:w="444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4"/>
                <w:szCs w:val="24"/>
                <w:color w:val="auto"/>
              </w:rPr>
            </w:pP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69"/>
        </w:trPr>
        <w:tc>
          <w:tcPr>
            <w:tcW w:w="7600" w:type="dxa"/>
            <w:vAlign w:val="bottom"/>
            <w:gridSpan w:val="4"/>
          </w:tcPr>
          <w:p>
            <w:pPr>
              <w:jc w:val="center"/>
              <w:ind w:left="3585"/>
              <w:spacing w:after="0"/>
              <w:rPr>
                <w:sz w:val="20"/>
                <w:szCs w:val="20"/>
                <w:color w:val="auto"/>
              </w:rPr>
            </w:pPr>
            <w:r>
              <w:rPr>
                <w:rFonts w:ascii="Times New Roman" w:cs="Times New Roman" w:eastAsia="Times New Roman" w:hAnsi="Times New Roman"/>
                <w:sz w:val="17"/>
                <w:szCs w:val="17"/>
                <w:b w:val="1"/>
                <w:bCs w:val="1"/>
                <w:color w:val="auto"/>
                <w:w w:val="97"/>
              </w:rPr>
              <w:t>PennantPark Floating Rate Capital Ltd.</w:t>
            </w:r>
          </w:p>
        </w:tc>
        <w:tc>
          <w:tcPr>
            <w:tcW w:w="3640" w:type="dxa"/>
            <w:vAlign w:val="bottom"/>
          </w:tcPr>
          <w:p>
            <w:pPr>
              <w:spacing w:after="0"/>
              <w:rPr>
                <w:sz w:val="24"/>
                <w:szCs w:val="24"/>
                <w:color w:val="auto"/>
              </w:rPr>
            </w:pPr>
          </w:p>
        </w:tc>
      </w:tr>
      <w:tr>
        <w:trPr>
          <w:trHeight w:val="174"/>
        </w:trPr>
        <w:tc>
          <w:tcPr>
            <w:tcW w:w="7600" w:type="dxa"/>
            <w:vAlign w:val="bottom"/>
            <w:gridSpan w:val="4"/>
          </w:tcPr>
          <w:p>
            <w:pPr>
              <w:jc w:val="center"/>
              <w:ind w:left="3565"/>
              <w:spacing w:after="0"/>
              <w:rPr>
                <w:sz w:val="20"/>
                <w:szCs w:val="20"/>
                <w:color w:val="auto"/>
              </w:rPr>
            </w:pPr>
            <w:r>
              <w:rPr>
                <w:rFonts w:ascii="Times New Roman" w:cs="Times New Roman" w:eastAsia="Times New Roman" w:hAnsi="Times New Roman"/>
                <w:sz w:val="13"/>
                <w:szCs w:val="13"/>
                <w:b w:val="1"/>
                <w:bCs w:val="1"/>
                <w:color w:val="auto"/>
              </w:rPr>
              <w:t>(Exact name of obligor as specified in its character)</w:t>
            </w:r>
          </w:p>
        </w:tc>
        <w:tc>
          <w:tcPr>
            <w:tcW w:w="3640" w:type="dxa"/>
            <w:vAlign w:val="bottom"/>
          </w:tcPr>
          <w:p>
            <w:pPr>
              <w:spacing w:after="0"/>
              <w:rPr>
                <w:sz w:val="15"/>
                <w:szCs w:val="15"/>
                <w:color w:val="auto"/>
              </w:rPr>
            </w:pPr>
          </w:p>
        </w:tc>
      </w:tr>
      <w:tr>
        <w:trPr>
          <w:trHeight w:val="309"/>
        </w:trPr>
        <w:tc>
          <w:tcPr>
            <w:tcW w:w="444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r>
      <w:tr>
        <w:trPr>
          <w:trHeight w:val="432"/>
        </w:trPr>
        <w:tc>
          <w:tcPr>
            <w:tcW w:w="7600" w:type="dxa"/>
            <w:vAlign w:val="bottom"/>
            <w:gridSpan w:val="4"/>
          </w:tcPr>
          <w:p>
            <w:pPr>
              <w:jc w:val="center"/>
              <w:ind w:right="1920"/>
              <w:spacing w:after="0"/>
              <w:rPr>
                <w:sz w:val="20"/>
                <w:szCs w:val="20"/>
                <w:color w:val="auto"/>
              </w:rPr>
            </w:pPr>
            <w:r>
              <w:rPr>
                <w:rFonts w:ascii="Times New Roman" w:cs="Times New Roman" w:eastAsia="Times New Roman" w:hAnsi="Times New Roman"/>
                <w:sz w:val="17"/>
                <w:szCs w:val="17"/>
                <w:b w:val="1"/>
                <w:bCs w:val="1"/>
                <w:color w:val="auto"/>
                <w:w w:val="98"/>
              </w:rPr>
              <w:t>Maryland</w:t>
            </w:r>
          </w:p>
        </w:tc>
        <w:tc>
          <w:tcPr>
            <w:tcW w:w="3640" w:type="dxa"/>
            <w:vAlign w:val="bottom"/>
          </w:tcPr>
          <w:p>
            <w:pPr>
              <w:jc w:val="center"/>
              <w:ind w:right="1727"/>
              <w:spacing w:after="0"/>
              <w:rPr>
                <w:sz w:val="20"/>
                <w:szCs w:val="20"/>
                <w:color w:val="auto"/>
              </w:rPr>
            </w:pPr>
            <w:r>
              <w:rPr>
                <w:rFonts w:ascii="Times New Roman" w:cs="Times New Roman" w:eastAsia="Times New Roman" w:hAnsi="Times New Roman"/>
                <w:sz w:val="17"/>
                <w:szCs w:val="17"/>
                <w:b w:val="1"/>
                <w:bCs w:val="1"/>
                <w:color w:val="auto"/>
                <w:w w:val="97"/>
              </w:rPr>
              <w:t>27-3794690</w:t>
            </w:r>
          </w:p>
        </w:tc>
      </w:tr>
      <w:tr>
        <w:trPr>
          <w:trHeight w:val="137"/>
        </w:trPr>
        <w:tc>
          <w:tcPr>
            <w:tcW w:w="7600" w:type="dxa"/>
            <w:vAlign w:val="bottom"/>
            <w:gridSpan w:val="4"/>
          </w:tcPr>
          <w:p>
            <w:pPr>
              <w:jc w:val="center"/>
              <w:ind w:right="1900"/>
              <w:spacing w:after="0" w:line="138"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640" w:type="dxa"/>
            <w:vAlign w:val="bottom"/>
          </w:tcPr>
          <w:p>
            <w:pPr>
              <w:jc w:val="center"/>
              <w:ind w:right="1727"/>
              <w:spacing w:after="0" w:line="138"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7600" w:type="dxa"/>
            <w:vAlign w:val="bottom"/>
            <w:gridSpan w:val="4"/>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640" w:type="dxa"/>
            <w:vAlign w:val="bottom"/>
          </w:tcPr>
          <w:p>
            <w:pPr>
              <w:jc w:val="center"/>
              <w:ind w:right="1727"/>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401"/>
        </w:trPr>
        <w:tc>
          <w:tcPr>
            <w:tcW w:w="7600" w:type="dxa"/>
            <w:vAlign w:val="bottom"/>
            <w:gridSpan w:val="4"/>
          </w:tcPr>
          <w:p>
            <w:pPr>
              <w:jc w:val="center"/>
              <w:ind w:right="1920"/>
              <w:spacing w:after="0"/>
              <w:rPr>
                <w:sz w:val="20"/>
                <w:szCs w:val="20"/>
                <w:color w:val="auto"/>
              </w:rPr>
            </w:pPr>
            <w:r>
              <w:rPr>
                <w:rFonts w:ascii="Times New Roman" w:cs="Times New Roman" w:eastAsia="Times New Roman" w:hAnsi="Times New Roman"/>
                <w:sz w:val="17"/>
                <w:szCs w:val="17"/>
                <w:b w:val="1"/>
                <w:bCs w:val="1"/>
                <w:color w:val="auto"/>
                <w:w w:val="96"/>
              </w:rPr>
              <w:t>1691 Michigan Avenue</w:t>
            </w:r>
          </w:p>
        </w:tc>
        <w:tc>
          <w:tcPr>
            <w:tcW w:w="3640" w:type="dxa"/>
            <w:vAlign w:val="bottom"/>
          </w:tcPr>
          <w:p>
            <w:pPr>
              <w:spacing w:after="0"/>
              <w:rPr>
                <w:sz w:val="24"/>
                <w:szCs w:val="24"/>
                <w:color w:val="auto"/>
              </w:rPr>
            </w:pPr>
          </w:p>
        </w:tc>
      </w:tr>
      <w:tr>
        <w:trPr>
          <w:trHeight w:val="210"/>
        </w:trPr>
        <w:tc>
          <w:tcPr>
            <w:tcW w:w="7600" w:type="dxa"/>
            <w:vAlign w:val="bottom"/>
            <w:gridSpan w:val="4"/>
          </w:tcPr>
          <w:p>
            <w:pPr>
              <w:jc w:val="center"/>
              <w:ind w:right="1920"/>
              <w:spacing w:after="0"/>
              <w:rPr>
                <w:sz w:val="20"/>
                <w:szCs w:val="20"/>
                <w:color w:val="auto"/>
              </w:rPr>
            </w:pPr>
            <w:r>
              <w:rPr>
                <w:rFonts w:ascii="Times New Roman" w:cs="Times New Roman" w:eastAsia="Times New Roman" w:hAnsi="Times New Roman"/>
                <w:sz w:val="17"/>
                <w:szCs w:val="17"/>
                <w:b w:val="1"/>
                <w:bCs w:val="1"/>
                <w:color w:val="auto"/>
                <w:w w:val="97"/>
              </w:rPr>
              <w:t>Miami Beach, Florida</w:t>
            </w:r>
          </w:p>
        </w:tc>
        <w:tc>
          <w:tcPr>
            <w:tcW w:w="3640" w:type="dxa"/>
            <w:vAlign w:val="bottom"/>
          </w:tcPr>
          <w:p>
            <w:pPr>
              <w:jc w:val="center"/>
              <w:ind w:right="1707"/>
              <w:spacing w:after="0"/>
              <w:rPr>
                <w:sz w:val="20"/>
                <w:szCs w:val="20"/>
                <w:color w:val="auto"/>
              </w:rPr>
            </w:pPr>
            <w:r>
              <w:rPr>
                <w:rFonts w:ascii="Times New Roman" w:cs="Times New Roman" w:eastAsia="Times New Roman" w:hAnsi="Times New Roman"/>
                <w:sz w:val="17"/>
                <w:szCs w:val="17"/>
                <w:b w:val="1"/>
                <w:bCs w:val="1"/>
                <w:color w:val="auto"/>
                <w:w w:val="98"/>
              </w:rPr>
              <w:t>33139</w:t>
            </w:r>
          </w:p>
        </w:tc>
      </w:tr>
      <w:tr>
        <w:trPr>
          <w:trHeight w:val="174"/>
        </w:trPr>
        <w:tc>
          <w:tcPr>
            <w:tcW w:w="7600" w:type="dxa"/>
            <w:vAlign w:val="bottom"/>
            <w:gridSpan w:val="4"/>
          </w:tcPr>
          <w:p>
            <w:pPr>
              <w:jc w:val="center"/>
              <w:ind w:right="19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40" w:type="dxa"/>
            <w:vAlign w:val="bottom"/>
          </w:tcPr>
          <w:p>
            <w:pPr>
              <w:jc w:val="center"/>
              <w:ind w:right="1707"/>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09"/>
        </w:trPr>
        <w:tc>
          <w:tcPr>
            <w:tcW w:w="444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r>
      <w:tr>
        <w:trPr>
          <w:trHeight w:val="369"/>
        </w:trPr>
        <w:tc>
          <w:tcPr>
            <w:tcW w:w="4440" w:type="dxa"/>
            <w:vAlign w:val="bottom"/>
          </w:tcPr>
          <w:p>
            <w:pPr>
              <w:spacing w:after="0"/>
              <w:rPr>
                <w:sz w:val="24"/>
                <w:szCs w:val="24"/>
                <w:color w:val="auto"/>
              </w:rPr>
            </w:pPr>
          </w:p>
        </w:tc>
        <w:tc>
          <w:tcPr>
            <w:tcW w:w="316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8"/>
              </w:rPr>
              <w:t>Debt Securities</w:t>
            </w:r>
          </w:p>
        </w:tc>
        <w:tc>
          <w:tcPr>
            <w:tcW w:w="3640" w:type="dxa"/>
            <w:vAlign w:val="bottom"/>
          </w:tcPr>
          <w:p>
            <w:pPr>
              <w:spacing w:after="0"/>
              <w:rPr>
                <w:sz w:val="24"/>
                <w:szCs w:val="24"/>
                <w:color w:val="auto"/>
              </w:rPr>
            </w:pPr>
          </w:p>
        </w:tc>
      </w:tr>
      <w:tr>
        <w:trPr>
          <w:trHeight w:val="174"/>
        </w:trPr>
        <w:tc>
          <w:tcPr>
            <w:tcW w:w="4440" w:type="dxa"/>
            <w:vAlign w:val="bottom"/>
          </w:tcPr>
          <w:p>
            <w:pPr>
              <w:spacing w:after="0"/>
              <w:rPr>
                <w:sz w:val="15"/>
                <w:szCs w:val="15"/>
                <w:color w:val="auto"/>
              </w:rPr>
            </w:pPr>
          </w:p>
        </w:tc>
        <w:tc>
          <w:tcPr>
            <w:tcW w:w="3160" w:type="dxa"/>
            <w:vAlign w:val="bottom"/>
            <w:gridSpan w:val="3"/>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(Title of the Indenture Securities)</w:t>
            </w:r>
          </w:p>
        </w:tc>
        <w:tc>
          <w:tcPr>
            <w:tcW w:w="3640" w:type="dxa"/>
            <w:vAlign w:val="bottom"/>
          </w:tcPr>
          <w:p>
            <w:pPr>
              <w:spacing w:after="0"/>
              <w:rPr>
                <w:sz w:val="15"/>
                <w:szCs w:val="15"/>
                <w:color w:val="auto"/>
              </w:rPr>
            </w:pPr>
          </w:p>
        </w:tc>
      </w:tr>
      <w:tr>
        <w:trPr>
          <w:trHeight w:val="209"/>
        </w:trPr>
        <w:tc>
          <w:tcPr>
            <w:tcW w:w="44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42"/>
        </w:trPr>
        <w:tc>
          <w:tcPr>
            <w:tcW w:w="444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183755" cy="36195"/>
                    </a:xfrm>
                    <a:prstGeom prst="rect">
                      <a:avLst/>
                    </a:prstGeom>
                    <a:noFill/>
                  </pic:spPr>
                </pic:pic>
              </a:graphicData>
            </a:graphic>
          </wp:anchor>
        </w:drawing>
        <w:t>Item 1. General Information.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Furnish the following information as to the trustee:</w:t>
      </w:r>
    </w:p>
    <w:p>
      <w:pPr>
        <w:spacing w:after="0" w:line="116" w:lineRule="exact"/>
        <w:rPr>
          <w:sz w:val="20"/>
          <w:szCs w:val="20"/>
          <w:color w:val="auto"/>
        </w:rPr>
      </w:pPr>
    </w:p>
    <w:p>
      <w:pPr>
        <w:ind w:left="1000" w:hanging="551"/>
        <w:spacing w:after="0"/>
        <w:tabs>
          <w:tab w:leader="none" w:pos="10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right="6240" w:firstLine="9"/>
        <w:spacing w:after="0" w:line="432"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it is authorized to exercise corporate trust powers. The trustee is authorized to exercise corporate trust powers.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Affiliations with Obligor.</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If the obligor is an affiliate of the trustee, describe each such affiliation.</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Items 3-15.</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Items 3-15 are not applicable because, to the best of the trustee’s knowledge, the obligor is not in default under any indenture for which the trustee acts as trustee.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List of Exhibits.</w:t>
      </w:r>
    </w:p>
    <w:p>
      <w:pPr>
        <w:spacing w:after="0" w:line="10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b w:val="1"/>
          <w:bCs w:val="1"/>
          <w:color w:val="auto"/>
        </w:rPr>
        <w:t>Exhibits identified in parentheses below, on file with the Commission, are incorporated herein by reference as an exhibit hereto, pursuant to Rule 7a-29 under the Trust Indenture Act of 1939, as amended (the “Act”) and 17 C.F.R. 229.10(d).</w:t>
      </w:r>
    </w:p>
    <w:p>
      <w:pPr>
        <w:spacing w:after="0" w:line="174"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3"/>
          <w:szCs w:val="13"/>
          <w:b w:val="1"/>
          <w:bCs w:val="1"/>
          <w:u w:val="single" w:color="auto"/>
          <w:color w:val="auto"/>
        </w:rPr>
        <w:t>Exhibit</w:t>
      </w:r>
      <w:r>
        <w:rPr>
          <w:sz w:val="20"/>
          <w:szCs w:val="20"/>
          <w:color w:val="auto"/>
        </w:rPr>
        <w:tab/>
      </w:r>
      <w:r>
        <w:rPr>
          <w:rFonts w:ascii="Times New Roman" w:cs="Times New Roman" w:eastAsia="Times New Roman" w:hAnsi="Times New Roman"/>
          <w:sz w:val="13"/>
          <w:szCs w:val="13"/>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13970</wp:posOffset>
            </wp:positionV>
            <wp:extent cx="663575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6635750" cy="7620"/>
                    </a:xfrm>
                    <a:prstGeom prst="rect">
                      <a:avLst/>
                    </a:prstGeom>
                    <a:noFill/>
                  </pic:spPr>
                </pic:pic>
              </a:graphicData>
            </a:graphic>
          </wp:anchor>
        </w:drawing>
      </w:r>
    </w:p>
    <w:p>
      <w:pPr>
        <w:spacing w:after="0" w:line="8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color w:val="auto"/>
        </w:rPr>
        <w:t>T-1.1</w:t>
      </w:r>
      <w:r>
        <w:rPr>
          <w:sz w:val="20"/>
          <w:szCs w:val="20"/>
          <w:color w:val="auto"/>
        </w:rPr>
        <w:tab/>
      </w:r>
      <w:r>
        <w:rPr>
          <w:rFonts w:ascii="Times New Roman" w:cs="Times New Roman" w:eastAsia="Times New Roman" w:hAnsi="Times New Roman"/>
          <w:sz w:val="16"/>
          <w:szCs w:val="16"/>
          <w:color w:val="auto"/>
        </w:rPr>
        <w:t>A copy of the Articles of Organization of the Trustee, as amended to date</w:t>
      </w:r>
    </w:p>
    <w:p>
      <w:pPr>
        <w:spacing w:after="0" w:line="1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color w:val="auto"/>
        </w:rPr>
        <w:t>T-1.2</w:t>
      </w:r>
      <w:r>
        <w:rPr>
          <w:sz w:val="20"/>
          <w:szCs w:val="20"/>
          <w:color w:val="auto"/>
        </w:rPr>
        <w:tab/>
      </w:r>
      <w:r>
        <w:rPr>
          <w:rFonts w:ascii="Times New Roman" w:cs="Times New Roman" w:eastAsia="Times New Roman" w:hAnsi="Times New Roman"/>
          <w:sz w:val="16"/>
          <w:szCs w:val="16"/>
          <w:color w:val="auto"/>
        </w:rPr>
        <w:t>A copy of the Certificate of Authority of the Trustee to commence business</w:t>
      </w:r>
    </w:p>
    <w:p>
      <w:pPr>
        <w:spacing w:after="0" w:line="1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color w:val="auto"/>
        </w:rPr>
        <w:t>T-1.4</w:t>
      </w:r>
      <w:r>
        <w:rPr>
          <w:sz w:val="20"/>
          <w:szCs w:val="20"/>
          <w:color w:val="auto"/>
        </w:rPr>
        <w:tab/>
      </w:r>
      <w:r>
        <w:rPr>
          <w:rFonts w:ascii="Times New Roman" w:cs="Times New Roman" w:eastAsia="Times New Roman" w:hAnsi="Times New Roman"/>
          <w:sz w:val="16"/>
          <w:szCs w:val="16"/>
          <w:color w:val="auto"/>
        </w:rPr>
        <w:t>Limited Liability Trust Company Agreement of the Trustee</w:t>
      </w:r>
    </w:p>
    <w:p>
      <w:pPr>
        <w:spacing w:after="0" w:line="1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color w:val="auto"/>
        </w:rPr>
        <w:t>T-1.6</w:t>
      </w:r>
      <w:r>
        <w:rPr>
          <w:sz w:val="20"/>
          <w:szCs w:val="20"/>
          <w:color w:val="auto"/>
        </w:rPr>
        <w:tab/>
      </w:r>
      <w:r>
        <w:rPr>
          <w:rFonts w:ascii="Times New Roman" w:cs="Times New Roman" w:eastAsia="Times New Roman" w:hAnsi="Times New Roman"/>
          <w:sz w:val="16"/>
          <w:szCs w:val="16"/>
          <w:color w:val="auto"/>
        </w:rPr>
        <w:t>The consent of the Trustee required by Section 321(b) of the Trust Indenture Act of 1939</w:t>
      </w:r>
    </w:p>
    <w:p>
      <w:pPr>
        <w:spacing w:after="0" w:line="1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color w:val="auto"/>
        </w:rPr>
        <w:t>T-1.7</w:t>
      </w:r>
      <w:r>
        <w:rPr>
          <w:sz w:val="20"/>
          <w:szCs w:val="20"/>
          <w:color w:val="auto"/>
        </w:rPr>
        <w:tab/>
      </w:r>
      <w:r>
        <w:rPr>
          <w:rFonts w:ascii="Times New Roman" w:cs="Times New Roman" w:eastAsia="Times New Roman" w:hAnsi="Times New Roman"/>
          <w:sz w:val="16"/>
          <w:szCs w:val="16"/>
          <w:color w:val="auto"/>
        </w:rPr>
        <w:t>A copy of the latest report of condition of the Trustee published pursuant to law or the requirements of its supervising or examining authority</w:t>
      </w:r>
    </w:p>
    <w:p>
      <w:pPr>
        <w:sectPr>
          <w:pgSz w:w="11900" w:h="16838" w:orient="portrait"/>
          <w:cols w:equalWidth="0" w:num="1">
            <w:col w:w="11180"/>
          </w:cols>
          <w:pgMar w:left="320" w:top="256" w:right="399" w:bottom="1440" w:gutter="0" w:footer="0" w:header="0"/>
        </w:sectPr>
      </w:pPr>
    </w:p>
    <w:bookmarkStart w:id="94" w:name="page95"/>
    <w:bookmarkEnd w:id="94"/>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SIGNATURE</w:t>
      </w:r>
    </w:p>
    <w:p>
      <w:pPr>
        <w:spacing w:after="0" w:line="208" w:lineRule="exact"/>
        <w:rPr>
          <w:sz w:val="20"/>
          <w:szCs w:val="20"/>
          <w:color w:val="auto"/>
        </w:rPr>
      </w:pPr>
    </w:p>
    <w:p>
      <w:pPr>
        <w:ind w:firstLine="450"/>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Trust Indenture Act of 1939, the trustee, Equiniti Trust Company, LLC, a limited liability trust company organized and existing under the laws of the State of New York, has duly caused this statement of eligibility to be signed on its behalf by the undersigned, thereunto duly authorized, all in the City of New York, and the State of New York, on the 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of May, 2024.</w:t>
      </w:r>
    </w:p>
    <w:p>
      <w:pPr>
        <w:spacing w:after="0" w:line="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EQUINITI TRUST COMPANY, LLC</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Trustee</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  /s/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13335</wp:posOffset>
            </wp:positionV>
            <wp:extent cx="262128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2621280" cy="7620"/>
                    </a:xfrm>
                    <a:prstGeom prst="rect">
                      <a:avLst/>
                    </a:prstGeom>
                    <a:noFill/>
                  </pic:spPr>
                </pic:pic>
              </a:graphicData>
            </a:graphic>
          </wp:anchor>
        </w:drawing>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Name: Paul H. Kim</w:t>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Title: Assistant General Counsel</w:t>
      </w:r>
    </w:p>
    <w:p>
      <w:pPr>
        <w:sectPr>
          <w:pgSz w:w="11900" w:h="16838" w:orient="portrait"/>
          <w:cols w:equalWidth="0" w:num="1">
            <w:col w:w="11040"/>
          </w:cols>
          <w:pgMar w:left="320" w:top="256" w:right="5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183755" cy="36195"/>
                    </a:xfrm>
                    <a:prstGeom prst="rect">
                      <a:avLst/>
                    </a:prstGeom>
                    <a:noFill/>
                  </pic:spPr>
                </pic:pic>
              </a:graphicData>
            </a:graphic>
          </wp:anchor>
        </w:drawing>
        <w:t>EXHIBIT T-1.1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ORGANIZATION CERTIFICATE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AMERICAN STOCK TRANSFER &amp; TRUST COMPANY, LLC</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SECTION 8007 OF THE BANKING LAW</w:t>
      </w:r>
    </w:p>
    <w:p>
      <w:pPr>
        <w:spacing w:after="0" w:line="208"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We, the undersigned, MARTIN G. FLANIGAN and DAVID BECKER, being respectively the President and Secretary of American Stock Transfer &amp; Trust Company, LLC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do hereby certify that:</w:t>
      </w:r>
    </w:p>
    <w:p>
      <w:pPr>
        <w:spacing w:after="0" w:line="71" w:lineRule="exact"/>
        <w:rPr>
          <w:sz w:val="20"/>
          <w:szCs w:val="20"/>
          <w:color w:val="auto"/>
        </w:rPr>
      </w:pPr>
    </w:p>
    <w:p>
      <w:pPr>
        <w:ind w:left="1000" w:hanging="551"/>
        <w:spacing w:after="0"/>
        <w:tabs>
          <w:tab w:leader="none" w:pos="10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Company is “American Stock Transfer &amp; Trust Company, LLC”.</w:t>
      </w:r>
    </w:p>
    <w:p>
      <w:pPr>
        <w:spacing w:after="0" w:line="116" w:lineRule="exact"/>
        <w:rPr>
          <w:rFonts w:ascii="Times New Roman" w:cs="Times New Roman" w:eastAsia="Times New Roman" w:hAnsi="Times New Roman"/>
          <w:sz w:val="17"/>
          <w:szCs w:val="17"/>
          <w:color w:val="auto"/>
        </w:rPr>
      </w:pPr>
    </w:p>
    <w:p>
      <w:pPr>
        <w:ind w:left="1000" w:right="240" w:hanging="551"/>
        <w:spacing w:after="0" w:line="270" w:lineRule="auto"/>
        <w:tabs>
          <w:tab w:leader="none" w:pos="10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organization certificate of the Company (the “</w:t>
      </w:r>
      <w:r>
        <w:rPr>
          <w:rFonts w:ascii="Times New Roman" w:cs="Times New Roman" w:eastAsia="Times New Roman" w:hAnsi="Times New Roman"/>
          <w:sz w:val="17"/>
          <w:szCs w:val="17"/>
          <w:u w:val="single" w:color="auto"/>
          <w:color w:val="auto"/>
        </w:rPr>
        <w:t>Organization Certificate</w:t>
      </w:r>
      <w:r>
        <w:rPr>
          <w:rFonts w:ascii="Times New Roman" w:cs="Times New Roman" w:eastAsia="Times New Roman" w:hAnsi="Times New Roman"/>
          <w:sz w:val="17"/>
          <w:szCs w:val="17"/>
          <w:color w:val="auto"/>
        </w:rPr>
        <w:t>”) was approved by the Office of the Superintendent of Bank of the State of New York on May 30, 2008.</w:t>
      </w:r>
    </w:p>
    <w:p>
      <w:pPr>
        <w:spacing w:after="0" w:line="71" w:lineRule="exact"/>
        <w:rPr>
          <w:rFonts w:ascii="Times New Roman" w:cs="Times New Roman" w:eastAsia="Times New Roman" w:hAnsi="Times New Roman"/>
          <w:sz w:val="17"/>
          <w:szCs w:val="17"/>
          <w:color w:val="auto"/>
        </w:rPr>
      </w:pPr>
    </w:p>
    <w:p>
      <w:pPr>
        <w:ind w:left="1000" w:right="80" w:hanging="551"/>
        <w:spacing w:after="0" w:line="251" w:lineRule="auto"/>
        <w:tabs>
          <w:tab w:leader="none" w:pos="10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Organization Certificate is hereby amended and restated (a) to change the name of the Company to “Equiniti Trust Company, LLC”, as set forth in Article FIRST; (b) to change the address of the Company’s principal office consistent with a change of location previously approved by the Office of the Superintendent of Financial Services of the State of New York on January 17, 2013, as set forth in Article SECOND; and (c) to change the term of existence of the Company to be perpetual, as set forth in Article FIFTH; and, as so amended, the Organization Certificate is hereby restated to read as herein set forth in full:</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6"/>
          <w:szCs w:val="16"/>
          <w:color w:val="auto"/>
        </w:rPr>
        <w:t>“FIRST: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name by which the limited liability trust company is to be known is Equiniti Trust Company, LLC.</w:t>
      </w:r>
    </w:p>
    <w:p>
      <w:pPr>
        <w:spacing w:after="0" w:line="115" w:lineRule="exact"/>
        <w:rPr>
          <w:sz w:val="20"/>
          <w:szCs w:val="20"/>
          <w:color w:val="auto"/>
        </w:rPr>
      </w:pPr>
    </w:p>
    <w:p>
      <w:pPr>
        <w:sectPr>
          <w:pgSz w:w="11900" w:h="16838" w:orient="portrait"/>
          <w:cols w:equalWidth="0" w:num="2">
            <w:col w:w="1940" w:space="720"/>
            <w:col w:w="8580"/>
          </w:cols>
          <w:pgMar w:left="320" w:top="256" w:right="33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6"/>
          <w:szCs w:val="16"/>
          <w:color w:val="auto"/>
        </w:rPr>
        <w:t>SECOND:</w:t>
      </w:r>
    </w:p>
    <w:p>
      <w:pPr>
        <w:spacing w:after="0" w:line="20" w:lineRule="exact"/>
        <w:rPr>
          <w:sz w:val="20"/>
          <w:szCs w:val="20"/>
          <w:color w:val="auto"/>
        </w:rPr>
      </w:pPr>
      <w:r>
        <w:rPr>
          <w:sz w:val="20"/>
          <w:szCs w:val="20"/>
          <w:color w:val="auto"/>
        </w:rPr>
        <w:br w:type="column"/>
      </w:r>
    </w:p>
    <w:p>
      <w:pPr>
        <w:ind w:right="220"/>
        <w:spacing w:after="0" w:line="270" w:lineRule="auto"/>
        <w:rPr>
          <w:sz w:val="20"/>
          <w:szCs w:val="20"/>
          <w:color w:val="auto"/>
        </w:rPr>
      </w:pPr>
      <w:r>
        <w:rPr>
          <w:rFonts w:ascii="Times New Roman" w:cs="Times New Roman" w:eastAsia="Times New Roman" w:hAnsi="Times New Roman"/>
          <w:sz w:val="17"/>
          <w:szCs w:val="17"/>
          <w:color w:val="auto"/>
        </w:rPr>
        <w:t>The place where its principal office is to be located is 6201 15th Avenue, Borough of Brooklyn, City of New York, County of Kings, and State of New York.</w:t>
      </w:r>
    </w:p>
    <w:p>
      <w:pPr>
        <w:spacing w:after="0" w:line="59" w:lineRule="exact"/>
        <w:rPr>
          <w:sz w:val="20"/>
          <w:szCs w:val="20"/>
          <w:color w:val="auto"/>
        </w:rPr>
      </w:pPr>
    </w:p>
    <w:p>
      <w:pPr>
        <w:sectPr>
          <w:pgSz w:w="11900" w:h="16838" w:orient="portrait"/>
          <w:cols w:equalWidth="0" w:num="2">
            <w:col w:w="1940" w:space="720"/>
            <w:col w:w="8580"/>
          </w:cols>
          <w:pgMar w:left="320" w:top="256" w:right="339" w:bottom="1440" w:gutter="0" w:footer="0" w:header="0"/>
          <w:type w:val="continuous"/>
        </w:sectPr>
      </w:pPr>
    </w:p>
    <w:p>
      <w:pPr>
        <w:jc w:val="center"/>
        <w:ind w:left="660"/>
        <w:spacing w:after="0"/>
        <w:rPr>
          <w:sz w:val="20"/>
          <w:szCs w:val="20"/>
          <w:color w:val="auto"/>
        </w:rPr>
      </w:pPr>
      <w:r>
        <w:rPr>
          <w:rFonts w:ascii="Times New Roman" w:cs="Times New Roman" w:eastAsia="Times New Roman" w:hAnsi="Times New Roman"/>
          <w:sz w:val="16"/>
          <w:szCs w:val="16"/>
          <w:color w:val="auto"/>
        </w:rPr>
        <w:t>THIRD:</w:t>
      </w:r>
    </w:p>
    <w:p>
      <w:pPr>
        <w:spacing w:after="0" w:line="20" w:lineRule="exact"/>
        <w:rPr>
          <w:sz w:val="20"/>
          <w:szCs w:val="20"/>
          <w:color w:val="auto"/>
        </w:rPr>
      </w:pPr>
      <w:r>
        <w:rPr>
          <w:sz w:val="20"/>
          <w:szCs w:val="20"/>
          <w:color w:val="auto"/>
        </w:rPr>
        <w:br w:type="column"/>
      </w:r>
    </w:p>
    <w:p>
      <w:pPr>
        <w:ind w:right="400"/>
        <w:spacing w:after="0" w:line="270" w:lineRule="auto"/>
        <w:rPr>
          <w:sz w:val="20"/>
          <w:szCs w:val="20"/>
          <w:color w:val="auto"/>
        </w:rPr>
      </w:pPr>
      <w:r>
        <w:rPr>
          <w:rFonts w:ascii="Times New Roman" w:cs="Times New Roman" w:eastAsia="Times New Roman" w:hAnsi="Times New Roman"/>
          <w:sz w:val="17"/>
          <w:szCs w:val="17"/>
          <w:color w:val="auto"/>
        </w:rPr>
        <w:t>The amount of its capital contributions is to be Five Million Dollars ($5,000,000), and the number of units into which such capital contributions are to be divided is five million (5,000,000) units with a par value of $1.00 each.</w:t>
      </w:r>
    </w:p>
    <w:p>
      <w:pPr>
        <w:spacing w:after="0" w:line="59" w:lineRule="exact"/>
        <w:rPr>
          <w:sz w:val="20"/>
          <w:szCs w:val="20"/>
          <w:color w:val="auto"/>
        </w:rPr>
      </w:pPr>
    </w:p>
    <w:p>
      <w:pPr>
        <w:sectPr>
          <w:pgSz w:w="11900" w:h="16838" w:orient="portrait"/>
          <w:cols w:equalWidth="0" w:num="2">
            <w:col w:w="1940" w:space="720"/>
            <w:col w:w="8580"/>
          </w:cols>
          <w:pgMar w:left="320" w:top="256" w:right="339" w:bottom="1440" w:gutter="0" w:footer="0" w:header="0"/>
          <w:type w:val="continuous"/>
        </w:sectPr>
      </w:pPr>
    </w:p>
    <w:p>
      <w:pPr>
        <w:jc w:val="center"/>
        <w:ind w:left="800"/>
        <w:spacing w:after="0"/>
        <w:rPr>
          <w:sz w:val="20"/>
          <w:szCs w:val="20"/>
          <w:color w:val="auto"/>
        </w:rPr>
      </w:pPr>
      <w:r>
        <w:rPr>
          <w:rFonts w:ascii="Times New Roman" w:cs="Times New Roman" w:eastAsia="Times New Roman" w:hAnsi="Times New Roman"/>
          <w:sz w:val="16"/>
          <w:szCs w:val="16"/>
          <w:color w:val="auto"/>
        </w:rPr>
        <w:t>FOURTH:</w:t>
      </w:r>
    </w:p>
    <w:p>
      <w:pPr>
        <w:spacing w:after="0" w:line="20" w:lineRule="exact"/>
        <w:rPr>
          <w:sz w:val="20"/>
          <w:szCs w:val="20"/>
          <w:color w:val="auto"/>
        </w:rPr>
      </w:pPr>
      <w:r>
        <w:rPr>
          <w:sz w:val="20"/>
          <w:szCs w:val="20"/>
          <w:color w:val="auto"/>
        </w:rPr>
        <w:br w:type="column"/>
      </w:r>
    </w:p>
    <w:p>
      <w:pPr>
        <w:ind w:right="380"/>
        <w:spacing w:after="0" w:line="270" w:lineRule="auto"/>
        <w:rPr>
          <w:sz w:val="20"/>
          <w:szCs w:val="20"/>
          <w:color w:val="auto"/>
        </w:rPr>
      </w:pPr>
      <w:r>
        <w:rPr>
          <w:rFonts w:ascii="Times New Roman" w:cs="Times New Roman" w:eastAsia="Times New Roman" w:hAnsi="Times New Roman"/>
          <w:sz w:val="17"/>
          <w:szCs w:val="17"/>
          <w:color w:val="auto"/>
        </w:rPr>
        <w:t>The limited liability trust company is to have only one class of members. Each member shall share the same relative rights, powers, preferences, limitations, and voting powers.</w:t>
      </w:r>
    </w:p>
    <w:p>
      <w:pPr>
        <w:spacing w:after="0" w:line="59" w:lineRule="exact"/>
        <w:rPr>
          <w:sz w:val="20"/>
          <w:szCs w:val="20"/>
          <w:color w:val="auto"/>
        </w:rPr>
      </w:pPr>
    </w:p>
    <w:p>
      <w:pPr>
        <w:sectPr>
          <w:pgSz w:w="11900" w:h="16838" w:orient="portrait"/>
          <w:cols w:equalWidth="0" w:num="2">
            <w:col w:w="1940" w:space="720"/>
            <w:col w:w="8580"/>
          </w:cols>
          <w:pgMar w:left="320" w:top="256"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FIFTH: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term of existence of the limited liability trust company is to be perpetual.</w:t>
      </w:r>
    </w:p>
    <w:p>
      <w:pPr>
        <w:spacing w:after="0" w:line="115" w:lineRule="exact"/>
        <w:rPr>
          <w:sz w:val="20"/>
          <w:szCs w:val="20"/>
          <w:color w:val="auto"/>
        </w:rPr>
      </w:pPr>
    </w:p>
    <w:p>
      <w:pPr>
        <w:sectPr>
          <w:pgSz w:w="11900" w:h="16838" w:orient="portrait"/>
          <w:cols w:equalWidth="0" w:num="2">
            <w:col w:w="1940" w:space="720"/>
            <w:col w:w="8580"/>
          </w:cols>
          <w:pgMar w:left="320" w:top="256" w:right="339" w:bottom="1440" w:gutter="0" w:footer="0" w:header="0"/>
          <w:type w:val="continuous"/>
        </w:sectPr>
      </w:pPr>
    </w:p>
    <w:p>
      <w:pPr>
        <w:jc w:val="center"/>
        <w:ind w:left="640"/>
        <w:spacing w:after="0"/>
        <w:rPr>
          <w:sz w:val="20"/>
          <w:szCs w:val="20"/>
          <w:color w:val="auto"/>
        </w:rPr>
      </w:pPr>
      <w:r>
        <w:rPr>
          <w:rFonts w:ascii="Times New Roman" w:cs="Times New Roman" w:eastAsia="Times New Roman" w:hAnsi="Times New Roman"/>
          <w:sz w:val="16"/>
          <w:szCs w:val="16"/>
          <w:color w:val="auto"/>
        </w:rPr>
        <w:t>SIXTH:</w:t>
      </w:r>
    </w:p>
    <w:p>
      <w:pPr>
        <w:spacing w:after="0" w:line="20" w:lineRule="exact"/>
        <w:rPr>
          <w:sz w:val="20"/>
          <w:szCs w:val="20"/>
          <w:color w:val="auto"/>
        </w:rPr>
      </w:pPr>
      <w:r>
        <w:rPr>
          <w:sz w:val="20"/>
          <w:szCs w:val="20"/>
          <w:color w:val="auto"/>
        </w:rPr>
        <w:br w:type="column"/>
      </w:r>
    </w:p>
    <w:p>
      <w:pPr>
        <w:jc w:val="center"/>
        <w:ind w:right="1140"/>
        <w:spacing w:after="0"/>
        <w:rPr>
          <w:sz w:val="20"/>
          <w:szCs w:val="20"/>
          <w:color w:val="auto"/>
        </w:rPr>
      </w:pPr>
      <w:r>
        <w:rPr>
          <w:rFonts w:ascii="Times New Roman" w:cs="Times New Roman" w:eastAsia="Times New Roman" w:hAnsi="Times New Roman"/>
          <w:sz w:val="16"/>
          <w:szCs w:val="16"/>
          <w:color w:val="auto"/>
        </w:rPr>
        <w:t>The number of directors of the limited liability trust company shall not be less than seven nor more than fifteen.</w:t>
      </w:r>
    </w:p>
    <w:p>
      <w:pPr>
        <w:spacing w:after="0" w:line="115" w:lineRule="exact"/>
        <w:rPr>
          <w:sz w:val="20"/>
          <w:szCs w:val="20"/>
          <w:color w:val="auto"/>
        </w:rPr>
      </w:pPr>
    </w:p>
    <w:p>
      <w:pPr>
        <w:sectPr>
          <w:pgSz w:w="11900" w:h="16838" w:orient="portrait"/>
          <w:cols w:equalWidth="0" w:num="2">
            <w:col w:w="1940" w:space="720"/>
            <w:col w:w="8580"/>
          </w:cols>
          <w:pgMar w:left="320" w:top="256"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6"/>
          <w:szCs w:val="16"/>
          <w:color w:val="auto"/>
        </w:rPr>
        <w:t>SEVENTH:</w:t>
      </w:r>
    </w:p>
    <w:p>
      <w:pPr>
        <w:spacing w:after="0" w:line="20" w:lineRule="exact"/>
        <w:rPr>
          <w:sz w:val="20"/>
          <w:szCs w:val="20"/>
          <w:color w:val="auto"/>
        </w:rPr>
      </w:pPr>
      <w:r>
        <w:rPr>
          <w:sz w:val="20"/>
          <w:szCs w:val="20"/>
          <w:color w:val="auto"/>
        </w:rPr>
        <w:br w:type="column"/>
      </w:r>
    </w:p>
    <w:p>
      <w:pPr>
        <w:jc w:val="both"/>
        <w:ind w:right="20"/>
        <w:spacing w:after="0" w:line="257" w:lineRule="auto"/>
        <w:rPr>
          <w:sz w:val="20"/>
          <w:szCs w:val="20"/>
          <w:color w:val="auto"/>
        </w:rPr>
      </w:pPr>
      <w:r>
        <w:rPr>
          <w:rFonts w:ascii="Times New Roman" w:cs="Times New Roman" w:eastAsia="Times New Roman" w:hAnsi="Times New Roman"/>
          <w:sz w:val="17"/>
          <w:szCs w:val="17"/>
          <w:color w:val="auto"/>
        </w:rPr>
        <w:t>The limited liability trust company is to exercise the powers conferred by Section 100 of the Banking Law. The limited liability trust company shall neither accept deposits nor make loans except for deposits and loans arising directly from the exercise of the fiduciary powers specified in Section 100 of the Banking Law.”</w:t>
      </w:r>
    </w:p>
    <w:p>
      <w:pPr>
        <w:spacing w:after="0" w:line="83" w:lineRule="exact"/>
        <w:rPr>
          <w:sz w:val="20"/>
          <w:szCs w:val="20"/>
          <w:color w:val="auto"/>
        </w:rPr>
      </w:pPr>
    </w:p>
    <w:p>
      <w:pPr>
        <w:sectPr>
          <w:pgSz w:w="11900" w:h="16838" w:orient="portrait"/>
          <w:cols w:equalWidth="0" w:num="2">
            <w:col w:w="1940" w:space="720"/>
            <w:col w:w="8580"/>
          </w:cols>
          <w:pgMar w:left="320" w:top="256" w:right="339" w:bottom="1440" w:gutter="0" w:footer="0" w:header="0"/>
          <w:type w:val="continuous"/>
        </w:sectPr>
      </w:pPr>
    </w:p>
    <w:p>
      <w:pPr>
        <w:ind w:left="4780" w:right="260" w:hanging="4331"/>
        <w:spacing w:after="0" w:line="515" w:lineRule="auto"/>
        <w:tabs>
          <w:tab w:leader="none" w:pos="10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Amended and Restated Organization Certificate was authorized by the unanimous written consent of the sole member of the Company. </w:t>
      </w:r>
      <w:r>
        <w:rPr>
          <w:rFonts w:ascii="Times New Roman" w:cs="Times New Roman" w:eastAsia="Times New Roman" w:hAnsi="Times New Roman"/>
          <w:sz w:val="17"/>
          <w:szCs w:val="17"/>
          <w:i w:val="1"/>
          <w:iCs w:val="1"/>
          <w:color w:val="auto"/>
        </w:rPr>
        <w:t>[Signature page follows.]</w:t>
      </w:r>
    </w:p>
    <w:p>
      <w:pPr>
        <w:sectPr>
          <w:pgSz w:w="11900" w:h="16838" w:orient="portrait"/>
          <w:cols w:equalWidth="0" w:num="1">
            <w:col w:w="11240"/>
          </w:cols>
          <w:pgMar w:left="320" w:top="256"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7183755" cy="36195"/>
                    </a:xfrm>
                    <a:prstGeom prst="rect">
                      <a:avLst/>
                    </a:prstGeom>
                    <a:noFill/>
                  </pic:spPr>
                </pic:pic>
              </a:graphicData>
            </a:graphic>
          </wp:anchor>
        </w:drawing>
        <w:t>IN WITNESS WHEREOF, the undersigned have subscribed this Amended and Restated Organization Certificate this 30th day of June, 2023.</w:t>
      </w:r>
    </w:p>
    <w:p>
      <w:pPr>
        <w:spacing w:after="0" w:line="24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/s/ Martin G. Flanigan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13335</wp:posOffset>
            </wp:positionV>
            <wp:extent cx="285051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Martin G. Flanigan, President</w:t>
      </w:r>
    </w:p>
    <w:p>
      <w:pPr>
        <w:spacing w:after="0" w:line="20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/s/ David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13335</wp:posOffset>
            </wp:positionV>
            <wp:extent cx="285051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David Becker, Secretary</w:t>
      </w:r>
    </w:p>
    <w:p>
      <w:pPr>
        <w:sectPr>
          <w:pgSz w:w="11900" w:h="16838" w:orient="portrait"/>
          <w:cols w:equalWidth="0" w:num="1">
            <w:col w:w="9699"/>
          </w:cols>
          <w:pgMar w:left="760" w:top="260" w:right="1440"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183755" cy="36195"/>
                    </a:xfrm>
                    <a:prstGeom prst="rect">
                      <a:avLst/>
                    </a:prstGeom>
                    <a:noFill/>
                  </pic:spPr>
                </pic:pic>
              </a:graphicData>
            </a:graphic>
          </wp:anchor>
        </w:drawing>
        <w:t>EXHIBIT 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158115</wp:posOffset>
            </wp:positionV>
            <wp:extent cx="2819400" cy="791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2819400" cy="79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Whereas, </w:t>
      </w:r>
      <w:r>
        <w:rPr>
          <w:rFonts w:ascii="Times New Roman" w:cs="Times New Roman" w:eastAsia="Times New Roman" w:hAnsi="Times New Roman"/>
          <w:sz w:val="17"/>
          <w:szCs w:val="17"/>
          <w:i w:val="1"/>
          <w:iCs w:val="1"/>
          <w:color w:val="auto"/>
        </w:rPr>
        <w:t>the Articles of Organization of</w:t>
      </w:r>
      <w:r>
        <w:rPr>
          <w:rFonts w:ascii="Times New Roman" w:cs="Times New Roman" w:eastAsia="Times New Roman" w:hAnsi="Times New Roman"/>
          <w:sz w:val="17"/>
          <w:szCs w:val="17"/>
          <w:b w:val="1"/>
          <w:bCs w:val="1"/>
          <w:i w:val="1"/>
          <w:iCs w:val="1"/>
          <w:color w:val="auto"/>
        </w:rPr>
        <w:t xml:space="preserve"> AMERICAN STOCK TRANSFER &amp; TRUST COMPANY, LLC, </w:t>
      </w:r>
      <w:r>
        <w:rPr>
          <w:rFonts w:ascii="Times New Roman" w:cs="Times New Roman" w:eastAsia="Times New Roman" w:hAnsi="Times New Roman"/>
          <w:sz w:val="17"/>
          <w:szCs w:val="17"/>
          <w:i w:val="1"/>
          <w:iCs w:val="1"/>
          <w:color w:val="auto"/>
        </w:rPr>
        <w:t>of New York, New York, have heretofore been duly approved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and said </w:t>
      </w:r>
      <w:r>
        <w:rPr>
          <w:rFonts w:ascii="Times New Roman" w:cs="Times New Roman" w:eastAsia="Times New Roman" w:hAnsi="Times New Roman"/>
          <w:sz w:val="17"/>
          <w:szCs w:val="17"/>
          <w:b w:val="1"/>
          <w:bCs w:val="1"/>
          <w:i w:val="1"/>
          <w:iCs w:val="1"/>
          <w:color w:val="auto"/>
        </w:rPr>
        <w:t>AMERICAN STOCK TRANSFER &amp; TRUST COMPANY, LLC</w:t>
      </w:r>
      <w:r>
        <w:rPr>
          <w:rFonts w:ascii="Times New Roman" w:cs="Times New Roman" w:eastAsia="Times New Roman" w:hAnsi="Times New Roman"/>
          <w:sz w:val="17"/>
          <w:szCs w:val="17"/>
          <w:i w:val="1"/>
          <w:iCs w:val="1"/>
          <w:color w:val="auto"/>
        </w:rPr>
        <w:t xml:space="preserve"> has complied with the provisions of Chapter 2 of the Consolidated Laws,</w:t>
      </w:r>
    </w:p>
    <w:p>
      <w:pPr>
        <w:spacing w:after="0" w:line="151" w:lineRule="exact"/>
        <w:rPr>
          <w:sz w:val="20"/>
          <w:szCs w:val="20"/>
          <w:color w:val="auto"/>
        </w:rPr>
      </w:pPr>
    </w:p>
    <w:p>
      <w:pPr>
        <w:ind w:right="80"/>
        <w:spacing w:after="0" w:line="307" w:lineRule="auto"/>
        <w:rPr>
          <w:sz w:val="20"/>
          <w:szCs w:val="20"/>
          <w:color w:val="auto"/>
        </w:rPr>
      </w:pPr>
      <w:r>
        <w:rPr>
          <w:rFonts w:ascii="Times New Roman" w:cs="Times New Roman" w:eastAsia="Times New Roman" w:hAnsi="Times New Roman"/>
          <w:sz w:val="16"/>
          <w:szCs w:val="16"/>
          <w:i w:val="1"/>
          <w:iCs w:val="1"/>
          <w:color w:val="auto"/>
        </w:rPr>
        <w:t xml:space="preserve">Now Therefore I, David S. Fredsall, as Deputy Superintendent of Banks of the State of New York, do hereby authorize the said </w:t>
      </w:r>
      <w:r>
        <w:rPr>
          <w:rFonts w:ascii="Times New Roman" w:cs="Times New Roman" w:eastAsia="Times New Roman" w:hAnsi="Times New Roman"/>
          <w:sz w:val="16"/>
          <w:szCs w:val="16"/>
          <w:b w:val="1"/>
          <w:bCs w:val="1"/>
          <w:i w:val="1"/>
          <w:iCs w:val="1"/>
          <w:color w:val="auto"/>
        </w:rPr>
        <w:t>AMERICAN STOCK TRANSFER &amp;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 xml:space="preserve">TRUST COMPANY, LLC </w:t>
      </w:r>
      <w:r>
        <w:rPr>
          <w:rFonts w:ascii="Times New Roman" w:cs="Times New Roman" w:eastAsia="Times New Roman" w:hAnsi="Times New Roman"/>
          <w:sz w:val="16"/>
          <w:szCs w:val="16"/>
          <w:i w:val="1"/>
          <w:iCs w:val="1"/>
          <w:color w:val="auto"/>
        </w:rPr>
        <w:t>to transact the business of a Limited Liability Trust Company, at 59 Maiden Lane, Borough of Manhattan, City of New York within this State.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 Witness Whereof, </w:t>
      </w:r>
      <w:r>
        <w:rPr>
          <w:rFonts w:ascii="Times New Roman" w:cs="Times New Roman" w:eastAsia="Times New Roman" w:hAnsi="Times New Roman"/>
          <w:sz w:val="17"/>
          <w:szCs w:val="17"/>
          <w:i w:val="1"/>
          <w:iCs w:val="1"/>
          <w:color w:val="auto"/>
        </w:rPr>
        <w:t>I have hereunto set my hand and affixed the official seal of the Banking Department, this 30</w:t>
      </w:r>
      <w:r>
        <w:rPr>
          <w:rFonts w:ascii="Times New Roman" w:cs="Times New Roman" w:eastAsia="Times New Roman" w:hAnsi="Times New Roman"/>
          <w:sz w:val="24"/>
          <w:szCs w:val="24"/>
          <w:i w:val="1"/>
          <w:iCs w:val="1"/>
          <w:color w:val="auto"/>
          <w:vertAlign w:val="superscript"/>
        </w:rPr>
        <w:t>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day of May in the year two thousand and eight.</w:t>
      </w:r>
    </w:p>
    <w:p>
      <w:pPr>
        <w:spacing w:after="0" w:line="1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David S. Fredsall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13335</wp:posOffset>
            </wp:positionV>
            <wp:extent cx="285051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2850515" cy="762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Deputy Superintendent of Banks</w:t>
      </w:r>
    </w:p>
    <w:p>
      <w:pPr>
        <w:sectPr>
          <w:pgSz w:w="11900" w:h="16838" w:orient="portrait"/>
          <w:cols w:equalWidth="0" w:num="1">
            <w:col w:w="11240"/>
          </w:cols>
          <w:pgMar w:left="320" w:top="256"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183755" cy="36195"/>
                    </a:xfrm>
                    <a:prstGeom prst="rect">
                      <a:avLst/>
                    </a:prstGeom>
                    <a:noFill/>
                  </pic:spPr>
                </pic:pic>
              </a:graphicData>
            </a:graphic>
          </wp:anchor>
        </w:drawing>
        <w:t>EXHIBIT T-1.4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LIMITED LIABILITY TRUST COMPANY AGREEMENT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EQUINITI TRUST COMPANY, LLC</w:t>
      </w:r>
    </w:p>
    <w:p>
      <w:pPr>
        <w:spacing w:after="0" w:line="187" w:lineRule="exact"/>
        <w:rPr>
          <w:sz w:val="20"/>
          <w:szCs w:val="20"/>
          <w:color w:val="auto"/>
        </w:rPr>
      </w:pPr>
    </w:p>
    <w:p>
      <w:pPr>
        <w:ind w:right="60" w:firstLine="1012"/>
        <w:spacing w:after="0" w:line="257" w:lineRule="auto"/>
        <w:rPr>
          <w:sz w:val="20"/>
          <w:szCs w:val="20"/>
          <w:color w:val="auto"/>
        </w:rPr>
      </w:pPr>
      <w:r>
        <w:rPr>
          <w:rFonts w:ascii="Times New Roman" w:cs="Times New Roman" w:eastAsia="Times New Roman" w:hAnsi="Times New Roman"/>
          <w:sz w:val="17"/>
          <w:szCs w:val="17"/>
          <w:color w:val="auto"/>
        </w:rPr>
        <w:t>THIS LIMITED LIABILITY TRUST COMPANY AGREEMENT (as amended, amended and restated, supplemented or modified from time to time,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of Equiniti Trust Company, LLC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dated as of this 30th day of June, 2023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is entered into by Armor Holding II LLC, as the sole member of the Company (the “</w:t>
      </w:r>
      <w:r>
        <w:rPr>
          <w:rFonts w:ascii="Times New Roman" w:cs="Times New Roman" w:eastAsia="Times New Roman" w:hAnsi="Times New Roman"/>
          <w:sz w:val="17"/>
          <w:szCs w:val="17"/>
          <w:u w:val="single" w:color="auto"/>
          <w:color w:val="auto"/>
        </w:rPr>
        <w:t>Member</w:t>
      </w:r>
      <w:r>
        <w:rPr>
          <w:rFonts w:ascii="Times New Roman" w:cs="Times New Roman" w:eastAsia="Times New Roman" w:hAnsi="Times New Roman"/>
          <w:sz w:val="17"/>
          <w:szCs w:val="17"/>
          <w:color w:val="auto"/>
        </w:rPr>
        <w: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The Limited Liability Trust Company</w:t>
      </w:r>
    </w:p>
    <w:p>
      <w:pPr>
        <w:spacing w:after="0" w:line="185" w:lineRule="exact"/>
        <w:rPr>
          <w:sz w:val="20"/>
          <w:szCs w:val="20"/>
          <w:color w:val="auto"/>
        </w:rPr>
      </w:pPr>
    </w:p>
    <w:p>
      <w:pPr>
        <w:ind w:right="20" w:firstLine="1012"/>
        <w:spacing w:after="0" w:line="271"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i w:val="1"/>
          <w:iCs w:val="1"/>
          <w:u w:val="single" w:color="auto"/>
          <w:color w:val="auto"/>
        </w:rPr>
        <w:t>Formation</w:t>
      </w:r>
      <w:r>
        <w:rPr>
          <w:rFonts w:ascii="Times New Roman" w:cs="Times New Roman" w:eastAsia="Times New Roman" w:hAnsi="Times New Roman"/>
          <w:sz w:val="16"/>
          <w:szCs w:val="16"/>
          <w:color w:val="auto"/>
        </w:rPr>
        <w:t>. The Member previously converted the Company into a limited liability trust company pursuant to the Limited Liability Company Law of the State of New York and any successor statute, as amended from time to time (the “</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 and the Banking Law of the State of New York and any successor statute, as amended from time to time (the “</w:t>
      </w:r>
      <w:r>
        <w:rPr>
          <w:rFonts w:ascii="Times New Roman" w:cs="Times New Roman" w:eastAsia="Times New Roman" w:hAnsi="Times New Roman"/>
          <w:sz w:val="16"/>
          <w:szCs w:val="16"/>
          <w:u w:val="single" w:color="auto"/>
          <w:color w:val="auto"/>
        </w:rPr>
        <w:t>Banking Law</w:t>
      </w:r>
      <w:r>
        <w:rPr>
          <w:rFonts w:ascii="Times New Roman" w:cs="Times New Roman" w:eastAsia="Times New Roman" w:hAnsi="Times New Roman"/>
          <w:sz w:val="16"/>
          <w:szCs w:val="16"/>
          <w:color w:val="auto"/>
        </w:rPr>
        <w:t>”); such conversion of the Company from a New York trust company into a New York limited liability trust company was approved by the New York Banking Board on April 17, 2008 in conformity with Section 102-a(3) of the Banking Law. The conversion to a limited liability trust company became effective on May 30, 2008, when the New York State Banking Department issued an Authorization Certificate for the converted entity.</w:t>
      </w:r>
    </w:p>
    <w:p>
      <w:pPr>
        <w:spacing w:after="0" w:line="158" w:lineRule="exact"/>
        <w:rPr>
          <w:sz w:val="20"/>
          <w:szCs w:val="20"/>
          <w:color w:val="auto"/>
        </w:rPr>
      </w:pPr>
    </w:p>
    <w:p>
      <w:pPr>
        <w:ind w:right="60" w:firstLine="1012"/>
        <w:spacing w:after="0" w:line="258"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u w:val="single" w:color="auto"/>
          <w:color w:val="auto"/>
        </w:rPr>
        <w:t>Name</w:t>
      </w:r>
      <w:r>
        <w:rPr>
          <w:rFonts w:ascii="Times New Roman" w:cs="Times New Roman" w:eastAsia="Times New Roman" w:hAnsi="Times New Roman"/>
          <w:sz w:val="17"/>
          <w:szCs w:val="17"/>
          <w:color w:val="auto"/>
        </w:rPr>
        <w:t>. As of the Effective Date, the name of the Company, which was formerly known as American Stock Transfer &amp; Trust Company, LLC, shall be “Equiniti Trust Company, LLC” and its business shall be carried on in such name with such variations and changes as the Board (as hereinafter defined) shall determine or deem necessary to comply with requirements of the jurisdictions in which the Company’s operations are conducted.</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u w:val="single" w:color="auto"/>
          <w:color w:val="auto"/>
        </w:rPr>
        <w:t>Business Purpose</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Powers</w:t>
      </w:r>
      <w:r>
        <w:rPr>
          <w:rFonts w:ascii="Times New Roman" w:cs="Times New Roman" w:eastAsia="Times New Roman" w:hAnsi="Times New Roman"/>
          <w:sz w:val="17"/>
          <w:szCs w:val="17"/>
          <w:color w:val="auto"/>
        </w:rPr>
        <w:t>. The purposes for which the Company is formed are:</w:t>
      </w:r>
    </w:p>
    <w:p>
      <w:pPr>
        <w:spacing w:after="0" w:line="206" w:lineRule="exact"/>
        <w:rPr>
          <w:sz w:val="20"/>
          <w:szCs w:val="20"/>
          <w:color w:val="auto"/>
        </w:rPr>
      </w:pPr>
    </w:p>
    <w:p>
      <w:pPr>
        <w:ind w:right="20" w:firstLine="1012"/>
        <w:spacing w:after="0" w:line="257" w:lineRule="auto"/>
        <w:tabs>
          <w:tab w:leader="none" w:pos="121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exercise the powers conferred by Section 100 of the Banking Law, including corporate trust powers; personal trust powers; pension trust powers for tax-qualified pension trusts and retirement plans; and common or collective trust powers; provided, however, that the Company shall neither accept deposits nor make loans except for deposits and loans arising directly from the exercise of its fiduciary powers as specified in this Section 1(c); and</w:t>
      </w:r>
    </w:p>
    <w:p>
      <w:pPr>
        <w:spacing w:after="0" w:line="170" w:lineRule="exact"/>
        <w:rPr>
          <w:rFonts w:ascii="Times New Roman" w:cs="Times New Roman" w:eastAsia="Times New Roman" w:hAnsi="Times New Roman"/>
          <w:sz w:val="17"/>
          <w:szCs w:val="17"/>
          <w:color w:val="auto"/>
        </w:rPr>
      </w:pPr>
    </w:p>
    <w:p>
      <w:pPr>
        <w:ind w:left="1260" w:hanging="248"/>
        <w:spacing w:after="0"/>
        <w:tabs>
          <w:tab w:leader="none" w:pos="12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furtherance of the foregoing, to engage in any lawful act or activity for which limited liability trust companies may be formed under the Banking</w:t>
      </w:r>
    </w:p>
    <w:p>
      <w:pPr>
        <w:spacing w:after="0" w:line="3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Law.</w:t>
      </w:r>
    </w:p>
    <w:p>
      <w:pPr>
        <w:spacing w:after="0" w:line="185" w:lineRule="exact"/>
        <w:rPr>
          <w:sz w:val="20"/>
          <w:szCs w:val="20"/>
          <w:color w:val="auto"/>
        </w:rPr>
      </w:pPr>
    </w:p>
    <w:p>
      <w:pPr>
        <w:ind w:right="140" w:firstLine="1012"/>
        <w:spacing w:after="0" w:line="258"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i w:val="1"/>
          <w:iCs w:val="1"/>
          <w:u w:val="single" w:color="auto"/>
          <w:color w:val="auto"/>
        </w:rPr>
        <w:t>Registered Office and Agent</w:t>
      </w:r>
      <w:r>
        <w:rPr>
          <w:rFonts w:ascii="Times New Roman" w:cs="Times New Roman" w:eastAsia="Times New Roman" w:hAnsi="Times New Roman"/>
          <w:sz w:val="17"/>
          <w:szCs w:val="17"/>
          <w:color w:val="auto"/>
        </w:rPr>
        <w:t>. The Secretary of State is designated as agent of the limited liability company upon whom process against it may be served. The post office address within or without this state to which the Secretary of State shall mail a copy of any process against the limited liability company served upon him or her is 6201 15th Avenue, Brooklyn, New York 11219.</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i w:val="1"/>
          <w:iCs w:val="1"/>
          <w:u w:val="single" w:color="auto"/>
          <w:color w:val="auto"/>
        </w:rPr>
        <w:t>Term</w:t>
      </w:r>
      <w:r>
        <w:rPr>
          <w:rFonts w:ascii="Times New Roman" w:cs="Times New Roman" w:eastAsia="Times New Roman" w:hAnsi="Times New Roman"/>
          <w:sz w:val="17"/>
          <w:szCs w:val="17"/>
          <w:color w:val="auto"/>
        </w:rPr>
        <w:t>. Subject to the provisions of Article 6 below, the Company shall continue until December 31, 2040, unless the Members agree to extend such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256" w:right="339" w:bottom="1440" w:gutter="0" w:footer="0" w:header="0"/>
        </w:sectPr>
      </w:pPr>
    </w:p>
    <w:bookmarkStart w:id="99" w:name="page100"/>
    <w:bookmarkEnd w:id="99"/>
    <w:p>
      <w:pPr>
        <w:ind w:left="51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ARTICLE 2</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u w:val="single" w:color="auto"/>
          <w:color w:val="auto"/>
        </w:rPr>
        <w:t>The Member</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u w:val="single" w:color="auto"/>
          <w:color w:val="auto"/>
        </w:rPr>
        <w:t>The Member</w:t>
      </w:r>
      <w:r>
        <w:rPr>
          <w:rFonts w:ascii="Times New Roman" w:cs="Times New Roman" w:eastAsia="Times New Roman" w:hAnsi="Times New Roman"/>
          <w:sz w:val="17"/>
          <w:szCs w:val="17"/>
          <w:color w:val="auto"/>
        </w:rPr>
        <w:t>. The name and address of the Member is as follows:</w:t>
      </w:r>
    </w:p>
    <w:p>
      <w:pPr>
        <w:spacing w:after="0" w:line="227" w:lineRule="exact"/>
        <w:rPr>
          <w:sz w:val="20"/>
          <w:szCs w:val="20"/>
          <w:color w:val="auto"/>
        </w:rPr>
      </w:pPr>
    </w:p>
    <w:tbl>
      <w:tblPr>
        <w:tblLayout w:type="fixed"/>
        <w:tblInd w:w="1480" w:type="dxa"/>
        <w:tblCellMar>
          <w:top w:w="0" w:type="dxa"/>
          <w:left w:w="0" w:type="dxa"/>
          <w:bottom w:w="0" w:type="dxa"/>
          <w:right w:w="0" w:type="dxa"/>
        </w:tblCellMar>
      </w:tblPr>
      <w:tr>
        <w:trPr>
          <w:trHeight w:val="157"/>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6"/>
              </w:rPr>
              <w:t>Name</w:t>
            </w:r>
          </w:p>
        </w:tc>
        <w:tc>
          <w:tcPr>
            <w:tcW w:w="2520" w:type="dxa"/>
            <w:vAlign w:val="bottom"/>
          </w:tcPr>
          <w:p>
            <w:pPr>
              <w:spacing w:after="0"/>
              <w:rPr>
                <w:sz w:val="13"/>
                <w:szCs w:val="13"/>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8"/>
              </w:rPr>
              <w:t>Address</w:t>
            </w:r>
          </w:p>
        </w:tc>
        <w:tc>
          <w:tcPr>
            <w:tcW w:w="1280" w:type="dxa"/>
            <w:vAlign w:val="bottom"/>
          </w:tcPr>
          <w:p>
            <w:pPr>
              <w:spacing w:after="0"/>
              <w:rPr>
                <w:sz w:val="13"/>
                <w:szCs w:val="13"/>
                <w:color w:val="auto"/>
              </w:rPr>
            </w:pPr>
          </w:p>
        </w:tc>
      </w:tr>
      <w:tr>
        <w:trPr>
          <w:trHeight w:val="176"/>
        </w:trPr>
        <w:tc>
          <w:tcPr>
            <w:tcW w:w="284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Armor Holding II LLC</w:t>
            </w:r>
          </w:p>
        </w:tc>
        <w:tc>
          <w:tcPr>
            <w:tcW w:w="172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color w:val="auto"/>
              </w:rPr>
              <w:t>48 Wall Street, 22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Floor</w:t>
            </w: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 York, NY 10005</w:t>
            </w:r>
          </w:p>
        </w:tc>
      </w:tr>
    </w:tbl>
    <w:p>
      <w:pPr>
        <w:spacing w:after="0" w:line="181" w:lineRule="exact"/>
        <w:rPr>
          <w:sz w:val="20"/>
          <w:szCs w:val="20"/>
          <w:color w:val="auto"/>
        </w:rPr>
      </w:pPr>
    </w:p>
    <w:p>
      <w:pPr>
        <w:ind w:firstLine="1012"/>
        <w:spacing w:after="0" w:line="258"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u w:val="single" w:color="auto"/>
          <w:color w:val="auto"/>
        </w:rPr>
        <w:t>Actions by the Member; Meetings</w:t>
      </w:r>
      <w:r>
        <w:rPr>
          <w:rFonts w:ascii="Times New Roman" w:cs="Times New Roman" w:eastAsia="Times New Roman" w:hAnsi="Times New Roman"/>
          <w:sz w:val="17"/>
          <w:szCs w:val="17"/>
          <w:color w:val="auto"/>
        </w:rPr>
        <w:t>. All actions taken by the Member must be duly authorized by the board of managers of the Member (the “</w:t>
      </w:r>
      <w:r>
        <w:rPr>
          <w:rFonts w:ascii="Times New Roman" w:cs="Times New Roman" w:eastAsia="Times New Roman" w:hAnsi="Times New Roman"/>
          <w:sz w:val="17"/>
          <w:szCs w:val="17"/>
          <w:u w:val="single" w:color="auto"/>
          <w:color w:val="auto"/>
        </w:rPr>
        <w:t>Member’s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Subject to the foregoing sentence, the Member may approve a matter or take any action at a meeting or without a meeting by the written consent of the Member. Meetings of the Member may be called at any time by the Member.</w:t>
      </w:r>
    </w:p>
    <w:p>
      <w:pPr>
        <w:spacing w:after="0" w:line="168" w:lineRule="exact"/>
        <w:rPr>
          <w:sz w:val="20"/>
          <w:szCs w:val="20"/>
          <w:color w:val="auto"/>
        </w:rPr>
      </w:pPr>
    </w:p>
    <w:p>
      <w:pPr>
        <w:jc w:val="both"/>
        <w:ind w:right="100" w:firstLine="1012"/>
        <w:spacing w:after="0" w:line="258"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u w:val="single" w:color="auto"/>
          <w:color w:val="auto"/>
        </w:rPr>
        <w:t>Liability of the Member</w:t>
      </w:r>
      <w:r>
        <w:rPr>
          <w:rFonts w:ascii="Times New Roman" w:cs="Times New Roman" w:eastAsia="Times New Roman" w:hAnsi="Times New Roman"/>
          <w:sz w:val="17"/>
          <w:szCs w:val="17"/>
          <w:color w:val="auto"/>
        </w:rPr>
        <w:t>. All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a member, except as otherwise provided for by law.</w:t>
      </w:r>
    </w:p>
    <w:p>
      <w:pPr>
        <w:spacing w:after="0" w:line="168" w:lineRule="exact"/>
        <w:rPr>
          <w:sz w:val="20"/>
          <w:szCs w:val="20"/>
          <w:color w:val="auto"/>
        </w:rPr>
      </w:pPr>
    </w:p>
    <w:p>
      <w:pPr>
        <w:jc w:val="both"/>
        <w:ind w:right="40" w:firstLine="1012"/>
        <w:spacing w:after="0" w:line="272"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i w:val="1"/>
          <w:iCs w:val="1"/>
          <w:u w:val="single" w:color="auto"/>
          <w:color w:val="auto"/>
        </w:rPr>
        <w:t>Power to Bind the Company</w:t>
      </w:r>
      <w:r>
        <w:rPr>
          <w:rFonts w:ascii="Times New Roman" w:cs="Times New Roman" w:eastAsia="Times New Roman" w:hAnsi="Times New Roman"/>
          <w:sz w:val="17"/>
          <w:szCs w:val="17"/>
          <w:color w:val="auto"/>
        </w:rPr>
        <w:t>. Except as required by the Act or the Banking Law, the Member (acting in its capacity as such) shall have no authority to bind the Company to any third party with respect to any matter.</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i w:val="1"/>
          <w:iCs w:val="1"/>
          <w:u w:val="single" w:color="auto"/>
          <w:color w:val="auto"/>
        </w:rPr>
        <w:t>Admission of Members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New members shall be admitted only upon the prior written approval of the Member.</w:t>
      </w:r>
    </w:p>
    <w:p>
      <w:pPr>
        <w:spacing w:after="0" w:line="204" w:lineRule="exact"/>
        <w:rPr>
          <w:sz w:val="20"/>
          <w:szCs w:val="20"/>
          <w:color w:val="auto"/>
        </w:rPr>
      </w:pPr>
    </w:p>
    <w:p>
      <w:pPr>
        <w:jc w:val="both"/>
        <w:ind w:right="20" w:firstLine="1012"/>
        <w:spacing w:after="0" w:line="254"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i w:val="1"/>
          <w:iCs w:val="1"/>
          <w:u w:val="single" w:color="auto"/>
          <w:color w:val="auto"/>
        </w:rPr>
        <w:t>Engagement of Third Parties</w:t>
      </w:r>
      <w:r>
        <w:rPr>
          <w:rFonts w:ascii="Times New Roman" w:cs="Times New Roman" w:eastAsia="Times New Roman" w:hAnsi="Times New Roman"/>
          <w:sz w:val="17"/>
          <w:szCs w:val="17"/>
          <w:color w:val="auto"/>
        </w:rPr>
        <w:t>. The Company, may, from time to time, employ any Person or engage third parties to render services to the Company on such terms and for such compensation as the Member may reasonably determine, including, attorneys, investment consultants, brokers or finders, independent auditors and printers. Such employees and third parties may be affiliates of any Member. Persons retained, engaged or employed by the Company may also be engaged, retained or employed by and act on behalf of one or more Member or any of their respective affiliates.</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u w:val="single" w:color="auto"/>
          <w:color w:val="auto"/>
        </w:rPr>
        <w:t>The Board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u w:val="single" w:color="auto"/>
          <w:color w:val="auto"/>
        </w:rPr>
        <w:t>Management By Board of Managers</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right="40" w:firstLine="1012"/>
        <w:spacing w:after="0" w:line="251" w:lineRule="auto"/>
        <w:tabs>
          <w:tab w:leader="none" w:pos="121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such matters which are expressly reserved hereunder, under the Act, or under the Banking Law to the Member for decision, the business and affairs of the Company shall be managed by a board of managers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which shall be responsible for policy setting, approving the overall direction of the Company and making all decisions affecting the business and affairs of the Company. In accordance with Section 7002 of the Banking Law, the Board shall consist of seven (7) to fifteen (15) individuals (the “</w:t>
      </w:r>
      <w:r>
        <w:rPr>
          <w:rFonts w:ascii="Times New Roman" w:cs="Times New Roman" w:eastAsia="Times New Roman" w:hAnsi="Times New Roman"/>
          <w:sz w:val="17"/>
          <w:szCs w:val="17"/>
          <w:u w:val="single" w:color="auto"/>
          <w:color w:val="auto"/>
        </w:rPr>
        <w:t>Managers</w:t>
      </w:r>
      <w:r>
        <w:rPr>
          <w:rFonts w:ascii="Times New Roman" w:cs="Times New Roman" w:eastAsia="Times New Roman" w:hAnsi="Times New Roman"/>
          <w:sz w:val="17"/>
          <w:szCs w:val="17"/>
          <w:color w:val="auto"/>
        </w:rPr>
        <w:t>”); provided, that there shall be no fewer than three (3) independent Managers at all times. Such Managers shall be determined from time to time by resolution of the Member.</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180"/>
          </w:cols>
          <w:pgMar w:left="320" w:top="256" w:right="399" w:bottom="1440" w:gutter="0" w:footer="0" w:header="0"/>
        </w:sectPr>
      </w:pPr>
    </w:p>
    <w:bookmarkStart w:id="100" w:name="page101"/>
    <w:bookmarkEnd w:id="100"/>
    <w:p>
      <w:pPr>
        <w:ind w:right="80" w:firstLine="1012"/>
        <w:spacing w:after="0" w:line="257" w:lineRule="auto"/>
        <w:tabs>
          <w:tab w:leader="none" w:pos="125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7183755" cy="36195"/>
                    </a:xfrm>
                    <a:prstGeom prst="rect">
                      <a:avLst/>
                    </a:prstGeom>
                    <a:noFill/>
                  </pic:spPr>
                </pic:pic>
              </a:graphicData>
            </a:graphic>
          </wp:anchor>
        </w:drawing>
        <w:t>Each Manager shall be elected by the Member and shall serve until his or her successor has been duly elected and qualified, or until his or her earlier removal, resignation, death or disability. The Member may remove any Manager from the Board or from any other capacity with the Company at any time, with or without cause. A Manager may resign at any time upon written notice to the Member.</w:t>
      </w:r>
    </w:p>
    <w:p>
      <w:pPr>
        <w:spacing w:after="0" w:line="170" w:lineRule="exact"/>
        <w:rPr>
          <w:rFonts w:ascii="Times New Roman" w:cs="Times New Roman" w:eastAsia="Times New Roman" w:hAnsi="Times New Roman"/>
          <w:sz w:val="17"/>
          <w:szCs w:val="17"/>
          <w:color w:val="auto"/>
        </w:rPr>
      </w:pPr>
    </w:p>
    <w:p>
      <w:pPr>
        <w:ind w:right="180" w:firstLine="1012"/>
        <w:spacing w:after="0" w:line="257" w:lineRule="auto"/>
        <w:tabs>
          <w:tab w:leader="none" w:pos="130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vacancy occurring on the Board as a result of the resignation, removal, death or disability of a Manager or an increase in the size of the Board shall be filled by the Member. A Manager chosen to fill a vacancy resulting from the resignation, removal, death or disability of a Manager shall serve the unexpired term of his or her predecessor in office.</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u w:val="single" w:color="auto"/>
          <w:color w:val="auto"/>
        </w:rPr>
        <w:t>Action By the Board</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right="80" w:firstLine="1012"/>
        <w:spacing w:after="0" w:line="253" w:lineRule="auto"/>
        <w:tabs>
          <w:tab w:leader="none" w:pos="121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Section 7010 of the Banking Law, a regular meeting of the Board shall be held at least ten (10) times a year; provided, however, that during any three (3) consecutive months, the Board shall meet at least twice. Each Manager may call a meeting of the Board upon two (2) days prior written notice to each Manager. The presence of a majority of the Managers then in office shall constitute a quorum at any meeting of the Board. All actions of the Board shall require the affirmative vote of a majority of the Managers then in office.</w:t>
      </w:r>
    </w:p>
    <w:p>
      <w:pPr>
        <w:spacing w:after="0" w:line="173" w:lineRule="exact"/>
        <w:rPr>
          <w:rFonts w:ascii="Times New Roman" w:cs="Times New Roman" w:eastAsia="Times New Roman" w:hAnsi="Times New Roman"/>
          <w:sz w:val="17"/>
          <w:szCs w:val="17"/>
          <w:color w:val="auto"/>
        </w:rPr>
      </w:pPr>
    </w:p>
    <w:p>
      <w:pPr>
        <w:ind w:right="60" w:firstLine="1012"/>
        <w:spacing w:after="0" w:line="257" w:lineRule="auto"/>
        <w:tabs>
          <w:tab w:leader="none" w:pos="125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Meetings of the Board may be conducted in person or by conference telephone facilities. Any action required or permitted to be taken at any meeting of the Board may be taken without a meeting if such number of Managers sufficient to approve such action pursuant to the terms of this Agreement consent thereto in writing. Notice of any meeting may be waived by any Manager.</w:t>
      </w:r>
    </w:p>
    <w:p>
      <w:pPr>
        <w:spacing w:after="0" w:line="168" w:lineRule="exact"/>
        <w:rPr>
          <w:sz w:val="20"/>
          <w:szCs w:val="20"/>
          <w:color w:val="auto"/>
        </w:rPr>
      </w:pPr>
    </w:p>
    <w:p>
      <w:pPr>
        <w:ind w:right="360" w:firstLine="1012"/>
        <w:spacing w:after="0" w:line="272"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u w:val="single" w:color="auto"/>
          <w:color w:val="auto"/>
        </w:rPr>
        <w:t>Power to Bind Company</w:t>
      </w:r>
      <w:r>
        <w:rPr>
          <w:rFonts w:ascii="Times New Roman" w:cs="Times New Roman" w:eastAsia="Times New Roman" w:hAnsi="Times New Roman"/>
          <w:sz w:val="17"/>
          <w:szCs w:val="17"/>
          <w:color w:val="auto"/>
        </w:rPr>
        <w:t>. None of the Managers (acting in their capacity as such) shall have authority to bind the Company to any third party with respect to any matter unless the Board shall have approved such matter and authorized such Manager(s) to bind the Company with respect thereto.</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i w:val="1"/>
          <w:iCs w:val="1"/>
          <w:u w:val="single" w:color="auto"/>
          <w:color w:val="auto"/>
        </w:rPr>
        <w:t>Officers and Related Persons</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firstLine="1012"/>
        <w:spacing w:after="0" w:line="251" w:lineRule="auto"/>
        <w:tabs>
          <w:tab w:leader="none" w:pos="121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have the authority to appoint and terminate officers of the Company and retain and terminate employees, agents and consultants of the Company. The Board, to the extent permitted by applicable law and as provided in any resolution of the Board, may, from time to time in its sole and absolute discretion and without limitation, delegate such duties or any or all of its authority, rights and/or obligations, to any one or more officers, employees, agents, consultants or other duly authorized representatives of the Company as the Board deems appropriate, including the power, acting individually or jointly, to represent and bind the Company in all matters in accordance with the scope of their respective duties.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Capital Structure and Contributions</w:t>
      </w:r>
    </w:p>
    <w:p>
      <w:pPr>
        <w:spacing w:after="0" w:line="185" w:lineRule="exact"/>
        <w:rPr>
          <w:sz w:val="20"/>
          <w:szCs w:val="20"/>
          <w:color w:val="auto"/>
        </w:rPr>
      </w:pPr>
    </w:p>
    <w:p>
      <w:pPr>
        <w:ind w:right="180" w:firstLine="1012"/>
        <w:spacing w:after="0" w:line="254"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u w:val="single" w:color="auto"/>
          <w:color w:val="auto"/>
        </w:rPr>
        <w:t>Capital Structure</w:t>
      </w:r>
      <w:r>
        <w:rPr>
          <w:rFonts w:ascii="Times New Roman" w:cs="Times New Roman" w:eastAsia="Times New Roman" w:hAnsi="Times New Roman"/>
          <w:sz w:val="17"/>
          <w:szCs w:val="17"/>
          <w:color w:val="auto"/>
        </w:rPr>
        <w:t>. The capital structure of the Company shall consist of one class of common interests, par value $1.00 (the “</w:t>
      </w:r>
      <w:r>
        <w:rPr>
          <w:rFonts w:ascii="Times New Roman" w:cs="Times New Roman" w:eastAsia="Times New Roman" w:hAnsi="Times New Roman"/>
          <w:sz w:val="17"/>
          <w:szCs w:val="17"/>
          <w:u w:val="single" w:color="auto"/>
          <w:color w:val="auto"/>
        </w:rPr>
        <w:t>Common Interests</w:t>
      </w:r>
      <w:r>
        <w:rPr>
          <w:rFonts w:ascii="Times New Roman" w:cs="Times New Roman" w:eastAsia="Times New Roman" w:hAnsi="Times New Roman"/>
          <w:sz w:val="17"/>
          <w:szCs w:val="17"/>
          <w:color w:val="auto"/>
        </w:rPr>
        <w:t>”). Each Common Interest shall entitle its holder to one vote per Common Interest on each matter on which the Member shall be entitled to vote. All Common Interests shall be identical with each other in every respect. The Company shall be authorized to issue 5,000,000 Common Interests. The Member shall own all of the Common Interests issued and outstanding.</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260" w:right="339" w:bottom="1440" w:gutter="0" w:footer="0" w:header="0"/>
        </w:sectPr>
      </w:pPr>
    </w:p>
    <w:bookmarkStart w:id="101" w:name="page102"/>
    <w:bookmarkEnd w:id="101"/>
    <w:p>
      <w:pPr>
        <w:jc w:val="both"/>
        <w:ind w:right="220" w:firstLine="1012"/>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183755" cy="36195"/>
                    </a:xfrm>
                    <a:prstGeom prst="rect">
                      <a:avLst/>
                    </a:prstGeom>
                    <a:noFill/>
                  </pic:spPr>
                </pic:pic>
              </a:graphicData>
            </a:graphic>
          </wp:anchor>
        </w:drawing>
        <w:t xml:space="preserve">b. </w:t>
      </w:r>
      <w:r>
        <w:rPr>
          <w:rFonts w:ascii="Times New Roman" w:cs="Times New Roman" w:eastAsia="Times New Roman" w:hAnsi="Times New Roman"/>
          <w:sz w:val="17"/>
          <w:szCs w:val="17"/>
          <w:i w:val="1"/>
          <w:iCs w:val="1"/>
          <w:u w:val="single" w:color="auto"/>
          <w:color w:val="auto"/>
        </w:rPr>
        <w:t>Capital Contributions</w:t>
      </w:r>
      <w:r>
        <w:rPr>
          <w:rFonts w:ascii="Times New Roman" w:cs="Times New Roman" w:eastAsia="Times New Roman" w:hAnsi="Times New Roman"/>
          <w:sz w:val="17"/>
          <w:szCs w:val="17"/>
          <w:color w:val="auto"/>
        </w:rPr>
        <w:t>. From time to time, the Board may determine that the Company requires capital and may request the Member to make capital contribution(s) in an amount determined by the Board. A capital account shall be maintained for the Member, to which contributions and profits shall be credited and against which distributions and losses shall be charged.</w:t>
      </w:r>
    </w:p>
    <w:p>
      <w:pPr>
        <w:spacing w:after="0" w:line="168" w:lineRule="exact"/>
        <w:rPr>
          <w:sz w:val="20"/>
          <w:szCs w:val="20"/>
          <w:color w:val="auto"/>
        </w:rPr>
      </w:pPr>
    </w:p>
    <w:p>
      <w:pPr>
        <w:jc w:val="both"/>
        <w:ind w:right="500" w:firstLine="1012"/>
        <w:spacing w:after="0" w:line="258"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u w:val="single" w:color="auto"/>
          <w:color w:val="auto"/>
        </w:rPr>
        <w:t>Right to Issue Certificates</w:t>
      </w:r>
      <w:r>
        <w:rPr>
          <w:rFonts w:ascii="Times New Roman" w:cs="Times New Roman" w:eastAsia="Times New Roman" w:hAnsi="Times New Roman"/>
          <w:sz w:val="17"/>
          <w:szCs w:val="17"/>
          <w:color w:val="auto"/>
        </w:rPr>
        <w:t>. The ownership of a Common Interest by a Member shall be evidenced by a certificate (a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issued by the Company. All Common Interests in the Company shall be securities governed by Article 8 of the Uniform Commercial Code as in effect from time to time in any jurisdiction, including without limitation the State of New York.</w:t>
      </w:r>
    </w:p>
    <w:p>
      <w:pPr>
        <w:spacing w:after="0" w:line="168" w:lineRule="exact"/>
        <w:rPr>
          <w:sz w:val="20"/>
          <w:szCs w:val="20"/>
          <w:color w:val="auto"/>
        </w:rPr>
      </w:pPr>
    </w:p>
    <w:p>
      <w:pPr>
        <w:ind w:firstLine="1012"/>
        <w:spacing w:after="0" w:line="254"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i w:val="1"/>
          <w:iCs w:val="1"/>
          <w:u w:val="single" w:color="auto"/>
          <w:color w:val="auto"/>
        </w:rPr>
        <w:t>Form of Certificates</w:t>
      </w:r>
      <w:r>
        <w:rPr>
          <w:rFonts w:ascii="Times New Roman" w:cs="Times New Roman" w:eastAsia="Times New Roman" w:hAnsi="Times New Roman"/>
          <w:sz w:val="17"/>
          <w:szCs w:val="17"/>
          <w:color w:val="auto"/>
        </w:rPr>
        <w:t>. Certificates attesting to the ownership of Common Interests in the Company shall be in substantially the form set forth in Exhibit A hereto and shall state that the Company is a limited liability trust company formed under the laws of the State of New York, the name of the Member to whom such Certificate is issued and that the Certificate represents limited liability trust company interests within the meaning of the Act and the Banking Law. Each Certificate shall bear the following legend:</w:t>
      </w:r>
    </w:p>
    <w:p>
      <w:pPr>
        <w:spacing w:after="0" w:line="172" w:lineRule="exact"/>
        <w:rPr>
          <w:sz w:val="20"/>
          <w:szCs w:val="20"/>
          <w:color w:val="auto"/>
        </w:rPr>
      </w:pPr>
    </w:p>
    <w:p>
      <w:pPr>
        <w:ind w:left="1020" w:right="220"/>
        <w:spacing w:after="0" w:line="249" w:lineRule="auto"/>
        <w:rPr>
          <w:sz w:val="20"/>
          <w:szCs w:val="20"/>
          <w:color w:val="auto"/>
        </w:rPr>
      </w:pPr>
      <w:r>
        <w:rPr>
          <w:rFonts w:ascii="Times New Roman" w:cs="Times New Roman" w:eastAsia="Times New Roman" w:hAnsi="Times New Roman"/>
          <w:sz w:val="17"/>
          <w:szCs w:val="17"/>
          <w:color w:val="auto"/>
        </w:rPr>
        <w:t>“THIS CERTIFICATE EVIDENCES COMMON INTERESTS IN EQUINITI TRUST COMPANY, LLC (THE “COMPANY”) AND SHALL BE A SECURITY FOR PURPOSES OF ARTICLE 8 OF THE UNIFORM COMMERCIAL CODE. THE COMMON INTERESTS REPRESENTED BY THIS CERTIFICATE ARE SUBJECT TO THE PROVISIONS OF THE LIMITED LIABILITY TRUST COMPANY AGREEMENT OF THE COMPANY DATED AS OF JUNE 30, 2023 (AS MAY BE AMENDED, RESTATED, AMENDED AND RESTATED OR OTHERWISE MODIFIED FROM TIME TO TIME, THE “</w:t>
      </w:r>
      <w:r>
        <w:rPr>
          <w:rFonts w:ascii="Times New Roman" w:cs="Times New Roman" w:eastAsia="Times New Roman" w:hAnsi="Times New Roman"/>
          <w:sz w:val="17"/>
          <w:szCs w:val="17"/>
          <w:u w:val="single" w:color="auto"/>
          <w:color w:val="auto"/>
        </w:rPr>
        <w:t>LLTC AGREEMENT</w:t>
      </w:r>
      <w:r>
        <w:rPr>
          <w:rFonts w:ascii="Times New Roman" w:cs="Times New Roman" w:eastAsia="Times New Roman" w:hAnsi="Times New Roman"/>
          <w:sz w:val="17"/>
          <w:szCs w:val="17"/>
          <w:color w:val="auto"/>
        </w:rPr>
        <w:t>”). A COPY OF THE LLTC AGREEMENT WILL BE FURNISHED TO THE RECORD HOLDER OF THIS CERTIFICATE WITHOUT CHARGE UPON WRITTEN REQUEST TO THE COMPANY AT ITS PRINCIPAL PLACE OF BUSINESS.”</w:t>
      </w:r>
    </w:p>
    <w:p>
      <w:pPr>
        <w:spacing w:after="0" w:line="175" w:lineRule="exact"/>
        <w:rPr>
          <w:sz w:val="20"/>
          <w:szCs w:val="20"/>
          <w:color w:val="auto"/>
        </w:rPr>
      </w:pPr>
    </w:p>
    <w:p>
      <w:pPr>
        <w:ind w:right="380" w:firstLine="1012"/>
        <w:spacing w:after="0" w:line="272"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i w:val="1"/>
          <w:iCs w:val="1"/>
          <w:u w:val="single" w:color="auto"/>
          <w:color w:val="auto"/>
        </w:rPr>
        <w:t>Execution</w:t>
      </w:r>
      <w:r>
        <w:rPr>
          <w:rFonts w:ascii="Times New Roman" w:cs="Times New Roman" w:eastAsia="Times New Roman" w:hAnsi="Times New Roman"/>
          <w:sz w:val="17"/>
          <w:szCs w:val="17"/>
          <w:color w:val="auto"/>
        </w:rPr>
        <w:t>. Each Certificate shall be signed by the Chief Executive Officer, the President, the Secretary, an Assistant Secretary or other authorized officer or person of the Company by either manual or facsimile signature.</w:t>
      </w:r>
    </w:p>
    <w:p>
      <w:pPr>
        <w:spacing w:after="0" w:line="155" w:lineRule="exact"/>
        <w:rPr>
          <w:sz w:val="20"/>
          <w:szCs w:val="20"/>
          <w:color w:val="auto"/>
        </w:rPr>
      </w:pPr>
    </w:p>
    <w:p>
      <w:pPr>
        <w:ind w:right="300" w:firstLine="1012"/>
        <w:spacing w:after="0" w:line="272"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i w:val="1"/>
          <w:iCs w:val="1"/>
          <w:u w:val="single" w:color="auto"/>
          <w:color w:val="auto"/>
        </w:rPr>
        <w:t>Registrar</w:t>
      </w:r>
      <w:r>
        <w:rPr>
          <w:rFonts w:ascii="Times New Roman" w:cs="Times New Roman" w:eastAsia="Times New Roman" w:hAnsi="Times New Roman"/>
          <w:sz w:val="17"/>
          <w:szCs w:val="17"/>
          <w:color w:val="auto"/>
        </w:rPr>
        <w:t>. The Company shall maintain an office where Certificates may be presented for registration of transfer or for exchange. Unless otherwise designated, the Secretary of the Company shall act as registrar and shall keep a register of the Certificates and of their transfer and exchange.</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i w:val="1"/>
          <w:iCs w:val="1"/>
          <w:u w:val="single" w:color="auto"/>
          <w:color w:val="auto"/>
        </w:rPr>
        <w:t>Issuance</w:t>
      </w:r>
      <w:r>
        <w:rPr>
          <w:rFonts w:ascii="Times New Roman" w:cs="Times New Roman" w:eastAsia="Times New Roman" w:hAnsi="Times New Roman"/>
          <w:sz w:val="17"/>
          <w:szCs w:val="17"/>
          <w:color w:val="auto"/>
        </w:rPr>
        <w:t>. The Certificates of the Company shall be numbered and registered in the interest register or transfer books of the Company as they 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w:t>
      </w:r>
    </w:p>
    <w:p>
      <w:pPr>
        <w:spacing w:after="0" w:line="185" w:lineRule="exact"/>
        <w:rPr>
          <w:sz w:val="20"/>
          <w:szCs w:val="20"/>
          <w:color w:val="auto"/>
        </w:rPr>
      </w:pPr>
    </w:p>
    <w:p>
      <w:pPr>
        <w:ind w:right="180" w:firstLine="1012"/>
        <w:spacing w:after="0" w:line="272" w:lineRule="auto"/>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i w:val="1"/>
          <w:iCs w:val="1"/>
          <w:u w:val="single" w:color="auto"/>
          <w:color w:val="auto"/>
        </w:rPr>
        <w:t>Common Interest Holder Lists</w:t>
      </w:r>
      <w:r>
        <w:rPr>
          <w:rFonts w:ascii="Times New Roman" w:cs="Times New Roman" w:eastAsia="Times New Roman" w:hAnsi="Times New Roman"/>
          <w:sz w:val="17"/>
          <w:szCs w:val="17"/>
          <w:color w:val="auto"/>
        </w:rPr>
        <w:t>. The Company shall preserve in as current a form as is reasonably practicable the most recent list available to it of the names and addresses of all holders of Common Interests.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258" w:right="339" w:bottom="1440" w:gutter="0" w:footer="0" w:header="0"/>
        </w:sectPr>
      </w:pPr>
    </w:p>
    <w:bookmarkStart w:id="102" w:name="page103"/>
    <w:bookmarkEnd w:id="102"/>
    <w:p>
      <w:pPr>
        <w:ind w:firstLine="1012"/>
        <w:spacing w:after="0" w:line="24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83755" cy="36195"/>
                    </a:xfrm>
                    <a:prstGeom prst="rect">
                      <a:avLst/>
                    </a:prstGeom>
                    <a:noFill/>
                  </pic:spPr>
                </pic:pic>
              </a:graphicData>
            </a:graphic>
          </wp:anchor>
        </w:drawing>
        <w:t xml:space="preserve">i. </w:t>
      </w:r>
      <w:r>
        <w:rPr>
          <w:rFonts w:ascii="Times New Roman" w:cs="Times New Roman" w:eastAsia="Times New Roman" w:hAnsi="Times New Roman"/>
          <w:sz w:val="17"/>
          <w:szCs w:val="17"/>
          <w:i w:val="1"/>
          <w:iCs w:val="1"/>
          <w:u w:val="single" w:color="auto"/>
          <w:color w:val="auto"/>
        </w:rPr>
        <w:t>Transfer and Exchange</w:t>
      </w:r>
      <w:r>
        <w:rPr>
          <w:rFonts w:ascii="Times New Roman" w:cs="Times New Roman" w:eastAsia="Times New Roman" w:hAnsi="Times New Roman"/>
          <w:sz w:val="17"/>
          <w:szCs w:val="17"/>
          <w:color w:val="auto"/>
        </w:rPr>
        <w:t>. When Certificates are presented to the Company with a request to register a transfer, the Company shall register the transfer or make the exchange on the register or transfer books of the Company; provided, that any Certificates presented or surrendered for registration of transfer or exchange shall be duly endorsed or accompanied by a written instrument of transfer in form satisfactory to the Company duly executed by the holder thereof or his attorney duly authorized in writing. Notwithstanding the foregoing, the Company shall not be required to register the transfer, or exchange, any Certificate if as a result the transfer of the Common Interest at issue would cause the Company or the Member to violate the Securities Act, the Exchange Act, the Investment Company Act, or the laws, rules, regulations, orders and other directives of any government or governmental or regulatory body thereof, whether federal, state or local, or otherwise violate the terms of this Agreement.</w:t>
      </w:r>
    </w:p>
    <w:p>
      <w:pPr>
        <w:spacing w:after="0" w:line="177" w:lineRule="exact"/>
        <w:rPr>
          <w:sz w:val="20"/>
          <w:szCs w:val="20"/>
          <w:color w:val="auto"/>
        </w:rPr>
      </w:pPr>
    </w:p>
    <w:p>
      <w:pPr>
        <w:ind w:right="140" w:firstLine="1012"/>
        <w:spacing w:after="0" w:line="254" w:lineRule="auto"/>
        <w:rPr>
          <w:sz w:val="20"/>
          <w:szCs w:val="20"/>
          <w:color w:val="auto"/>
        </w:rPr>
      </w:pPr>
      <w:r>
        <w:rPr>
          <w:rFonts w:ascii="Times New Roman" w:cs="Times New Roman" w:eastAsia="Times New Roman" w:hAnsi="Times New Roman"/>
          <w:sz w:val="17"/>
          <w:szCs w:val="17"/>
          <w:color w:val="auto"/>
        </w:rPr>
        <w:t xml:space="preserve">j. </w:t>
      </w:r>
      <w:r>
        <w:rPr>
          <w:rFonts w:ascii="Times New Roman" w:cs="Times New Roman" w:eastAsia="Times New Roman" w:hAnsi="Times New Roman"/>
          <w:sz w:val="17"/>
          <w:szCs w:val="17"/>
          <w:i w:val="1"/>
          <w:iCs w:val="1"/>
          <w:u w:val="single" w:color="auto"/>
          <w:color w:val="auto"/>
        </w:rPr>
        <w:t>Record Holder</w:t>
      </w:r>
      <w:r>
        <w:rPr>
          <w:rFonts w:ascii="Times New Roman" w:cs="Times New Roman" w:eastAsia="Times New Roman" w:hAnsi="Times New Roman"/>
          <w:sz w:val="17"/>
          <w:szCs w:val="17"/>
          <w:color w:val="auto"/>
        </w:rPr>
        <w:t>. Except to the extent that the Company shall have received written notice of an assignment of Common Interests and such assignment complies with the requirements of Section 7(a) of this Agreement, the Company shall be entitled to treat the individual or entity in whose name any Certificates issued by the Company stand on the books of the Company as the absolute owner thereof, and shall not be bound to recognize any equitable or other claim to, or interest in, such Common Interests on the part of any other individual or entity.</w:t>
      </w:r>
    </w:p>
    <w:p>
      <w:pPr>
        <w:spacing w:after="0" w:line="170" w:lineRule="exact"/>
        <w:rPr>
          <w:sz w:val="20"/>
          <w:szCs w:val="20"/>
          <w:color w:val="auto"/>
        </w:rPr>
      </w:pPr>
    </w:p>
    <w:p>
      <w:pPr>
        <w:ind w:firstLine="1012"/>
        <w:spacing w:after="0" w:line="251" w:lineRule="auto"/>
        <w:rPr>
          <w:sz w:val="20"/>
          <w:szCs w:val="20"/>
          <w:color w:val="auto"/>
        </w:rPr>
      </w:pPr>
      <w:r>
        <w:rPr>
          <w:rFonts w:ascii="Times New Roman" w:cs="Times New Roman" w:eastAsia="Times New Roman" w:hAnsi="Times New Roman"/>
          <w:sz w:val="17"/>
          <w:szCs w:val="17"/>
          <w:color w:val="auto"/>
        </w:rPr>
        <w:t xml:space="preserve">k. </w:t>
      </w:r>
      <w:r>
        <w:rPr>
          <w:rFonts w:ascii="Times New Roman" w:cs="Times New Roman" w:eastAsia="Times New Roman" w:hAnsi="Times New Roman"/>
          <w:sz w:val="17"/>
          <w:szCs w:val="17"/>
          <w:i w:val="1"/>
          <w:iCs w:val="1"/>
          <w:u w:val="single" w:color="auto"/>
          <w:color w:val="auto"/>
        </w:rPr>
        <w:t>Replacement Certificates</w:t>
      </w:r>
      <w:r>
        <w:rPr>
          <w:rFonts w:ascii="Times New Roman" w:cs="Times New Roman" w:eastAsia="Times New Roman" w:hAnsi="Times New Roman"/>
          <w:sz w:val="17"/>
          <w:szCs w:val="17"/>
          <w:color w:val="auto"/>
        </w:rPr>
        <w:t>. If any mutilated Certificate is surrendered to the Company, or the Company receives evidence to its satisfaction of the destruction, loss or theft of any Certificate, the Company shall issue a replacement Certificate if the requirements of Section 8-405 of the Uniform Commercial Code are met. If required by the Company, an indemnity and/or the deposit of a bond in such form and in such sum, and with such surety or sureties as the Company may direct, must be supplied by the holder of such lost, destroyed or stolen Certificate that is sufficient in the judgment of the Company to protect the Company from any loss that it may suffer if a Certificate is replaced. The Company may charge for its expenses incurred in connection with replacing a Certificate.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Profits, Losses and Distributions</w:t>
      </w:r>
    </w:p>
    <w:p>
      <w:pPr>
        <w:spacing w:after="0" w:line="185" w:lineRule="exact"/>
        <w:rPr>
          <w:sz w:val="20"/>
          <w:szCs w:val="20"/>
          <w:color w:val="auto"/>
        </w:rPr>
      </w:pPr>
    </w:p>
    <w:p>
      <w:pPr>
        <w:ind w:right="520" w:firstLine="1012"/>
        <w:spacing w:after="0" w:line="272"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u w:val="single" w:color="auto"/>
          <w:color w:val="auto"/>
        </w:rPr>
        <w:t>Profits and Losses</w:t>
      </w:r>
      <w:r>
        <w:rPr>
          <w:rFonts w:ascii="Times New Roman" w:cs="Times New Roman" w:eastAsia="Times New Roman" w:hAnsi="Times New Roman"/>
          <w:sz w:val="17"/>
          <w:szCs w:val="17"/>
          <w:color w:val="auto"/>
        </w:rPr>
        <w:t>. For financial accounting and tax purposes, the Company’s net profits or net losses shall be determined on an annual basis in accordance with the manner determined by the Board. In each year, profits and losses shall be allocated entirely to the Member.</w:t>
      </w:r>
    </w:p>
    <w:p>
      <w:pPr>
        <w:spacing w:after="0" w:line="155" w:lineRule="exact"/>
        <w:rPr>
          <w:sz w:val="20"/>
          <w:szCs w:val="20"/>
          <w:color w:val="auto"/>
        </w:rPr>
      </w:pPr>
    </w:p>
    <w:p>
      <w:pPr>
        <w:jc w:val="both"/>
        <w:ind w:right="120" w:firstLine="1012"/>
        <w:spacing w:after="0" w:line="258"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u w:val="single" w:color="auto"/>
          <w:color w:val="auto"/>
        </w:rPr>
        <w:t>Distributions</w:t>
      </w:r>
      <w:r>
        <w:rPr>
          <w:rFonts w:ascii="Times New Roman" w:cs="Times New Roman" w:eastAsia="Times New Roman" w:hAnsi="Times New Roman"/>
          <w:sz w:val="17"/>
          <w:szCs w:val="17"/>
          <w:color w:val="auto"/>
        </w:rPr>
        <w:t>. The Board shall determine profits available for distribution and the amount, if any, to be distributed to the Member, and shall authorize and distribute on the Common Interests, the determined amount when, as and if declared by the Board. The distributions of the Company shall be allocated entirely to the Member, provided, however, such distributions are in accordance with the Banking Law.</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Events of Dissolution</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shall be dissolved and its affairs wound up only upon the occurrence of any of the following events (each, an “</w:t>
      </w:r>
      <w:r>
        <w:rPr>
          <w:rFonts w:ascii="Times New Roman" w:cs="Times New Roman" w:eastAsia="Times New Roman" w:hAnsi="Times New Roman"/>
          <w:sz w:val="17"/>
          <w:szCs w:val="17"/>
          <w:u w:val="single" w:color="auto"/>
          <w:color w:val="auto"/>
        </w:rPr>
        <w:t>Event of Dissolution</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 The Board votes for dissolution; or</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20"/>
          </w:cols>
          <w:pgMar w:left="320" w:top="258" w:right="359" w:bottom="1440" w:gutter="0" w:footer="0" w:header="0"/>
        </w:sectPr>
      </w:pPr>
    </w:p>
    <w:bookmarkStart w:id="103" w:name="page104"/>
    <w:bookmarkEnd w:id="103"/>
    <w:p>
      <w:pPr>
        <w:ind w:left="10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183755" cy="36195"/>
                    </a:xfrm>
                    <a:prstGeom prst="rect">
                      <a:avLst/>
                    </a:prstGeom>
                    <a:noFill/>
                  </pic:spPr>
                </pic:pic>
              </a:graphicData>
            </a:graphic>
          </wp:anchor>
        </w:drawing>
        <w:t>b. A dissolution of the Company under Section 102-a(2) of the Banking Law or Section 701 of the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7</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Transfer of Interests in the Company</w:t>
      </w:r>
    </w:p>
    <w:p>
      <w:pPr>
        <w:spacing w:after="0" w:line="187" w:lineRule="exact"/>
        <w:rPr>
          <w:sz w:val="20"/>
          <w:szCs w:val="20"/>
          <w:color w:val="auto"/>
        </w:rPr>
      </w:pPr>
    </w:p>
    <w:p>
      <w:pPr>
        <w:jc w:val="both"/>
        <w:ind w:right="500" w:firstLine="1012"/>
        <w:spacing w:after="0" w:line="257" w:lineRule="auto"/>
        <w:rPr>
          <w:sz w:val="20"/>
          <w:szCs w:val="20"/>
          <w:color w:val="auto"/>
        </w:rPr>
      </w:pPr>
      <w:r>
        <w:rPr>
          <w:rFonts w:ascii="Times New Roman" w:cs="Times New Roman" w:eastAsia="Times New Roman" w:hAnsi="Times New Roman"/>
          <w:sz w:val="17"/>
          <w:szCs w:val="17"/>
          <w:color w:val="auto"/>
        </w:rPr>
        <w:t>The Member may sell, assign, transfer, convey, gift, exchange or otherwise dispose of any or all of its Common Interests and, upon receipt by the Company of a written agreement executed by the person or entity to whom such Common Interests are to be transferred agreeing to be bound by the terms of this Agreement, such person shall be admitted as a member.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Exculpation and Indemnification</w:t>
      </w:r>
    </w:p>
    <w:p>
      <w:pPr>
        <w:spacing w:after="0" w:line="185" w:lineRule="exact"/>
        <w:rPr>
          <w:sz w:val="20"/>
          <w:szCs w:val="20"/>
          <w:color w:val="auto"/>
        </w:rPr>
      </w:pPr>
    </w:p>
    <w:p>
      <w:pPr>
        <w:ind w:firstLine="1012"/>
        <w:spacing w:after="0" w:line="248"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u w:val="single" w:color="auto"/>
          <w:color w:val="auto"/>
        </w:rPr>
        <w:t>Exculpation</w:t>
      </w:r>
      <w:r>
        <w:rPr>
          <w:rFonts w:ascii="Times New Roman" w:cs="Times New Roman" w:eastAsia="Times New Roman" w:hAnsi="Times New Roman"/>
          <w:sz w:val="17"/>
          <w:szCs w:val="17"/>
          <w:color w:val="auto"/>
        </w:rPr>
        <w:t>. The Member shall not have any liability for the obligations or liabilities of the Company except to the extent provided in the Act or Banking Law. Notwithstanding any other provisions of this Agreement, whether express or implied, or any obligation or duty at law or in equity, none of the Member, Managers, or any officers, directors, stockholders, partners, employees, affiliates, representatives or agents of any of the foregoing, nor any officer, employee, representative or agent of the Company (individually, a “</w:t>
      </w:r>
      <w:r>
        <w:rPr>
          <w:rFonts w:ascii="Times New Roman" w:cs="Times New Roman" w:eastAsia="Times New Roman" w:hAnsi="Times New Roman"/>
          <w:sz w:val="17"/>
          <w:szCs w:val="17"/>
          <w:u w:val="single" w:color="auto"/>
          <w:color w:val="auto"/>
        </w:rPr>
        <w:t>Covered Person</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Covered Persons</w:t>
      </w:r>
      <w:r>
        <w:rPr>
          <w:rFonts w:ascii="Times New Roman" w:cs="Times New Roman" w:eastAsia="Times New Roman" w:hAnsi="Times New Roman"/>
          <w:sz w:val="17"/>
          <w:szCs w:val="17"/>
          <w:color w:val="auto"/>
        </w:rPr>
        <w:t>”) shall be liable to the Company or any other person for any act or omission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80" w:lineRule="exact"/>
        <w:rPr>
          <w:sz w:val="20"/>
          <w:szCs w:val="20"/>
          <w:color w:val="auto"/>
        </w:rPr>
      </w:pPr>
    </w:p>
    <w:p>
      <w:pPr>
        <w:ind w:firstLine="1012"/>
        <w:spacing w:after="0" w:line="248"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i w:val="1"/>
          <w:iCs w:val="1"/>
          <w:u w:val="single" w:color="auto"/>
          <w:color w:val="auto"/>
        </w:rPr>
        <w:t>Indemnification</w:t>
      </w:r>
      <w:r>
        <w:rPr>
          <w:rFonts w:ascii="Times New Roman" w:cs="Times New Roman" w:eastAsia="Times New Roman" w:hAnsi="Times New Roman"/>
          <w:sz w:val="17"/>
          <w:szCs w:val="17"/>
          <w:color w:val="auto"/>
        </w:rPr>
        <w:t>.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w:t>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8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Article 8.</w:t>
      </w:r>
    </w:p>
    <w:p>
      <w:pPr>
        <w:spacing w:after="0" w:line="175" w:lineRule="exact"/>
        <w:rPr>
          <w:sz w:val="20"/>
          <w:szCs w:val="20"/>
          <w:color w:val="auto"/>
        </w:rPr>
      </w:pPr>
    </w:p>
    <w:p>
      <w:pPr>
        <w:ind w:right="100" w:firstLine="1012"/>
        <w:spacing w:after="0" w:line="272"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u w:val="single" w:color="auto"/>
          <w:color w:val="auto"/>
        </w:rPr>
        <w:t>Insurance</w:t>
      </w:r>
      <w:r>
        <w:rPr>
          <w:rFonts w:ascii="Times New Roman" w:cs="Times New Roman" w:eastAsia="Times New Roman" w:hAnsi="Times New Roman"/>
          <w:sz w:val="17"/>
          <w:szCs w:val="17"/>
          <w:color w:val="auto"/>
        </w:rPr>
        <w:t>. The Board in its discretion shall have the power to cause the Company to purchase and maintain insurance in accordance with, and subject to, the Act and Banking Law.</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260" w:right="339" w:bottom="1440" w:gutter="0" w:footer="0" w:header="0"/>
        </w:sectPr>
      </w:pPr>
    </w:p>
    <w:bookmarkStart w:id="104" w:name="page105"/>
    <w:bookmarkEnd w:id="104"/>
    <w:p>
      <w:pPr>
        <w:jc w:val="both"/>
        <w:ind w:firstLine="1012"/>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183755" cy="36195"/>
                    </a:xfrm>
                    <a:prstGeom prst="rect">
                      <a:avLst/>
                    </a:prstGeom>
                    <a:noFill/>
                  </pic:spPr>
                </pic:pic>
              </a:graphicData>
            </a:graphic>
          </wp:anchor>
        </w:drawing>
        <w:t xml:space="preserve">d. </w:t>
      </w:r>
      <w:r>
        <w:rPr>
          <w:rFonts w:ascii="Times New Roman" w:cs="Times New Roman" w:eastAsia="Times New Roman" w:hAnsi="Times New Roman"/>
          <w:sz w:val="17"/>
          <w:szCs w:val="17"/>
          <w:i w:val="1"/>
          <w:iCs w:val="1"/>
          <w:u w:val="single" w:color="auto"/>
          <w:color w:val="auto"/>
        </w:rPr>
        <w:t>Amendments</w:t>
      </w:r>
      <w:r>
        <w:rPr>
          <w:rFonts w:ascii="Times New Roman" w:cs="Times New Roman" w:eastAsia="Times New Roman" w:hAnsi="Times New Roman"/>
          <w:sz w:val="17"/>
          <w:szCs w:val="17"/>
          <w:color w:val="auto"/>
        </w:rPr>
        <w:t>. Any repeal or modification of this Article 8 by the Member shall not adversely affect any rights of such Covered Person pursuant to this Article 8, including the right to indemnification and to the advancement of expenses of a Covered Person existing at the time of such repeal or modification with respect to any acts or omissions occurring prior to such repeal or modification.</w:t>
      </w:r>
    </w:p>
    <w:p>
      <w:pPr>
        <w:spacing w:after="0" w:line="36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ARTICLE 9</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u w:val="single" w:color="auto"/>
          <w:color w:val="auto"/>
        </w:rPr>
        <w:t>Miscellaneous</w:t>
      </w:r>
    </w:p>
    <w:p>
      <w:pPr>
        <w:spacing w:after="0" w:line="185" w:lineRule="exact"/>
        <w:rPr>
          <w:sz w:val="20"/>
          <w:szCs w:val="20"/>
          <w:color w:val="auto"/>
        </w:rPr>
      </w:pPr>
    </w:p>
    <w:p>
      <w:pPr>
        <w:jc w:val="both"/>
        <w:ind w:right="20" w:firstLine="1012"/>
        <w:spacing w:after="0" w:line="258"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u w:val="single" w:color="auto"/>
          <w:color w:val="auto"/>
        </w:rPr>
        <w:t>Tax Treatment</w:t>
      </w:r>
      <w:r>
        <w:rPr>
          <w:rFonts w:ascii="Times New Roman" w:cs="Times New Roman" w:eastAsia="Times New Roman" w:hAnsi="Times New Roman"/>
          <w:sz w:val="17"/>
          <w:szCs w:val="17"/>
          <w:color w:val="auto"/>
        </w:rPr>
        <w:t>. Unless otherwise determined by the Member, the Company shall be a disregarded entity for U.S. federal income tax purposes (as well as for any analogous state or local tax purposes), and the Member and the Company shall timely make any and all necessary elections and filings for the Company to be treated as a disregarded entity for U.S. federal income tax purposes (as well as for any analogous state or local tax purposes).</w:t>
      </w:r>
    </w:p>
    <w:p>
      <w:pPr>
        <w:spacing w:after="0" w:line="168" w:lineRule="exact"/>
        <w:rPr>
          <w:sz w:val="20"/>
          <w:szCs w:val="20"/>
          <w:color w:val="auto"/>
        </w:rPr>
      </w:pPr>
    </w:p>
    <w:p>
      <w:pPr>
        <w:ind w:right="200" w:firstLine="1012"/>
        <w:spacing w:after="0" w:line="304" w:lineRule="auto"/>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i w:val="1"/>
          <w:iCs w:val="1"/>
          <w:u w:val="single" w:color="auto"/>
          <w:color w:val="auto"/>
        </w:rPr>
        <w:t>Amendments</w:t>
      </w:r>
      <w:r>
        <w:rPr>
          <w:rFonts w:ascii="Times New Roman" w:cs="Times New Roman" w:eastAsia="Times New Roman" w:hAnsi="Times New Roman"/>
          <w:sz w:val="16"/>
          <w:szCs w:val="16"/>
          <w:color w:val="auto"/>
        </w:rPr>
        <w:t>. Amendments to this Agreement and to the Certificate of Formation shall be approved in writing by the Member. An amendment shall become effective as of the date specified in the approval of the Member or if none is specified as of the date of such approval or as otherwise provided in the Act.</w:t>
      </w:r>
    </w:p>
    <w:p>
      <w:pPr>
        <w:spacing w:after="0" w:line="132" w:lineRule="exact"/>
        <w:rPr>
          <w:sz w:val="20"/>
          <w:szCs w:val="20"/>
          <w:color w:val="auto"/>
        </w:rPr>
      </w:pPr>
    </w:p>
    <w:p>
      <w:pPr>
        <w:ind w:right="120" w:firstLine="1012"/>
        <w:spacing w:after="0" w:line="25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i w:val="1"/>
          <w:iCs w:val="1"/>
          <w:u w:val="single" w:color="auto"/>
          <w:color w:val="auto"/>
        </w:rPr>
        <w:t>Severability</w:t>
      </w:r>
      <w:r>
        <w:rPr>
          <w:rFonts w:ascii="Times New Roman" w:cs="Times New Roman" w:eastAsia="Times New Roman" w:hAnsi="Times New Roman"/>
          <w:sz w:val="17"/>
          <w:szCs w:val="17"/>
          <w:color w:val="auto"/>
        </w:rPr>
        <w:t>. If any provision of this Agreement is held to be invalid or unenforceable for any reason, such provision shall be ineffective to the extent of such invalidity or unenforceability; provided, however, that the remaining provisions will continue in full force without being impaired or invalidated in any way unless such invalid or unenforceable provision 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spacing w:after="0" w:line="175" w:lineRule="exact"/>
        <w:rPr>
          <w:sz w:val="20"/>
          <w:szCs w:val="20"/>
          <w:color w:val="auto"/>
        </w:rPr>
      </w:pPr>
    </w:p>
    <w:p>
      <w:pPr>
        <w:ind w:right="420" w:firstLine="1012"/>
        <w:spacing w:after="0" w:line="272"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i w:val="1"/>
          <w:iCs w:val="1"/>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New York without regard to the principles of conflicts of laws thereof.</w:t>
      </w:r>
    </w:p>
    <w:p>
      <w:pPr>
        <w:spacing w:after="0" w:line="155" w:lineRule="exact"/>
        <w:rPr>
          <w:sz w:val="20"/>
          <w:szCs w:val="20"/>
          <w:color w:val="auto"/>
        </w:rPr>
      </w:pPr>
    </w:p>
    <w:p>
      <w:pPr>
        <w:ind w:right="240" w:firstLine="1012"/>
        <w:spacing w:after="0" w:line="272"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i w:val="1"/>
          <w:iCs w:val="1"/>
          <w:u w:val="single" w:color="auto"/>
          <w:color w:val="auto"/>
        </w:rPr>
        <w:t>Limited Liability Trust Company</w:t>
      </w:r>
      <w:r>
        <w:rPr>
          <w:rFonts w:ascii="Times New Roman" w:cs="Times New Roman" w:eastAsia="Times New Roman" w:hAnsi="Times New Roman"/>
          <w:sz w:val="17"/>
          <w:szCs w:val="17"/>
          <w:color w:val="auto"/>
        </w:rPr>
        <w:t>. The Member intends to form a limited liability trust company and does not intend to form a partnership under the laws of the State of New York or any other laws.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00"/>
          </w:cols>
          <w:pgMar w:left="320" w:top="258"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7183755" cy="36195"/>
                    </a:xfrm>
                    <a:prstGeom prst="rect">
                      <a:avLst/>
                    </a:prstGeom>
                    <a:noFill/>
                  </pic:spPr>
                </pic:pic>
              </a:graphicData>
            </a:graphic>
          </wp:anchor>
        </w:drawing>
        <w:t>IN WITNESS WHEREOF, the undersigned has duly executed this Agreement as of the date first written above.</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b w:val="1"/>
          <w:bCs w:val="1"/>
          <w:color w:val="auto"/>
        </w:rPr>
        <w:t>ARMOR HOLDING II LLC</w:t>
      </w:r>
      <w:r>
        <w:rPr>
          <w:rFonts w:ascii="Times New Roman" w:cs="Times New Roman" w:eastAsia="Times New Roman" w:hAnsi="Times New Roman"/>
          <w:sz w:val="16"/>
          <w:szCs w:val="16"/>
          <w:color w:val="auto"/>
        </w:rPr>
        <w:t>, as sole member</w:t>
      </w: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By:  /s/ Martin G. Flanigan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13335</wp:posOffset>
            </wp:positionV>
            <wp:extent cx="262128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2621280" cy="7620"/>
                    </a:xfrm>
                    <a:prstGeom prst="rect">
                      <a:avLst/>
                    </a:prstGeom>
                    <a:noFill/>
                  </pic:spPr>
                </pic:pic>
              </a:graphicData>
            </a:graphic>
          </wp:anchor>
        </w:drawing>
      </w:r>
    </w:p>
    <w:p>
      <w:pPr>
        <w:spacing w:after="0" w:line="9" w:lineRule="exact"/>
        <w:rPr>
          <w:sz w:val="20"/>
          <w:szCs w:val="20"/>
          <w:color w:val="auto"/>
        </w:rPr>
      </w:pPr>
    </w:p>
    <w:p>
      <w:pPr>
        <w:ind w:left="6100"/>
        <w:spacing w:after="0"/>
        <w:tabs>
          <w:tab w:leader="none" w:pos="666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Martin G. Flanigan</w:t>
      </w:r>
    </w:p>
    <w:p>
      <w:pPr>
        <w:spacing w:after="0" w:line="21" w:lineRule="exact"/>
        <w:rPr>
          <w:sz w:val="20"/>
          <w:szCs w:val="20"/>
          <w:color w:val="auto"/>
        </w:rPr>
      </w:pPr>
    </w:p>
    <w:p>
      <w:pPr>
        <w:ind w:left="6100"/>
        <w:spacing w:after="0"/>
        <w:tabs>
          <w:tab w:leader="none" w:pos="6660" w:val="left"/>
        </w:tabs>
        <w:rPr>
          <w:sz w:val="20"/>
          <w:szCs w:val="20"/>
          <w:color w:val="auto"/>
        </w:rPr>
      </w:pPr>
      <w:r>
        <w:rPr>
          <w:rFonts w:ascii="Times New Roman" w:cs="Times New Roman" w:eastAsia="Times New Roman" w:hAnsi="Times New Roman"/>
          <w:sz w:val="17"/>
          <w:szCs w:val="17"/>
          <w:color w:val="auto"/>
        </w:rPr>
        <w:t>Title:</w:t>
        <w:tab/>
        <w:t>Authorized Signatory</w:t>
      </w:r>
    </w:p>
    <w:p>
      <w:pPr>
        <w:sectPr>
          <w:pgSz w:w="11900" w:h="16838" w:orient="portrait"/>
          <w:cols w:equalWidth="0" w:num="1">
            <w:col w:w="9119"/>
          </w:cols>
          <w:pgMar w:left="1340" w:top="260"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183755" cy="36195"/>
                    </a:xfrm>
                    <a:prstGeom prst="rect">
                      <a:avLst/>
                    </a:prstGeom>
                    <a:noFill/>
                  </pic:spPr>
                </pic:pic>
              </a:graphicData>
            </a:graphic>
          </wp:anchor>
        </w:drawing>
        <w:t>EXHIBIT 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w:t>
      </w:r>
    </w:p>
    <w:p>
      <w:pPr>
        <w:spacing w:after="0" w:line="233" w:lineRule="exact"/>
        <w:rPr>
          <w:sz w:val="20"/>
          <w:szCs w:val="20"/>
          <w:color w:val="auto"/>
        </w:rPr>
      </w:pPr>
    </w:p>
    <w:p>
      <w:pPr>
        <w:spacing w:after="0"/>
        <w:tabs>
          <w:tab w:leader="none" w:pos="9840" w:val="left"/>
        </w:tabs>
        <w:rPr>
          <w:sz w:val="20"/>
          <w:szCs w:val="20"/>
          <w:color w:val="auto"/>
        </w:rPr>
      </w:pPr>
      <w:r>
        <w:rPr>
          <w:rFonts w:ascii="Times New Roman" w:cs="Times New Roman" w:eastAsia="Times New Roman" w:hAnsi="Times New Roman"/>
          <w:sz w:val="17"/>
          <w:szCs w:val="17"/>
          <w:color w:val="auto"/>
        </w:rPr>
        <w:t>Number [*]</w:t>
      </w:r>
      <w:r>
        <w:rPr>
          <w:sz w:val="20"/>
          <w:szCs w:val="20"/>
          <w:color w:val="auto"/>
        </w:rPr>
        <w:tab/>
      </w:r>
      <w:r>
        <w:rPr>
          <w:rFonts w:ascii="Times New Roman" w:cs="Times New Roman" w:eastAsia="Times New Roman" w:hAnsi="Times New Roman"/>
          <w:sz w:val="16"/>
          <w:szCs w:val="16"/>
          <w:color w:val="auto"/>
        </w:rPr>
        <w:t>Common Interest [*]</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EQUINITI TRUST COMPANY, LLC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limited liability trust company formed under the laws of the State of New York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Limited Liability Trust Company Common Interest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[Legend]</w:t>
      </w:r>
    </w:p>
    <w:p>
      <w:pPr>
        <w:spacing w:after="0" w:line="20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THIS CERTIFICATE EVIDENCES COMMON INTERESTS IN EQUINITI TRUST COMPANY, LLC (THE “COMPANY”) AND SHALL BE A SECURITY FOR PURPOSES OF ARTICLE 8 OF THE UNIFORM COMMERCIAL CODE. THE COMMON INTERESTS REPRESENTED BY THIS CERTIFICATE ARE SUBJECT TO THE PROVISIONS OF THE LIMITED LIABILITY TRUST COMPANY AGREEMENT OF THE COMPANY DATED AS OF JUNE 30, 2023 (AS MAY BE AMENDED, RESTATED, AMENDED AND RESTATED OR OTHERWISE MODIFIED FROM TIME TO TIME, THE “</w:t>
      </w:r>
      <w:r>
        <w:rPr>
          <w:rFonts w:ascii="Times New Roman" w:cs="Times New Roman" w:eastAsia="Times New Roman" w:hAnsi="Times New Roman"/>
          <w:sz w:val="17"/>
          <w:szCs w:val="17"/>
          <w:u w:val="single" w:color="auto"/>
          <w:color w:val="auto"/>
        </w:rPr>
        <w:t>LLTC AGREEMENT</w:t>
      </w:r>
      <w:r>
        <w:rPr>
          <w:rFonts w:ascii="Times New Roman" w:cs="Times New Roman" w:eastAsia="Times New Roman" w:hAnsi="Times New Roman"/>
          <w:sz w:val="17"/>
          <w:szCs w:val="17"/>
          <w:color w:val="auto"/>
        </w:rPr>
        <w:t>”). A COPY OF THE LLTC AGREEMENT WILL BE FURNISHED TO THE RECORD HOLDER OF THIS CERTIFICATE WITHOUT CHARGE UPON WRITTEN REQUEST TO THE COMPANY AT ITS PRINCIPAL PLACE OF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Certifies that _________________________________ is the owner of _______ fully paid and non-assessable Common Interests of the above-named Company and</w:t>
      </w:r>
    </w:p>
    <w:p>
      <w:pPr>
        <w:spacing w:after="0" w:line="32" w:lineRule="exact"/>
        <w:rPr>
          <w:sz w:val="20"/>
          <w:szCs w:val="20"/>
          <w:color w:val="auto"/>
        </w:rPr>
      </w:pPr>
    </w:p>
    <w:p>
      <w:pPr>
        <w:jc w:val="both"/>
        <w:ind w:right="600"/>
        <w:spacing w:after="0" w:line="247" w:lineRule="auto"/>
        <w:rPr>
          <w:sz w:val="20"/>
          <w:szCs w:val="20"/>
          <w:color w:val="auto"/>
        </w:rPr>
      </w:pPr>
      <w:r>
        <w:rPr>
          <w:rFonts w:ascii="Times New Roman" w:cs="Times New Roman" w:eastAsia="Times New Roman" w:hAnsi="Times New Roman"/>
          <w:sz w:val="17"/>
          <w:szCs w:val="17"/>
          <w:color w:val="auto"/>
        </w:rPr>
        <w:t>is entitled to the full benefits and privileges of such Common Interest, subject to the duties and obligations, as more fully set forth in the LLTC Agreement. This Certificate is transferable on the books of the Company by the holder hereof in person or by duly authorized attorney upon surrender of this Certificate properly endorsed.</w:t>
      </w:r>
    </w:p>
    <w:p>
      <w:pPr>
        <w:spacing w:after="0" w:line="174" w:lineRule="exact"/>
        <w:rPr>
          <w:sz w:val="20"/>
          <w:szCs w:val="20"/>
          <w:color w:val="auto"/>
        </w:rPr>
      </w:pPr>
    </w:p>
    <w:p>
      <w:pPr>
        <w:ind w:right="180" w:firstLine="1012"/>
        <w:spacing w:after="0" w:line="275"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said Limited Liability Company has caused this Certificate, and the Common Interest it represents, to be signed by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duly authorized officer this ___ day of ______, 20__.</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_______________________________________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26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7183755" cy="36195"/>
                    </a:xfrm>
                    <a:prstGeom prst="rect">
                      <a:avLst/>
                    </a:prstGeom>
                    <a:noFill/>
                  </pic:spPr>
                </pic:pic>
              </a:graphicData>
            </a:graphic>
          </wp:anchor>
        </w:drawing>
        <w:t>EXHIBIT T-1.6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24,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Gentlemen:</w:t>
      </w:r>
    </w:p>
    <w:p>
      <w:pPr>
        <w:spacing w:after="0" w:line="104"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7"/>
          <w:szCs w:val="17"/>
          <w:color w:val="auto"/>
        </w:rPr>
        <w:t>Pursuant to the provisions of Section 321 (b) of the Trust Indenture Act of 1939, and subject to the limitations therein contained, Equiniti Trust Company, LLC hereby consents that reports of examinations of said corporation by Federal, State, Territorial or District authorities may be furnished by such authorities to you upon request therefor.</w:t>
      </w:r>
    </w:p>
    <w:p>
      <w:pPr>
        <w:spacing w:after="0" w:line="19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EQUIINITI TRUST COMPANY, LLC</w:t>
      </w:r>
    </w:p>
    <w:p>
      <w:pPr>
        <w:spacing w:after="0" w:line="20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  /s/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13335</wp:posOffset>
            </wp:positionV>
            <wp:extent cx="262128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2621280" cy="7620"/>
                    </a:xfrm>
                    <a:prstGeom prst="rect">
                      <a:avLst/>
                    </a:prstGeom>
                    <a:noFill/>
                  </pic:spPr>
                </pic:pic>
              </a:graphicData>
            </a:graphic>
          </wp:anchor>
        </w:drawing>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Name: Paul H. Kim</w:t>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Title: Assistant General Counsel</w:t>
      </w:r>
    </w:p>
    <w:p>
      <w:pPr>
        <w:sectPr>
          <w:pgSz w:w="11900" w:h="16838" w:orient="portrait"/>
          <w:cols w:equalWidth="0" w:num="1">
            <w:col w:w="11240"/>
          </w:cols>
          <w:pgMar w:left="320" w:top="256" w:right="339" w:bottom="1440" w:gutter="0" w:footer="0" w:header="0"/>
        </w:sectPr>
      </w:pPr>
    </w:p>
    <w:bookmarkStart w:id="108" w:name="page109"/>
    <w:bookmarkEnd w:id="108"/>
    <w:p>
      <w:pPr>
        <w:ind w:left="90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183755" cy="36195"/>
                    </a:xfrm>
                    <a:prstGeom prst="rect">
                      <a:avLst/>
                    </a:prstGeom>
                    <a:noFill/>
                  </pic:spPr>
                </pic:pic>
              </a:graphicData>
            </a:graphic>
          </wp:anchor>
        </w:drawing>
        <w:t>EXHIBIT 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30480</wp:posOffset>
            </wp:positionV>
            <wp:extent cx="5361305" cy="69684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5361305" cy="6968490"/>
                    </a:xfrm>
                    <a:prstGeom prst="rect">
                      <a:avLst/>
                    </a:prstGeom>
                    <a:noFill/>
                  </pic:spPr>
                </pic:pic>
              </a:graphicData>
            </a:graphic>
          </wp:anchor>
        </w:drawing>
      </w:r>
    </w:p>
    <w:p>
      <w:pPr>
        <w:sectPr>
          <w:pgSz w:w="11900" w:h="16838" w:orient="portrait"/>
          <w:cols w:equalWidth="0" w:num="1">
            <w:col w:w="10120"/>
          </w:cols>
          <w:pgMar w:left="1440" w:top="256" w:right="339" w:bottom="1440"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70554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7183755" cy="7055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b w:val="1"/>
          <w:bCs w:val="1"/>
          <w:color w:val="auto"/>
        </w:rPr>
        <w:t>Exhibit (g)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SECOND AMENDED AND RESTATED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INVESTMENT ADVISORY MANAGEMENT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BETWEEN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PENNANTPARK FLOATING RATE CAPITAL LTD.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AND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PENNANTPARK INVESTMENT ADVISERS, LLC</w:t>
      </w:r>
    </w:p>
    <w:p>
      <w:pPr>
        <w:spacing w:after="0" w:line="208"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7"/>
          <w:szCs w:val="17"/>
          <w:color w:val="auto"/>
        </w:rPr>
        <w:t>SECOND AMENDED AND RESTATED AGREEMENT (this “Agreement”) made this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of May 2024, by and between PENNANTPARK FLOATING RATE CAPITAL LTD., a Maryland corporation (the “Corporation”), and PENNANTPARK INVESTMENT ADVISERS, LLC, a Delaware limited liability company (the “Adviser”).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 the Corporation operates as a closed-end management investment company;</w:t>
      </w:r>
    </w:p>
    <w:p>
      <w:pPr>
        <w:spacing w:after="0" w:line="20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WHEREAS, the Corporation has filed an election to be treated as a business development company under the Investment Company Act of 1940, as amended (the “1940 Act”);</w:t>
      </w:r>
    </w:p>
    <w:p>
      <w:pPr>
        <w:spacing w:after="0" w:line="159"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WHEREAS, the Corporation and the Adviser are parties to that certain investment advisory management agreement dated April 7, 2011, as amended and restated on August 7, 2012, by and between the Corporation and the Adviser (the “Prior Agreement”);</w:t>
      </w:r>
    </w:p>
    <w:p>
      <w:pPr>
        <w:spacing w:after="0" w:line="15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WHEREAS, the Corporation and the Adviser desire to amend and restate the Prior Agreement to set forth the terms and conditions for the continued provision by the Adviser of investment advisory services to the Corporation; and</w:t>
      </w:r>
    </w:p>
    <w:p>
      <w:pPr>
        <w:spacing w:after="0" w:line="159"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WHEREAS, the Corporation’s board of directors has determined that such amendment and restatement clarifies the intent of the Prior Agreement in a manner that is consistent with the Corporation’s public disclosures and is not detrimental to the Corporation.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 THEREFORE, in consideration of the premises and for other good and valuable consideration, the parties hereby agree as follows:</w:t>
      </w:r>
    </w:p>
    <w:p>
      <w:pPr>
        <w:spacing w:after="0" w:line="204" w:lineRule="exact"/>
        <w:rPr>
          <w:sz w:val="20"/>
          <w:szCs w:val="20"/>
          <w:color w:val="auto"/>
        </w:rPr>
      </w:pPr>
    </w:p>
    <w:p>
      <w:pPr>
        <w:ind w:left="160" w:hanging="160"/>
        <w:spacing w:after="0"/>
        <w:tabs>
          <w:tab w:leader="none" w:pos="1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Duties of the Adviser</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right="140"/>
        <w:spacing w:after="0" w:line="264" w:lineRule="auto"/>
        <w:tabs>
          <w:tab w:leader="none" w:pos="22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 accordance with the investment objective, policies and restrictions that are set forth in the Corporation’s registration statement, as the same may be amended from time to time, (ii) in accordance with the 1940 Act and (iii) during 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w:t>
      </w:r>
    </w:p>
    <w:p>
      <w:pPr>
        <w:spacing w:after="0" w:line="2" w:lineRule="exact"/>
        <w:rPr>
          <w:rFonts w:ascii="Times New Roman" w:cs="Times New Roman" w:eastAsia="Times New Roman" w:hAnsi="Times New Roman"/>
          <w:sz w:val="16"/>
          <w:szCs w:val="16"/>
          <w:color w:val="auto"/>
        </w:rPr>
      </w:pPr>
    </w:p>
    <w:p>
      <w:pPr>
        <w:ind w:left="200" w:hanging="200"/>
        <w:spacing w:after="0"/>
        <w:tabs>
          <w:tab w:leader="none" w:pos="2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composition of the portfolio of the Corporation, the nature and timing of the changes therein and the manner of implementing such changes;</w:t>
      </w:r>
    </w:p>
    <w:p>
      <w:pPr>
        <w:spacing w:after="0" w:line="4" w:lineRule="exact"/>
        <w:rPr>
          <w:rFonts w:ascii="Times New Roman" w:cs="Times New Roman" w:eastAsia="Times New Roman" w:hAnsi="Times New Roman"/>
          <w:sz w:val="17"/>
          <w:szCs w:val="17"/>
          <w:color w:val="auto"/>
        </w:rPr>
      </w:pPr>
    </w:p>
    <w:p>
      <w:pPr>
        <w:ind w:right="60"/>
        <w:spacing w:after="0" w:line="247" w:lineRule="auto"/>
        <w:tabs>
          <w:tab w:leader="none" w:pos="24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evaluate and negotiate the structure of the investments made by the Corporation; (iii) 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w:t>
      </w:r>
    </w:p>
    <w:p>
      <w:pPr>
        <w:sectPr>
          <w:pgSz w:w="11900" w:h="16838" w:orient="portrait"/>
          <w:cols w:equalWidth="0" w:num="1">
            <w:col w:w="11240"/>
          </w:cols>
          <w:pgMar w:left="320" w:top="119" w:right="339" w:bottom="1440" w:gutter="0" w:footer="0" w:header="0"/>
        </w:sectPr>
      </w:pPr>
    </w:p>
    <w:bookmarkStart w:id="111" w:name="page112"/>
    <w:bookmarkEnd w:id="111"/>
    <w:p>
      <w:pPr>
        <w:spacing w:after="0" w:line="25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7183755" cy="36195"/>
                    </a:xfrm>
                    <a:prstGeom prst="rect">
                      <a:avLst/>
                    </a:prstGeom>
                    <a:noFill/>
                  </pic:spPr>
                </pic:pic>
              </a:graphicData>
            </a:graphic>
          </wp:anchor>
        </w:drawing>
        <w:t>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 in accordance with the 1940 Act.</w:t>
      </w:r>
    </w:p>
    <w:p>
      <w:pPr>
        <w:spacing w:after="0" w:line="175" w:lineRule="exact"/>
        <w:rPr>
          <w:sz w:val="20"/>
          <w:szCs w:val="20"/>
          <w:color w:val="auto"/>
        </w:rPr>
      </w:pPr>
    </w:p>
    <w:p>
      <w:pPr>
        <w:ind w:left="240" w:hanging="240"/>
        <w:spacing w:after="0"/>
        <w:tabs>
          <w:tab w:leader="none" w:pos="2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 hereby accepts such employment and agrees during the term hereof to render the services described herein for the compensation provided herein.</w:t>
      </w:r>
    </w:p>
    <w:p>
      <w:pPr>
        <w:spacing w:after="0" w:line="203" w:lineRule="exact"/>
        <w:rPr>
          <w:rFonts w:ascii="Times New Roman" w:cs="Times New Roman" w:eastAsia="Times New Roman" w:hAnsi="Times New Roman"/>
          <w:sz w:val="17"/>
          <w:szCs w:val="17"/>
          <w:color w:val="auto"/>
        </w:rPr>
      </w:pPr>
    </w:p>
    <w:p>
      <w:pPr>
        <w:ind w:right="20"/>
        <w:spacing w:after="0" w:line="249" w:lineRule="auto"/>
        <w:tabs>
          <w:tab w:leader="none" w:pos="22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requirements of the 1940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1940 Act and other applicable federal and state law.</w:t>
      </w:r>
    </w:p>
    <w:p>
      <w:pPr>
        <w:spacing w:after="0" w:line="176" w:lineRule="exact"/>
        <w:rPr>
          <w:rFonts w:ascii="Times New Roman" w:cs="Times New Roman" w:eastAsia="Times New Roman" w:hAnsi="Times New Roman"/>
          <w:sz w:val="17"/>
          <w:szCs w:val="17"/>
          <w:color w:val="auto"/>
        </w:rPr>
      </w:pPr>
    </w:p>
    <w:p>
      <w:pPr>
        <w:ind w:right="120"/>
        <w:spacing w:after="0" w:line="270" w:lineRule="auto"/>
        <w:tabs>
          <w:tab w:leader="none" w:pos="23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158" w:lineRule="exact"/>
        <w:rPr>
          <w:rFonts w:ascii="Times New Roman" w:cs="Times New Roman" w:eastAsia="Times New Roman" w:hAnsi="Times New Roman"/>
          <w:sz w:val="17"/>
          <w:szCs w:val="17"/>
          <w:color w:val="auto"/>
        </w:rPr>
      </w:pPr>
    </w:p>
    <w:p>
      <w:pPr>
        <w:ind w:right="40"/>
        <w:spacing w:after="0" w:line="251" w:lineRule="auto"/>
        <w:tabs>
          <w:tab w:leader="none" w:pos="22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 shall keep and preserve, in the manner and for the period that would be applicable to investment companies registered under the 1940 Act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175" w:lineRule="exact"/>
        <w:rPr>
          <w:sz w:val="20"/>
          <w:szCs w:val="20"/>
          <w:color w:val="auto"/>
        </w:rPr>
      </w:pPr>
    </w:p>
    <w:p>
      <w:pPr>
        <w:spacing w:after="0" w:line="247" w:lineRule="auto"/>
        <w:tabs>
          <w:tab w:leader="none" w:pos="16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Corporation’s Responsibilities and Expenses Payable by the Corporation</w:t>
      </w:r>
      <w:r>
        <w:rPr>
          <w:rFonts w:ascii="Times New Roman" w:cs="Times New Roman" w:eastAsia="Times New Roman" w:hAnsi="Times New Roman"/>
          <w:sz w:val="17"/>
          <w:szCs w:val="17"/>
          <w:color w:val="auto"/>
        </w:rPr>
        <w:t>.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(the “Administration Agreement”) between the Corporation and PennantPark Investment Administration, LLC (the “Administrator”), the Corporation’s administrator; fees payable to</w:t>
      </w:r>
    </w:p>
    <w:p>
      <w:pPr>
        <w:sectPr>
          <w:pgSz w:w="11900" w:h="16838" w:orient="portrait"/>
          <w:cols w:equalWidth="0" w:num="1">
            <w:col w:w="11220"/>
          </w:cols>
          <w:pgMar w:left="320" w:top="260" w:right="359" w:bottom="1440" w:gutter="0" w:footer="0" w:header="0"/>
        </w:sectPr>
      </w:pPr>
    </w:p>
    <w:bookmarkStart w:id="112" w:name="page113"/>
    <w:bookmarkEnd w:id="112"/>
    <w:p>
      <w:pPr>
        <w:ind w:right="80"/>
        <w:spacing w:after="0" w:line="24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 the Administration Agreement, including rent and the allocable portion of the cost of the Corporation’s chief compliance officer and chief financial officer and their respective staffs.</w:t>
      </w:r>
    </w:p>
    <w:p>
      <w:pPr>
        <w:spacing w:after="0" w:line="183" w:lineRule="exact"/>
        <w:rPr>
          <w:sz w:val="20"/>
          <w:szCs w:val="20"/>
          <w:color w:val="auto"/>
        </w:rPr>
      </w:pPr>
    </w:p>
    <w:p>
      <w:pPr>
        <w:jc w:val="both"/>
        <w:spacing w:after="0" w:line="253" w:lineRule="auto"/>
        <w:tabs>
          <w:tab w:leader="none" w:pos="16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of the Adviser</w:t>
      </w:r>
      <w:r>
        <w:rPr>
          <w:rFonts w:ascii="Times New Roman" w:cs="Times New Roman" w:eastAsia="Times New Roman" w:hAnsi="Times New Roman"/>
          <w:sz w:val="17"/>
          <w:szCs w:val="17"/>
          <w:color w:val="auto"/>
        </w:rPr>
        <w:t>. The Corporation agrees to pay, and the Adviser agrees to accept, as compensation for the services provided by the Adviser hereunder, a base management fee (“Base Management Fee”) and an incentive fee (“Incentive Fee”) as hereinafter set forth. The Corporation shall make any payments due hereunder to the Adviser or to the Adviser’s designee as the Adviser may otherwise direct. To the extent permitted by applicable law, the Adviser may elect, or adopt a deferred compensation plan pursuant to which it may elect, to defer all or a portion of its fees hereunder for a specified period of time.</w:t>
      </w:r>
    </w:p>
    <w:p>
      <w:pPr>
        <w:spacing w:after="0" w:line="173" w:lineRule="exact"/>
        <w:rPr>
          <w:sz w:val="20"/>
          <w:szCs w:val="20"/>
          <w:color w:val="auto"/>
        </w:rPr>
      </w:pPr>
    </w:p>
    <w:p>
      <w:pPr>
        <w:ind w:right="40"/>
        <w:spacing w:after="0" w:line="268" w:lineRule="auto"/>
        <w:tabs>
          <w:tab w:leader="none" w:pos="226"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Base Management Fee shall be calculated at an annual rate of 1.00% of the Corporation’s “average adjusted gross assets,” which equals the Corporation’s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For services rendered under this Agreement, the Base Management Fee will be payable quarterly in arrears. The Base Management Fee will be calculated based on the average adjusted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6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Incentive Fee shall consist of two parts, as follows:</w:t>
      </w:r>
    </w:p>
    <w:p>
      <w:pPr>
        <w:spacing w:after="0" w:line="103" w:lineRule="exact"/>
        <w:rPr>
          <w:rFonts w:ascii="Times New Roman" w:cs="Times New Roman" w:eastAsia="Times New Roman" w:hAnsi="Times New Roman"/>
          <w:sz w:val="17"/>
          <w:szCs w:val="17"/>
          <w:color w:val="auto"/>
        </w:rPr>
      </w:pPr>
    </w:p>
    <w:p>
      <w:pPr>
        <w:ind w:left="440" w:right="20" w:firstLine="10"/>
        <w:spacing w:after="0" w:line="248" w:lineRule="auto"/>
        <w:tabs>
          <w:tab w:leader="none" w:pos="639"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part will be calculated and payable quarterly in arrears based on the Corporation’s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prepayment penalties, diligence and consulting fees or other fees that the Corporation receives from portfolio companies, accrued during the calendar quarter, minus the Corporation’s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that the Corporation has not yet received in cash. Pre-Incentive Fee</w:t>
      </w:r>
    </w:p>
    <w:p>
      <w:pPr>
        <w:sectPr>
          <w:pgSz w:w="11900" w:h="16838" w:orient="portrait"/>
          <w:cols w:equalWidth="0" w:num="1">
            <w:col w:w="11240"/>
          </w:cols>
          <w:pgMar w:left="320" w:top="260" w:right="339" w:bottom="1440" w:gutter="0" w:footer="0" w:header="0"/>
        </w:sectPr>
      </w:pPr>
    </w:p>
    <w:bookmarkStart w:id="113" w:name="page114"/>
    <w:bookmarkEnd w:id="113"/>
    <w:p>
      <w:pPr>
        <w:ind w:left="440" w:right="60"/>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183755" cy="36195"/>
                    </a:xfrm>
                    <a:prstGeom prst="rect">
                      <a:avLst/>
                    </a:prstGeom>
                    <a:noFill/>
                  </pic:spPr>
                </pic:pic>
              </a:graphicData>
            </a:graphic>
          </wp:anchor>
        </w:drawing>
        <w:t>net investment income does not include any realized capital gains, computed net of all realized capital losses or unrealized capital appreciation or depreciation. Pre-Incentive Fee net investment income, expressed as a percentage of the value of the Corporation’s net assets at the end of the immediately preceding calendar quarter, will be compared to a “hurdle rate” of 1.75% per quarter (7.00% annualized). The Corporation’s net investment income used to calculate this part of the Incentive Fee is also included in the amount of its gross assets used to calculate the 1.00% Base Management Fee. The Corporation will pay the Adviser an Incentive Fee with respect to the Corporation’s pre-Incentive Fee net investment income in each calendar quarter as follows: (1) no Incentive Fee in any calendar quarter in which the Corporation’s pre-Incentive Fee net investment income does not exceed the hurdle rate of 1.75%; (2) 50% of the Corporation’s pre-Incentive Fee net investment income with respect to that portion of such pre-Incentive Fee net investment income, if any, that exceeds the hurdle rate but is less than 2.9167% in any calendar quarter (11.67% annualized) (this portion of the pre-Incentive Fee net investment income (which exceeds the hurdle but is less than</w:t>
      </w:r>
    </w:p>
    <w:p>
      <w:pPr>
        <w:spacing w:after="0" w:line="6" w:lineRule="exact"/>
        <w:rPr>
          <w:sz w:val="20"/>
          <w:szCs w:val="20"/>
          <w:color w:val="auto"/>
        </w:rPr>
      </w:pPr>
    </w:p>
    <w:p>
      <w:pPr>
        <w:ind w:left="440"/>
        <w:spacing w:after="0" w:line="246" w:lineRule="auto"/>
        <w:rPr>
          <w:sz w:val="20"/>
          <w:szCs w:val="20"/>
          <w:color w:val="auto"/>
        </w:rPr>
      </w:pPr>
      <w:r>
        <w:rPr>
          <w:rFonts w:ascii="Times New Roman" w:cs="Times New Roman" w:eastAsia="Times New Roman" w:hAnsi="Times New Roman"/>
          <w:sz w:val="17"/>
          <w:szCs w:val="17"/>
          <w:color w:val="auto"/>
        </w:rPr>
        <w:t>2.9167%) is referred to herein as the “catch-up,” which is meant to provide the Adviser with 20% of the Corporation’s pre-Incentive Fee net investment income, as if a hurdle did not apply, if this net investment income exceeds 2.9167% in any calendar quarter); and (3) 20% of the amount of the Corporation’s pre-Incentive Fee net investment income, if any, that exceeds 2.9167% in any calendar quarter. These calculations will be appropriately pro-rated for any period of less than three months and adjusted for any share issuances or repurchases during the relevant quarter.</w:t>
      </w:r>
    </w:p>
    <w:p>
      <w:pPr>
        <w:spacing w:after="0" w:line="80" w:lineRule="exact"/>
        <w:rPr>
          <w:sz w:val="20"/>
          <w:szCs w:val="20"/>
          <w:color w:val="auto"/>
        </w:rPr>
      </w:pPr>
    </w:p>
    <w:p>
      <w:pPr>
        <w:ind w:left="440" w:right="80" w:firstLine="10"/>
        <w:spacing w:after="0" w:line="270" w:lineRule="auto"/>
        <w:tabs>
          <w:tab w:leader="none" w:pos="685"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second part of the Incentive Fee (the “Capital Gains Fee”) will be determined and payable in arrears as of the end of each calendar year (or upon termination of this Agreement as set forth below), commencing with December 31, 2011, and will equal 20.0% of the Corporation’s realized capital gains, if any, on a cumulative basis from inception through the end of each calendar year, computed net of all realized capital losses and unrealized capital depreciation on a cumulative basis, less the aggregate amount of any previously paid Capital Gains Fees. In the event that this Agreement shall terminate as of a date that is not a calendar year end, the termination date shall be treated as though it were a calendar year end for purposes of calculating and paying a Capital Gains Fee.</w:t>
      </w:r>
    </w:p>
    <w:p>
      <w:pPr>
        <w:spacing w:after="0" w:line="162" w:lineRule="exact"/>
        <w:rPr>
          <w:rFonts w:ascii="Times New Roman" w:cs="Times New Roman" w:eastAsia="Times New Roman" w:hAnsi="Times New Roman"/>
          <w:sz w:val="16"/>
          <w:szCs w:val="16"/>
          <w:color w:val="auto"/>
        </w:rPr>
      </w:pPr>
    </w:p>
    <w:p>
      <w:pPr>
        <w:ind w:right="60"/>
        <w:spacing w:after="0" w:line="270" w:lineRule="auto"/>
        <w:tabs>
          <w:tab w:leader="none" w:pos="16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 of the Adviser</w:t>
      </w:r>
      <w:r>
        <w:rPr>
          <w:rFonts w:ascii="Times New Roman" w:cs="Times New Roman" w:eastAsia="Times New Roman" w:hAnsi="Times New Roman"/>
          <w:sz w:val="17"/>
          <w:szCs w:val="17"/>
          <w:color w:val="auto"/>
        </w:rPr>
        <w:t>.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158" w:lineRule="exact"/>
        <w:rPr>
          <w:rFonts w:ascii="Times New Roman" w:cs="Times New Roman" w:eastAsia="Times New Roman" w:hAnsi="Times New Roman"/>
          <w:sz w:val="17"/>
          <w:szCs w:val="17"/>
          <w:color w:val="auto"/>
        </w:rPr>
      </w:pPr>
    </w:p>
    <w:p>
      <w:pPr>
        <w:ind w:right="20"/>
        <w:spacing w:after="0" w:line="249" w:lineRule="auto"/>
        <w:tabs>
          <w:tab w:leader="none" w:pos="16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Excess Brokerage Commissions</w:t>
      </w:r>
      <w:r>
        <w:rPr>
          <w:rFonts w:ascii="Times New Roman" w:cs="Times New Roman" w:eastAsia="Times New Roman" w:hAnsi="Times New Roman"/>
          <w:sz w:val="17"/>
          <w:szCs w:val="17"/>
          <w:color w:val="auto"/>
        </w:rPr>
        <w:t>.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176" w:lineRule="exact"/>
        <w:rPr>
          <w:rFonts w:ascii="Times New Roman" w:cs="Times New Roman" w:eastAsia="Times New Roman" w:hAnsi="Times New Roman"/>
          <w:sz w:val="17"/>
          <w:szCs w:val="17"/>
          <w:color w:val="auto"/>
        </w:rPr>
      </w:pPr>
    </w:p>
    <w:p>
      <w:pPr>
        <w:ind w:right="20"/>
        <w:spacing w:after="0" w:line="257" w:lineRule="auto"/>
        <w:tabs>
          <w:tab w:leader="none" w:pos="16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the Employment of the Adviser</w:t>
      </w:r>
      <w:r>
        <w:rPr>
          <w:rFonts w:ascii="Times New Roman" w:cs="Times New Roman" w:eastAsia="Times New Roman" w:hAnsi="Times New Roman"/>
          <w:sz w:val="17"/>
          <w:szCs w:val="17"/>
          <w:color w:val="auto"/>
        </w:rPr>
        <w:t>.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w:t>
      </w:r>
    </w:p>
    <w:p>
      <w:pPr>
        <w:sectPr>
          <w:pgSz w:w="11900" w:h="16838" w:orient="portrait"/>
          <w:cols w:equalWidth="0" w:num="1">
            <w:col w:w="11240"/>
          </w:cols>
          <w:pgMar w:left="320" w:top="260" w:right="339" w:bottom="1440" w:gutter="0" w:footer="0" w:header="0"/>
        </w:sectPr>
      </w:pPr>
    </w:p>
    <w:bookmarkStart w:id="114" w:name="page115"/>
    <w:bookmarkEnd w:id="114"/>
    <w:p>
      <w:pPr>
        <w:ind w:right="20"/>
        <w:spacing w:after="0" w:line="24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77" w:lineRule="exact"/>
        <w:rPr>
          <w:sz w:val="20"/>
          <w:szCs w:val="20"/>
          <w:color w:val="auto"/>
        </w:rPr>
      </w:pPr>
    </w:p>
    <w:p>
      <w:pPr>
        <w:ind w:right="60"/>
        <w:spacing w:after="0" w:line="253" w:lineRule="auto"/>
        <w:tabs>
          <w:tab w:leader="none" w:pos="16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of Dual Directors, Officers and/or Employees</w:t>
      </w:r>
      <w:r>
        <w:rPr>
          <w:rFonts w:ascii="Times New Roman" w:cs="Times New Roman" w:eastAsia="Times New Roman" w:hAnsi="Times New Roman"/>
          <w:sz w:val="17"/>
          <w:szCs w:val="17"/>
          <w:color w:val="auto"/>
        </w:rPr>
        <w:t>.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73" w:lineRule="exact"/>
        <w:rPr>
          <w:rFonts w:ascii="Times New Roman" w:cs="Times New Roman" w:eastAsia="Times New Roman" w:hAnsi="Times New Roman"/>
          <w:sz w:val="17"/>
          <w:szCs w:val="17"/>
          <w:color w:val="auto"/>
        </w:rPr>
      </w:pPr>
    </w:p>
    <w:p>
      <w:pPr>
        <w:spacing w:after="0" w:line="263" w:lineRule="auto"/>
        <w:tabs>
          <w:tab w:leader="none" w:pos="16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Liability of the Adviser; Indemnification</w:t>
      </w:r>
      <w:r>
        <w:rPr>
          <w:rFonts w:ascii="Times New Roman" w:cs="Times New Roman" w:eastAsia="Times New Roman" w:hAnsi="Times New Roman"/>
          <w:sz w:val="16"/>
          <w:szCs w:val="16"/>
          <w:color w:val="auto"/>
        </w:rPr>
        <w:t>.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 this Agreement or otherwise as an investment adviser of the Corporation, except to the extent specified in Section 36(b) of the 1940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1940 Act and any interpretations or guidance by the Securities and Exchange Commission or its staff thereunder).</w:t>
      </w:r>
    </w:p>
    <w:p>
      <w:pPr>
        <w:sectPr>
          <w:pgSz w:w="11900" w:h="16838" w:orient="portrait"/>
          <w:cols w:equalWidth="0" w:num="1">
            <w:col w:w="11240"/>
          </w:cols>
          <w:pgMar w:left="320" w:top="260" w:right="339" w:bottom="1440" w:gutter="0" w:footer="0" w:header="0"/>
        </w:sectPr>
      </w:pPr>
    </w:p>
    <w:bookmarkStart w:id="115" w:name="page116"/>
    <w:bookmarkEnd w:id="115"/>
    <w:p>
      <w:pPr>
        <w:spacing w:after="0" w:line="247" w:lineRule="auto"/>
        <w:tabs>
          <w:tab w:leader="none" w:pos="16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183755" cy="36195"/>
                    </a:xfrm>
                    <a:prstGeom prst="rect">
                      <a:avLst/>
                    </a:prstGeom>
                    <a:noFill/>
                  </pic:spPr>
                </pic:pic>
              </a:graphicData>
            </a:graphic>
          </wp:anchor>
        </w:drawing>
        <w:t>Effectiveness, Duration and Termination of Agreement</w:t>
      </w:r>
      <w:r>
        <w:rPr>
          <w:rFonts w:ascii="Times New Roman" w:cs="Times New Roman" w:eastAsia="Times New Roman" w:hAnsi="Times New Roman"/>
          <w:sz w:val="17"/>
          <w:szCs w:val="17"/>
          <w:color w:val="auto"/>
        </w:rPr>
        <w:t>. This Agreement shall become effective as of the first date above written. This Agreement shall continue automatically for successive annual periods, provided that such continuance is specifically approved at least annually by (a) the vote of the Corporation’s Board of Directors, or by the vote of a majority of the outstanding voting securities of the Corporation and (b) the vote of a majority of the Corporation’s directors who are not parties to this Agreement or “interested persons” (as such term is defined in Section 2(a)(19) of the 1940 Act) of any such party, in accordance with the requirements of the 1940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15(a)(4) of the 1940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82" w:lineRule="exact"/>
        <w:rPr>
          <w:rFonts w:ascii="Times New Roman" w:cs="Times New Roman" w:eastAsia="Times New Roman" w:hAnsi="Times New Roman"/>
          <w:sz w:val="17"/>
          <w:szCs w:val="17"/>
          <w:color w:val="auto"/>
        </w:rPr>
      </w:pPr>
    </w:p>
    <w:p>
      <w:pPr>
        <w:ind w:left="240" w:hanging="240"/>
        <w:spacing w:after="0"/>
        <w:tabs>
          <w:tab w:leader="none" w:pos="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under this Agreement shall be given in writing, addressed and delivered or mailed, postage prepaid, to the other party at its principal office.</w:t>
      </w:r>
    </w:p>
    <w:p>
      <w:pPr>
        <w:spacing w:after="0" w:line="203" w:lineRule="exact"/>
        <w:rPr>
          <w:rFonts w:ascii="Times New Roman" w:cs="Times New Roman" w:eastAsia="Times New Roman" w:hAnsi="Times New Roman"/>
          <w:sz w:val="17"/>
          <w:szCs w:val="17"/>
          <w:color w:val="auto"/>
        </w:rPr>
      </w:pPr>
    </w:p>
    <w:p>
      <w:pPr>
        <w:ind w:right="140"/>
        <w:spacing w:after="0" w:line="270" w:lineRule="auto"/>
        <w:tabs>
          <w:tab w:leader="none" w:pos="243"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This Agreement may be amended by mutual consent, but the consent of the Corporation must be obtained in conformity with the requirements of the 1940 Act.</w:t>
      </w:r>
    </w:p>
    <w:p>
      <w:pPr>
        <w:spacing w:after="0" w:line="158" w:lineRule="exact"/>
        <w:rPr>
          <w:rFonts w:ascii="Times New Roman" w:cs="Times New Roman" w:eastAsia="Times New Roman" w:hAnsi="Times New Roman"/>
          <w:sz w:val="17"/>
          <w:szCs w:val="17"/>
          <w:color w:val="auto"/>
        </w:rPr>
      </w:pPr>
    </w:p>
    <w:p>
      <w:pPr>
        <w:ind w:right="120"/>
        <w:spacing w:after="0" w:line="253" w:lineRule="auto"/>
        <w:tabs>
          <w:tab w:leader="none" w:pos="24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Governing Law</w:t>
      </w:r>
      <w:r>
        <w:rPr>
          <w:rFonts w:ascii="Times New Roman" w:cs="Times New Roman" w:eastAsia="Times New Roman" w:hAnsi="Times New Roman"/>
          <w:sz w:val="17"/>
          <w:szCs w:val="17"/>
          <w:color w:val="auto"/>
        </w:rPr>
        <w:t>.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1940 Act. To the extent the applicable laws of the State of New York, or any of the provisions herein, conflict with the provisions of the 1940 Act, the latter shall control.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remainder of this page intentionally left blank]</w:t>
      </w:r>
    </w:p>
    <w:p>
      <w:pPr>
        <w:sectPr>
          <w:pgSz w:w="11900" w:h="16838" w:orient="portrait"/>
          <w:cols w:equalWidth="0" w:num="1">
            <w:col w:w="11240"/>
          </w:cols>
          <w:pgMar w:left="320" w:top="26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183755" cy="36195"/>
                    </a:xfrm>
                    <a:prstGeom prst="rect">
                      <a:avLst/>
                    </a:prstGeom>
                    <a:noFill/>
                  </pic:spPr>
                </pic:pic>
              </a:graphicData>
            </a:graphic>
          </wp:anchor>
        </w:drawing>
        <w:t>IN WITNESS WHEREOF, the parties hereto have caused this Agreement to be duly executed on the date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PENNANTPARK FLOATING RATE CAPITAL LTD.</w:t>
      </w:r>
    </w:p>
    <w:p>
      <w:pPr>
        <w:spacing w:after="0" w:line="208"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/s/Arthur Penn</w:t>
            </w:r>
          </w:p>
        </w:tc>
      </w:tr>
      <w:tr>
        <w:trPr>
          <w:trHeight w:val="188"/>
        </w:trPr>
        <w:tc>
          <w:tcPr>
            <w:tcW w:w="58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Name:</w:t>
            </w:r>
          </w:p>
        </w:tc>
        <w:tc>
          <w:tcPr>
            <w:tcW w:w="39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Arthur Penn</w:t>
            </w:r>
          </w:p>
        </w:tc>
      </w:tr>
      <w:tr>
        <w:trPr>
          <w:trHeight w:val="200"/>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Chairman of the Board of</w:t>
            </w: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Directors</w:t>
            </w:r>
          </w:p>
        </w:tc>
      </w:tr>
      <w:tr>
        <w:trPr>
          <w:trHeight w:val="399"/>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PENNANTPARK INVESTMENT ADVISERS, LLC</w:t>
            </w:r>
          </w:p>
        </w:tc>
      </w:tr>
      <w:tr>
        <w:trPr>
          <w:trHeight w:val="399"/>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/s/Arthur Penn</w:t>
            </w:r>
          </w:p>
        </w:tc>
      </w:tr>
      <w:tr>
        <w:trPr>
          <w:trHeight w:val="188"/>
        </w:trPr>
        <w:tc>
          <w:tcPr>
            <w:tcW w:w="58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Name:</w:t>
            </w:r>
          </w:p>
        </w:tc>
        <w:tc>
          <w:tcPr>
            <w:tcW w:w="39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Arthur Penn</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bl>
    <w:p>
      <w:pPr>
        <w:sectPr>
          <w:pgSz w:w="11900" w:h="16838" w:orient="portrait"/>
          <w:cols w:equalWidth="0" w:num="1">
            <w:col w:w="11240"/>
          </w:cols>
          <w:pgMar w:left="320" w:top="26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(k)(2)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AMENDED AND RESTATED ADMINISTRATION AGREEMENT</w:t>
      </w:r>
    </w:p>
    <w:p>
      <w:pPr>
        <w:spacing w:after="0" w:line="20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AGREEMENT (this “Agreement”) made as of May 20, 2024 by and between PennantPark Floating Rate Capital Ltd., a Maryland corporation (hereinafter referred to as the “Corporation”), and PennantPark Investment Administration, LLC, a Delaware limited liability company, (hereinafter referred to as the “Administrator”).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W I T N E S S E T H:</w:t>
      </w:r>
    </w:p>
    <w:p>
      <w:pPr>
        <w:spacing w:after="0" w:line="208"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auto"/>
        </w:rPr>
        <w:t>WHEREAS, the Corporation is a closed-end non-diversified management investment company that has filed a notice with the Securities and Exchange Commission that it intends to elect to treated as a business development company under the Investment Company Act of 1940, as amended (hereinafter referred to as the “1940 Act”);</w:t>
      </w:r>
    </w:p>
    <w:p>
      <w:pPr>
        <w:spacing w:after="0" w:line="13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WHEREAS, the Corporation has engaged the Administrator to provide administrative services to the Corporation under that Administration Agreement, most recently re-approved by the Board of Directors of the Corporation in February 2022; 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 the Corporation and the Administrator wish to make certain amendments to the Administration Agreement, as reflected in this Agreement.</w:t>
      </w:r>
    </w:p>
    <w:p>
      <w:pPr>
        <w:spacing w:after="0" w:line="20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NOW, THEREFORE, in consideration of the premises and the covenants hereinafter contained and for other good and valuable consideration, the receipt and adequacy of which is hereby acknowledged, the Corporation and the Administrator hereby agree as follows:</w:t>
      </w:r>
    </w:p>
    <w:p>
      <w:pPr>
        <w:spacing w:after="0" w:line="159" w:lineRule="exact"/>
        <w:rPr>
          <w:sz w:val="20"/>
          <w:szCs w:val="20"/>
          <w:color w:val="auto"/>
        </w:rPr>
      </w:pPr>
    </w:p>
    <w:p>
      <w:pPr>
        <w:ind w:left="160" w:hanging="160"/>
        <w:spacing w:after="0"/>
        <w:tabs>
          <w:tab w:leader="none" w:pos="1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Duties of the Administrator</w:t>
      </w:r>
    </w:p>
    <w:p>
      <w:pPr>
        <w:spacing w:after="0" w:line="204" w:lineRule="exact"/>
        <w:rPr>
          <w:sz w:val="20"/>
          <w:szCs w:val="20"/>
          <w:color w:val="auto"/>
        </w:rPr>
      </w:pPr>
    </w:p>
    <w:p>
      <w:pPr>
        <w:ind w:right="40"/>
        <w:spacing w:after="0" w:line="250" w:lineRule="auto"/>
        <w:tabs>
          <w:tab w:leader="none" w:pos="22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 of Administrator</w:t>
      </w:r>
      <w:r>
        <w:rPr>
          <w:rFonts w:ascii="Times New Roman" w:cs="Times New Roman" w:eastAsia="Times New Roman" w:hAnsi="Times New Roman"/>
          <w:sz w:val="17"/>
          <w:szCs w:val="17"/>
          <w:color w:val="auto"/>
        </w:rPr>
        <w:t>. The Corporation hereby employs the Administrator to act as administrator of the Corporation, and to furnish, or arrange for others to furnish, the administrative services, personnel and facilities described below, subject to review by and the overall control of the Board of Directors of the Corporation,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Corporation in any way or otherwise be deemed agents of the Corporation.</w:t>
      </w:r>
    </w:p>
    <w:p>
      <w:pPr>
        <w:spacing w:after="0" w:line="174" w:lineRule="exact"/>
        <w:rPr>
          <w:rFonts w:ascii="Times New Roman" w:cs="Times New Roman" w:eastAsia="Times New Roman" w:hAnsi="Times New Roman"/>
          <w:sz w:val="17"/>
          <w:szCs w:val="17"/>
          <w:color w:val="auto"/>
        </w:rPr>
      </w:pPr>
    </w:p>
    <w:p>
      <w:pPr>
        <w:ind w:right="20"/>
        <w:spacing w:after="0" w:line="248" w:lineRule="auto"/>
        <w:tabs>
          <w:tab w:leader="none" w:pos="23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 The Administrator shall perform (or oversee, or arrange for, the performance of) the administrative services necessary for the operation of the Corporation. Without limiting the generality of the foregoing, the Administrator shall provide the Corporation with office facilities, equipment, clerical, bookkeeping and record keeping services at such facilities and such other services as the Administrator, subject to review by the Board of Directors of the Corporation, shall from time to time determine to be necessary or useful to perform its obligations under this Agreement. The Administrator shall also, on behalf of the Corporation,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Directors of its performance of obligations hereunder and furnish advice and recommendations with respect to such other aspects of the business and affairs of the Corporation as it shall determine to be desirable; provided that nothing herein shall be construed to require the Administrator to, and the Administrator shall not, provide any advice or</w:t>
      </w:r>
    </w:p>
    <w:p>
      <w:pPr>
        <w:sectPr>
          <w:pgSz w:w="11900" w:h="16838" w:orient="portrait"/>
          <w:cols w:equalWidth="0" w:num="1">
            <w:col w:w="11240"/>
          </w:cols>
          <w:pgMar w:left="320" w:top="119" w:right="339" w:bottom="1440" w:gutter="0" w:footer="0" w:header="0"/>
        </w:sectPr>
      </w:pPr>
    </w:p>
    <w:bookmarkStart w:id="118" w:name="page119"/>
    <w:bookmarkEnd w:id="118"/>
    <w:p>
      <w:pPr>
        <w:ind w:right="60"/>
        <w:spacing w:after="0" w:line="24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recommendation relating to the securities and other assets that the Corporation should purchase, retain or sell or any other investment advisory services to the Corporation. The Administrator shall be responsible for the financial and other records that the Corporation is required to maintain and shall prepare reports to stockholders, and reports and other materials filed with the Securities and Exchange Commission (the “SEC”). The Administrator will provide on the Corporation’s behalf significant managerial assistance to those portfolio companies to which the Corporation is required to provide such assistance. In addition, the Administrator will assist the Corporation in determining and publishing the Corporation’s net asset value, overseeing the preparation and filing of the Corporation’s tax returns, and the printing and dissemination of reports to stockholders of the Corporation, and generally overseeing the payment of the Corporation’s expenses and the performance of administrative and professional services rendered to the Corporation by others.</w:t>
      </w:r>
    </w:p>
    <w:p>
      <w:pPr>
        <w:spacing w:after="0" w:line="177" w:lineRule="exact"/>
        <w:rPr>
          <w:sz w:val="20"/>
          <w:szCs w:val="20"/>
          <w:color w:val="auto"/>
        </w:rPr>
      </w:pPr>
    </w:p>
    <w:p>
      <w:pPr>
        <w:ind w:left="160" w:hanging="160"/>
        <w:spacing w:after="0"/>
        <w:tabs>
          <w:tab w:leader="none" w:pos="1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Records</w:t>
      </w:r>
    </w:p>
    <w:p>
      <w:pPr>
        <w:spacing w:after="0" w:line="20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The Administrator agrees to maintain and keep all books, accounts and other records of the Corporation that relate to activities performed by the Administrator hereunder and, if required by the 1940 Act, will maintain and keep such books, accounts and records in accordance with that Act. In compliance with the requirements of Rule 31a-3 under the 1940 Act, the Administrator agrees that all records which it maintains for the Corporation shall at all times remain the property of the Corporation, shall be readily accessible during normal business hours, and shall be promptly surrendered upon the termination of the Agreement or otherwise on written request. The Administrator further agrees that all records which it maintains for the Corporation pursuant to Rule 31a-1 under the 1940 Act will be preserved for the periods prescribed by Rule 31a-2 under the 1940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163" w:lineRule="exact"/>
        <w:rPr>
          <w:sz w:val="20"/>
          <w:szCs w:val="20"/>
          <w:color w:val="auto"/>
        </w:rPr>
      </w:pPr>
    </w:p>
    <w:p>
      <w:pPr>
        <w:ind w:left="160" w:hanging="160"/>
        <w:spacing w:after="0"/>
        <w:tabs>
          <w:tab w:leader="none" w:pos="1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p>
    <w:p>
      <w:pPr>
        <w:spacing w:after="0" w:line="20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pursuant to Regulation S-P of the SEC,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164" w:lineRule="exact"/>
        <w:rPr>
          <w:sz w:val="20"/>
          <w:szCs w:val="20"/>
          <w:color w:val="auto"/>
        </w:rPr>
      </w:pPr>
    </w:p>
    <w:p>
      <w:pPr>
        <w:ind w:left="160" w:hanging="160"/>
        <w:spacing w:after="0"/>
        <w:tabs>
          <w:tab w:leader="none" w:pos="1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Allocation of Costs and Expenses</w:t>
      </w:r>
    </w:p>
    <w:p>
      <w:pPr>
        <w:spacing w:after="0" w:line="20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7"/>
          <w:szCs w:val="17"/>
          <w:color w:val="auto"/>
        </w:rPr>
        <w:t>In full consideration of the provision of the services of the Administrator, the Corporation shall reimburse the Administrator for the costs and expenses incurred by the Administrator in performing its obligations and providing personnel and facilities hereunder. If requested to perform significant managerial assistance to portfolio companies of the Corporation, the Administrator will be paid an additional amount based on the services provided, which shall not exceed the amount the Corporation receives from the portfolio companies for providing this assistance.</w:t>
      </w:r>
    </w:p>
    <w:p>
      <w:pPr>
        <w:sectPr>
          <w:pgSz w:w="11900" w:h="16838" w:orient="portrait"/>
          <w:cols w:equalWidth="0" w:num="1">
            <w:col w:w="11240"/>
          </w:cols>
          <w:pgMar w:left="320" w:top="260" w:right="339" w:bottom="1440" w:gutter="0" w:footer="0" w:header="0"/>
        </w:sectPr>
      </w:pPr>
    </w:p>
    <w:bookmarkStart w:id="119" w:name="page120"/>
    <w:bookmarkEnd w:id="119"/>
    <w:p>
      <w:pPr>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7183755" cy="36195"/>
                    </a:xfrm>
                    <a:prstGeom prst="rect">
                      <a:avLst/>
                    </a:prstGeom>
                    <a:noFill/>
                  </pic:spPr>
                </pic:pic>
              </a:graphicData>
            </a:graphic>
          </wp:anchor>
        </w:drawing>
        <w:t>The Corporation will bear all costs and expenses that are incurred in its operation and transactions and not specifically assumed by the Corporation’s investment adviser (the “Adviser”), pursuant to that certain Second Amended and Restated Investment Advisory Management Agreement, dated as of February 2, 2016, by and between the Corporation and the Adviser. Costs and expenses to be borne by the Corporation include, but are not limited to,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and expenses related to unsuccessful portfolio acquisition efforts; interest payable on debt, if any, incurred to finance the Corporation’s investments; offerings of the Corporation’s common stock and other securities; investment advisory and management fees; administration fees payable under this Agreement;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 costs of any reports, proxy statements or other notices to stockholders, including printing costs; costs associated with individual or groups of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legal costs; and all other expenses incurred by the Corporation or the Administrator in connection with administering the Corporation’s business, including payments under this Agreement based upon the Corporation’s allocable portion of the Administrator’s overhead in performing its obligations under this Agreement, including rent and the allocable portion of the cost of the Corporation’s chief compliance officer and chief financial officer and their respective staffs. For the avoidance of doubt, the costs and expenses to be borne by the Corporation set forth above include the costs and expenses allocable with respect to the provision of in-house legal, tax, or other professional advice and/or services to the Corporation, including performing due diligence on its prospective portfolio companies, as deemed appropriate by the Administrator, where such in-house personnel perform services that would be paid by the Corporation if outside service providers provided the same services, subject to the Board of Directors’ oversight.</w:t>
      </w:r>
    </w:p>
    <w:p>
      <w:pPr>
        <w:spacing w:after="0" w:line="17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At its election, the Administrator may elect to receive payment under this Agreement in the form of a percentage of assets under management by the Corporation, rather than based on the sum of the actual expenses accrued. Such percentage shall be in an amount mutually agreed by the Administrator and the Corporation.</w:t>
      </w:r>
    </w:p>
    <w:p>
      <w:pPr>
        <w:spacing w:after="0" w:line="159" w:lineRule="exact"/>
        <w:rPr>
          <w:sz w:val="20"/>
          <w:szCs w:val="20"/>
          <w:color w:val="auto"/>
        </w:rPr>
      </w:pPr>
    </w:p>
    <w:p>
      <w:pPr>
        <w:ind w:left="160" w:hanging="160"/>
        <w:spacing w:after="0"/>
        <w:tabs>
          <w:tab w:leader="none" w:pos="1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 of the Administrator; Indemnification</w:t>
      </w:r>
    </w:p>
    <w:p>
      <w:pPr>
        <w:spacing w:after="0" w:line="20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The Administrator (and its officers, managers, partners, agents, employees, controlling persons, members, and any other person or entity affiliated with the Administrator, including without limitation its sole member) shall not be liable to the Corporation for any action taken or omitted to be taken by the Administrator in connection with the performance of any of its duties or obligations under this Agreement or otherwise as administrator for the Corporation, and the Corporation shall indemnify, defend and protect the Administrator (and its officers, managers, partners, agents, employees, controlling persons, members, and any other person or entity affiliated with the Administrator, including without limitation the Adviser,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Administrator’s duties or obligations under this Agreement or otherwise as administrator for the Corporation. Notwithstanding the preceding sentence of this Paragraph 5 to the</w:t>
      </w:r>
    </w:p>
    <w:p>
      <w:pPr>
        <w:sectPr>
          <w:pgSz w:w="11900" w:h="16838" w:orient="portrait"/>
          <w:cols w:equalWidth="0" w:num="1">
            <w:col w:w="11240"/>
          </w:cols>
          <w:pgMar w:left="320" w:top="260" w:right="339" w:bottom="1440" w:gutter="0" w:footer="0" w:header="0"/>
        </w:sectPr>
      </w:pPr>
    </w:p>
    <w:bookmarkStart w:id="120" w:name="page121"/>
    <w:bookmarkEnd w:id="120"/>
    <w:p>
      <w:pPr>
        <w:ind w:right="6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7183755" cy="36195"/>
                    </a:xfrm>
                    <a:prstGeom prst="rect">
                      <a:avLst/>
                    </a:prstGeom>
                    <a:noFill/>
                  </pic:spPr>
                </pic:pic>
              </a:graphicData>
            </a:graphic>
          </wp:anchor>
        </w:drawing>
        <w:t>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1940 Act and any interpretations or guidance by the SEC or its staff thereunder).</w:t>
      </w:r>
    </w:p>
    <w:p>
      <w:pPr>
        <w:spacing w:after="0" w:line="175" w:lineRule="exact"/>
        <w:rPr>
          <w:sz w:val="20"/>
          <w:szCs w:val="20"/>
          <w:color w:val="auto"/>
        </w:rPr>
      </w:pPr>
    </w:p>
    <w:p>
      <w:pPr>
        <w:ind w:left="160" w:hanging="160"/>
        <w:spacing w:after="0"/>
        <w:tabs>
          <w:tab w:leader="none" w:pos="1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Activities of the Administrator</w:t>
      </w:r>
    </w:p>
    <w:p>
      <w:pPr>
        <w:spacing w:after="0" w:line="2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 services of the Administrator to the Corporation are not to be deemed to be exclusive, and the Administrator and each affiliate is free to render services to others. It is understood that directors, officers, employees and stockholders of the Corporation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Corporation as stockholders or otherwise.</w:t>
      </w:r>
    </w:p>
    <w:p>
      <w:pPr>
        <w:spacing w:after="0" w:line="173" w:lineRule="exact"/>
        <w:rPr>
          <w:sz w:val="20"/>
          <w:szCs w:val="20"/>
          <w:color w:val="auto"/>
        </w:rPr>
      </w:pPr>
    </w:p>
    <w:p>
      <w:pPr>
        <w:ind w:left="160" w:hanging="160"/>
        <w:spacing w:after="0"/>
        <w:tabs>
          <w:tab w:leader="none" w:pos="1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 and Termination of this Agreement</w:t>
      </w:r>
    </w:p>
    <w:p>
      <w:pPr>
        <w:spacing w:after="0" w:line="204"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7"/>
          <w:szCs w:val="17"/>
          <w:color w:val="auto"/>
        </w:rPr>
        <w:t>This Agreement shall become effective as of the date hereof, and shall remain in force with respect to the Corporation for two years thereafter, and thereafter continue from year to year, but only so long as such continuance is specifically approved at least annually by (i) the Board of Directors of the Corporation and (ii) a majority of those directors who are not parties to this Agreement or “interested persons” (as defined in the 1940 Act) of any such party.</w:t>
      </w:r>
    </w:p>
    <w:p>
      <w:pPr>
        <w:spacing w:after="0" w:line="17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This Agreement may be terminated at any time, without the payment of any penalty, by vote of the directors of the Corporation, or by the Administrator, upon 60 days’ written notice to the other party. This Agreement may not be assigned by a party without the consent of the other party.</w:t>
      </w:r>
    </w:p>
    <w:p>
      <w:pPr>
        <w:spacing w:after="0" w:line="159" w:lineRule="exact"/>
        <w:rPr>
          <w:sz w:val="20"/>
          <w:szCs w:val="20"/>
          <w:color w:val="auto"/>
        </w:rPr>
      </w:pPr>
    </w:p>
    <w:p>
      <w:pPr>
        <w:ind w:left="160" w:hanging="160"/>
        <w:spacing w:after="0"/>
        <w:tabs>
          <w:tab w:leader="none" w:pos="1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of this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 may be amended pursuant to a written instrument by mutual consent of the parties.</w:t>
      </w:r>
    </w:p>
    <w:p>
      <w:pPr>
        <w:spacing w:after="0" w:line="204" w:lineRule="exact"/>
        <w:rPr>
          <w:sz w:val="20"/>
          <w:szCs w:val="20"/>
          <w:color w:val="auto"/>
        </w:rPr>
      </w:pPr>
    </w:p>
    <w:p>
      <w:pPr>
        <w:ind w:left="160" w:hanging="160"/>
        <w:spacing w:after="0"/>
        <w:tabs>
          <w:tab w:leader="none" w:pos="1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p>
    <w:p>
      <w:pPr>
        <w:spacing w:after="0" w:line="204" w:lineRule="exact"/>
        <w:rPr>
          <w:sz w:val="20"/>
          <w:szCs w:val="20"/>
          <w:color w:val="auto"/>
        </w:rPr>
      </w:pPr>
    </w:p>
    <w:p>
      <w:pPr>
        <w:ind w:right="500"/>
        <w:spacing w:after="0" w:line="302" w:lineRule="auto"/>
        <w:rPr>
          <w:sz w:val="20"/>
          <w:szCs w:val="20"/>
          <w:color w:val="auto"/>
        </w:rPr>
      </w:pPr>
      <w:r>
        <w:rPr>
          <w:rFonts w:ascii="Times New Roman" w:cs="Times New Roman" w:eastAsia="Times New Roman" w:hAnsi="Times New Roman"/>
          <w:sz w:val="16"/>
          <w:szCs w:val="16"/>
          <w:color w:val="auto"/>
        </w:rPr>
        <w:t>This Agreement shall be construed in accordance with laws of the State of New York and the applicable provisions of the 1940 Act, if any. To the extent that the applicable laws of the State of New York, or any of the provisions herein, conflict with the applicable provisions of the 1940 Act, if any, the latter shall control.</w:t>
      </w:r>
    </w:p>
    <w:p>
      <w:pPr>
        <w:spacing w:after="0" w:line="136" w:lineRule="exact"/>
        <w:rPr>
          <w:sz w:val="20"/>
          <w:szCs w:val="20"/>
          <w:color w:val="auto"/>
        </w:rPr>
      </w:pPr>
    </w:p>
    <w:p>
      <w:pPr>
        <w:ind w:left="240" w:hanging="240"/>
        <w:spacing w:after="0"/>
        <w:tabs>
          <w:tab w:leader="none" w:pos="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p>
    <w:p>
      <w:pPr>
        <w:spacing w:after="0" w:line="20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This Agreement contains the entire agreement of the parties and supercedes all prior agreements, understandings and arrangements with respect to the subject matter hereof.</w:t>
      </w:r>
    </w:p>
    <w:p>
      <w:pPr>
        <w:spacing w:after="0" w:line="159" w:lineRule="exact"/>
        <w:rPr>
          <w:sz w:val="20"/>
          <w:szCs w:val="20"/>
          <w:color w:val="auto"/>
        </w:rPr>
      </w:pPr>
    </w:p>
    <w:p>
      <w:pPr>
        <w:ind w:left="240" w:hanging="240"/>
        <w:spacing w:after="0"/>
        <w:tabs>
          <w:tab w:leader="none" w:pos="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notice under this Agreement shall be given in writing, addressed and delivered or mailed, postage prepaid, to the other party at its principal office.</w:t>
      </w: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ectPr>
          <w:pgSz w:w="11900" w:h="16838" w:orient="portrait"/>
          <w:cols w:equalWidth="0" w:num="1">
            <w:col w:w="11160"/>
          </w:cols>
          <w:pgMar w:left="320" w:top="260" w:right="4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7183755" cy="36195"/>
                    </a:xfrm>
                    <a:prstGeom prst="rect">
                      <a:avLst/>
                    </a:prstGeom>
                    <a:noFill/>
                  </pic:spPr>
                </pic:pic>
              </a:graphicData>
            </a:graphic>
          </wp:anchor>
        </w:drawing>
        <w:t>IN WITNESS WHEREOF, the parties hereto have executed and delivered this Agreement as of the date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PENNANTPARK FLOATING RATE CAPITAL LTD.</w:t>
      </w:r>
    </w:p>
    <w:p>
      <w:pPr>
        <w:spacing w:after="0" w:line="20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13335</wp:posOffset>
            </wp:positionV>
            <wp:extent cx="262128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2621280" cy="7620"/>
                    </a:xfrm>
                    <a:prstGeom prst="rect">
                      <a:avLst/>
                    </a:prstGeom>
                    <a:noFill/>
                  </pic:spPr>
                </pic:pic>
              </a:graphicData>
            </a:graphic>
          </wp:anchor>
        </w:drawing>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Name: Arthur H. Penn</w:t>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PENNANTPARK INVESTMENT ADMINISTRATION, LLC</w:t>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13335</wp:posOffset>
            </wp:positionV>
            <wp:extent cx="262128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2621280" cy="7620"/>
                    </a:xfrm>
                    <a:prstGeom prst="rect">
                      <a:avLst/>
                    </a:prstGeom>
                    <a:noFill/>
                  </pic:spPr>
                </pic:pic>
              </a:graphicData>
            </a:graphic>
          </wp:anchor>
        </w:drawing>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Name: Arthur H. Penn</w:t>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Title: Chief Executive Officer</w:t>
      </w:r>
    </w:p>
    <w:p>
      <w:pPr>
        <w:sectPr>
          <w:pgSz w:w="11900" w:h="16838" w:orient="portrait"/>
          <w:cols w:equalWidth="0" w:num="1">
            <w:col w:w="11140"/>
          </w:cols>
          <w:pgMar w:left="320" w:top="260" w:right="4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b w:val="1"/>
          <w:bCs w:val="1"/>
          <w:color w:val="auto"/>
        </w:rPr>
        <w:t>Exhibit (l)(1)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4941570" cy="5067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4941570"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May 24,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PennantPark Floating Rate Capital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1691 Michigan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Miami Beach, Florida 33139</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Registration Statement on Form N-2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4" w:lineRule="exact"/>
        <w:rPr>
          <w:sz w:val="20"/>
          <w:szCs w:val="20"/>
          <w:color w:val="auto"/>
        </w:rPr>
      </w:pPr>
    </w:p>
    <w:p>
      <w:pPr>
        <w:ind w:firstLine="1012"/>
        <w:spacing w:after="0" w:line="249" w:lineRule="auto"/>
        <w:rPr>
          <w:sz w:val="20"/>
          <w:szCs w:val="20"/>
          <w:color w:val="auto"/>
        </w:rPr>
      </w:pPr>
      <w:r>
        <w:rPr>
          <w:rFonts w:ascii="Times New Roman" w:cs="Times New Roman" w:eastAsia="Times New Roman" w:hAnsi="Times New Roman"/>
          <w:sz w:val="17"/>
          <w:szCs w:val="17"/>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of the following securities of the Company having an aggregate initial offering price of up to $1,000,000,000 (collectively, the “Securities”): (i) shares (“Common Shares”) of common stock, $.001 par value per share (“Common Stock”); (ii) shares (“Preferred Shares”) of preferred stock, $.001 par value per share (“Preferred Stock”); (iii) warrants (“Warrants”); (iv) subscription rights (“Subscription Rights”); and (v) debt securities (“Debt Securities”), covered by the above-referenced Registration Statement, and all amendments thereto (the “Registration Statement”), to be filed by the Company with the United States Securities and Exchange Commission (the “Commission”) under the Securities Act of 1933, as amended (the “1933 Act”), on or about the date hereof.</w:t>
      </w:r>
    </w:p>
    <w:p>
      <w:pPr>
        <w:spacing w:after="0" w:line="177" w:lineRule="exact"/>
        <w:rPr>
          <w:sz w:val="20"/>
          <w:szCs w:val="20"/>
          <w:color w:val="auto"/>
        </w:rPr>
      </w:pPr>
    </w:p>
    <w:p>
      <w:pPr>
        <w:ind w:right="40" w:firstLine="1012"/>
        <w:spacing w:after="0" w:line="270" w:lineRule="auto"/>
        <w:rPr>
          <w:sz w:val="20"/>
          <w:szCs w:val="20"/>
          <w:color w:val="auto"/>
        </w:rPr>
      </w:pPr>
      <w:r>
        <w:rPr>
          <w:rFonts w:ascii="Times New Roman" w:cs="Times New Roman" w:eastAsia="Times New Roman" w:hAnsi="Times New Roman"/>
          <w:sz w:val="17"/>
          <w:szCs w:val="17"/>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1. The Registration Statement and the related form of prospectus included therein, in the form transmitted to the Commission for filing pursuant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1933 Act;</w:t>
      </w:r>
    </w:p>
    <w:p>
      <w:pPr>
        <w:spacing w:after="0" w:line="87" w:lineRule="exact"/>
        <w:rPr>
          <w:sz w:val="20"/>
          <w:szCs w:val="20"/>
          <w:color w:val="auto"/>
        </w:rPr>
      </w:pPr>
    </w:p>
    <w:p>
      <w:pPr>
        <w:ind w:left="1180" w:hanging="168"/>
        <w:spacing w:after="0"/>
        <w:tabs>
          <w:tab w:leader="none" w:pos="11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charter of the Company (the “Charter”), certified by the State Department of Assessments and Taxation of Maryland (the “SDAT”);</w:t>
      </w:r>
    </w:p>
    <w:p>
      <w:pPr>
        <w:spacing w:after="0" w:line="103" w:lineRule="exact"/>
        <w:rPr>
          <w:rFonts w:ascii="Times New Roman" w:cs="Times New Roman" w:eastAsia="Times New Roman" w:hAnsi="Times New Roman"/>
          <w:sz w:val="17"/>
          <w:szCs w:val="17"/>
          <w:color w:val="auto"/>
        </w:rPr>
      </w:pPr>
    </w:p>
    <w:p>
      <w:pPr>
        <w:ind w:left="1180" w:hanging="168"/>
        <w:spacing w:after="0"/>
        <w:tabs>
          <w:tab w:leader="none" w:pos="11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Amended and Restated Bylaws of the Company (the “Bylaws”), certified as of the date hereof by an officer of the Company;</w:t>
      </w:r>
    </w:p>
    <w:p>
      <w:pPr>
        <w:spacing w:after="0" w:line="103" w:lineRule="exact"/>
        <w:rPr>
          <w:rFonts w:ascii="Times New Roman" w:cs="Times New Roman" w:eastAsia="Times New Roman" w:hAnsi="Times New Roman"/>
          <w:sz w:val="17"/>
          <w:szCs w:val="17"/>
          <w:color w:val="auto"/>
        </w:rPr>
      </w:pPr>
    </w:p>
    <w:p>
      <w:pPr>
        <w:ind w:left="1180" w:hanging="168"/>
        <w:spacing w:after="0"/>
        <w:tabs>
          <w:tab w:leader="none" w:pos="11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the SDAT as to the good standing of the Company, dated as of a recent date;</w:t>
      </w:r>
    </w:p>
    <w:p>
      <w:pPr>
        <w:sectPr>
          <w:pgSz w:w="11900" w:h="16838" w:orient="portrait"/>
          <w:cols w:equalWidth="0" w:num="1">
            <w:col w:w="11240"/>
          </w:cols>
          <w:pgMar w:left="320" w:top="11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93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183755" cy="593725"/>
                    </a:xfrm>
                    <a:prstGeom prst="rect">
                      <a:avLst/>
                    </a:prstGeom>
                    <a:noFill/>
                  </pic:spPr>
                </pic:pic>
              </a:graphicData>
            </a:graphic>
          </wp:anchor>
        </w:drawing>
        <w:t>PennantPark Floating Rate Capital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24,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125" w:lineRule="exact"/>
        <w:rPr>
          <w:sz w:val="20"/>
          <w:szCs w:val="20"/>
          <w:color w:val="auto"/>
        </w:rPr>
      </w:pPr>
    </w:p>
    <w:p>
      <w:pPr>
        <w:ind w:right="20" w:firstLine="1012"/>
        <w:spacing w:after="0" w:line="270" w:lineRule="auto"/>
        <w:tabs>
          <w:tab w:leader="none" w:pos="117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58" w:lineRule="exact"/>
        <w:rPr>
          <w:rFonts w:ascii="Times New Roman" w:cs="Times New Roman" w:eastAsia="Times New Roman" w:hAnsi="Times New Roman"/>
          <w:sz w:val="17"/>
          <w:szCs w:val="17"/>
          <w:color w:val="auto"/>
        </w:rPr>
      </w:pPr>
    </w:p>
    <w:p>
      <w:pPr>
        <w:ind w:left="1180" w:hanging="168"/>
        <w:spacing w:after="0"/>
        <w:tabs>
          <w:tab w:leader="none" w:pos="11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executed by an officer of the Company, dated as of the date hereof; and</w:t>
      </w:r>
    </w:p>
    <w:p>
      <w:pPr>
        <w:spacing w:after="0" w:line="103" w:lineRule="exact"/>
        <w:rPr>
          <w:rFonts w:ascii="Times New Roman" w:cs="Times New Roman" w:eastAsia="Times New Roman" w:hAnsi="Times New Roman"/>
          <w:sz w:val="17"/>
          <w:szCs w:val="17"/>
          <w:color w:val="auto"/>
        </w:rPr>
      </w:pPr>
    </w:p>
    <w:p>
      <w:pPr>
        <w:ind w:right="320" w:firstLine="1012"/>
        <w:spacing w:after="0" w:line="270" w:lineRule="auto"/>
        <w:tabs>
          <w:tab w:leader="none" w:pos="117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documents and matters as we have deemed necessary or appropriate to express the opinion set forth below, subject to the assumptions, limitations and qualifications stated herein.</w:t>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expressing the opinion set forth below, we have assumed the following:</w:t>
      </w:r>
    </w:p>
    <w:p>
      <w:pPr>
        <w:spacing w:after="0" w:line="104" w:lineRule="exact"/>
        <w:rPr>
          <w:sz w:val="20"/>
          <w:szCs w:val="20"/>
          <w:color w:val="auto"/>
        </w:rPr>
      </w:pPr>
    </w:p>
    <w:p>
      <w:pPr>
        <w:ind w:left="1180" w:hanging="168"/>
        <w:spacing w:after="0"/>
        <w:tabs>
          <w:tab w:leader="none" w:pos="11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individual executing any of the Documents, whether on behalf of such individual or any other person, is legally competent to do so.</w:t>
      </w:r>
    </w:p>
    <w:p>
      <w:pPr>
        <w:spacing w:after="0" w:line="103" w:lineRule="exact"/>
        <w:rPr>
          <w:rFonts w:ascii="Times New Roman" w:cs="Times New Roman" w:eastAsia="Times New Roman" w:hAnsi="Times New Roman"/>
          <w:sz w:val="17"/>
          <w:szCs w:val="17"/>
          <w:color w:val="auto"/>
        </w:rPr>
      </w:pPr>
    </w:p>
    <w:p>
      <w:pPr>
        <w:ind w:left="1180" w:hanging="168"/>
        <w:spacing w:after="0"/>
        <w:tabs>
          <w:tab w:leader="none" w:pos="11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individual executing any of the Documents on behalf of a party (other than the Company) is duly authorized to do so.</w:t>
      </w:r>
    </w:p>
    <w:p>
      <w:pPr>
        <w:spacing w:after="0" w:line="103" w:lineRule="exact"/>
        <w:rPr>
          <w:rFonts w:ascii="Times New Roman" w:cs="Times New Roman" w:eastAsia="Times New Roman" w:hAnsi="Times New Roman"/>
          <w:sz w:val="17"/>
          <w:szCs w:val="17"/>
          <w:color w:val="auto"/>
        </w:rPr>
      </w:pPr>
    </w:p>
    <w:p>
      <w:pPr>
        <w:ind w:right="120" w:firstLine="1012"/>
        <w:spacing w:after="0" w:line="302" w:lineRule="auto"/>
        <w:tabs>
          <w:tab w:leader="none" w:pos="117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35" w:lineRule="exact"/>
        <w:rPr>
          <w:rFonts w:ascii="Times New Roman" w:cs="Times New Roman" w:eastAsia="Times New Roman" w:hAnsi="Times New Roman"/>
          <w:sz w:val="16"/>
          <w:szCs w:val="16"/>
          <w:color w:val="auto"/>
        </w:rPr>
      </w:pPr>
    </w:p>
    <w:p>
      <w:pPr>
        <w:ind w:firstLine="1012"/>
        <w:spacing w:after="0" w:line="270" w:lineRule="auto"/>
        <w:tabs>
          <w:tab w:leader="none" w:pos="117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62" w:lineRule="exact"/>
        <w:rPr>
          <w:rFonts w:ascii="Times New Roman" w:cs="Times New Roman" w:eastAsia="Times New Roman" w:hAnsi="Times New Roman"/>
          <w:sz w:val="16"/>
          <w:szCs w:val="16"/>
          <w:color w:val="auto"/>
        </w:rPr>
      </w:pPr>
    </w:p>
    <w:p>
      <w:pPr>
        <w:jc w:val="both"/>
        <w:ind w:right="100" w:firstLine="1012"/>
        <w:spacing w:after="0" w:line="257" w:lineRule="auto"/>
        <w:tabs>
          <w:tab w:leader="none" w:pos="117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and certain terms of, the Securities to be issued by the Company from time to time will be authorized and approved by the Board of Directors, or a duly authorized committee thereof, in accordance with the Maryland General Corporation Law, the Charter, the Bylaws and the Resolutions prior to the issuance of such Securities (such approval referred to herein as the “Corporate Proceedings”).</w:t>
      </w:r>
    </w:p>
    <w:p>
      <w:pPr>
        <w:sectPr>
          <w:pgSz w:w="11900" w:h="16838" w:orient="portrait"/>
          <w:cols w:equalWidth="0" w:num="1">
            <w:col w:w="11180"/>
          </w:cols>
          <w:pgMar w:left="320" w:top="1158" w:right="3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93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7183755" cy="593725"/>
                    </a:xfrm>
                    <a:prstGeom prst="rect">
                      <a:avLst/>
                    </a:prstGeom>
                    <a:noFill/>
                  </pic:spPr>
                </pic:pic>
              </a:graphicData>
            </a:graphic>
          </wp:anchor>
        </w:drawing>
        <w:t>PennantPark Floating Rate Capital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24,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125" w:lineRule="exact"/>
        <w:rPr>
          <w:sz w:val="20"/>
          <w:szCs w:val="20"/>
          <w:color w:val="auto"/>
        </w:rPr>
      </w:pPr>
    </w:p>
    <w:p>
      <w:pPr>
        <w:ind w:right="220" w:firstLine="1012"/>
        <w:spacing w:after="0" w:line="257" w:lineRule="auto"/>
        <w:tabs>
          <w:tab w:leader="none" w:pos="117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issuance of any Securities that are Common Shares, including 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70" w:lineRule="exact"/>
        <w:rPr>
          <w:rFonts w:ascii="Times New Roman" w:cs="Times New Roman" w:eastAsia="Times New Roman" w:hAnsi="Times New Roman"/>
          <w:sz w:val="17"/>
          <w:szCs w:val="17"/>
          <w:color w:val="auto"/>
        </w:rPr>
      </w:pPr>
    </w:p>
    <w:p>
      <w:pPr>
        <w:ind w:right="200" w:firstLine="1012"/>
        <w:spacing w:after="0" w:line="270" w:lineRule="auto"/>
        <w:tabs>
          <w:tab w:leader="none" w:pos="117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58" w:lineRule="exact"/>
        <w:rPr>
          <w:rFonts w:ascii="Times New Roman" w:cs="Times New Roman" w:eastAsia="Times New Roman" w:hAnsi="Times New Roman"/>
          <w:sz w:val="17"/>
          <w:szCs w:val="17"/>
          <w:color w:val="auto"/>
        </w:rPr>
      </w:pPr>
    </w:p>
    <w:p>
      <w:pPr>
        <w:jc w:val="both"/>
        <w:ind w:firstLine="1012"/>
        <w:spacing w:after="0" w:line="253" w:lineRule="auto"/>
        <w:tabs>
          <w:tab w:leader="none" w:pos="117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Based upon the foregoing, and subject to the assumptions, limitations and qualifications stated herein, it is our opinion that:</w:t>
      </w:r>
    </w:p>
    <w:p>
      <w:pPr>
        <w:spacing w:after="0" w:line="1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1. The Company is a corporation duly incorporated and existing under and by virtue of the laws of the State of Maryland and is in good standing with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SDAT.</w:t>
      </w:r>
    </w:p>
    <w:p>
      <w:pPr>
        <w:spacing w:after="0" w:line="87" w:lineRule="exact"/>
        <w:rPr>
          <w:sz w:val="20"/>
          <w:szCs w:val="20"/>
          <w:color w:val="auto"/>
        </w:rPr>
      </w:pPr>
    </w:p>
    <w:p>
      <w:pPr>
        <w:ind w:right="80" w:firstLine="1012"/>
        <w:spacing w:after="0" w:line="257" w:lineRule="auto"/>
        <w:tabs>
          <w:tab w:leader="none" w:pos="117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70" w:lineRule="exact"/>
        <w:rPr>
          <w:rFonts w:ascii="Times New Roman" w:cs="Times New Roman" w:eastAsia="Times New Roman" w:hAnsi="Times New Roman"/>
          <w:sz w:val="17"/>
          <w:szCs w:val="17"/>
          <w:color w:val="auto"/>
        </w:rPr>
      </w:pPr>
    </w:p>
    <w:p>
      <w:pPr>
        <w:ind w:right="80" w:firstLine="1012"/>
        <w:spacing w:after="0" w:line="257" w:lineRule="auto"/>
        <w:tabs>
          <w:tab w:leader="none" w:pos="117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pacing w:after="0" w:line="70" w:lineRule="exact"/>
        <w:rPr>
          <w:rFonts w:ascii="Times New Roman" w:cs="Times New Roman" w:eastAsia="Times New Roman" w:hAnsi="Times New Roman"/>
          <w:sz w:val="17"/>
          <w:szCs w:val="17"/>
          <w:color w:val="auto"/>
        </w:rPr>
      </w:pPr>
    </w:p>
    <w:p>
      <w:pPr>
        <w:ind w:left="1180" w:hanging="168"/>
        <w:spacing w:after="0"/>
        <w:tabs>
          <w:tab w:leader="none" w:pos="11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completion of all Corporate Proceedings relating to the Warrants, the issuance of the Warrants will be duly authorized.</w:t>
      </w:r>
    </w:p>
    <w:p>
      <w:pPr>
        <w:spacing w:after="0" w:line="103" w:lineRule="exact"/>
        <w:rPr>
          <w:rFonts w:ascii="Times New Roman" w:cs="Times New Roman" w:eastAsia="Times New Roman" w:hAnsi="Times New Roman"/>
          <w:sz w:val="17"/>
          <w:szCs w:val="17"/>
          <w:color w:val="auto"/>
        </w:rPr>
      </w:pPr>
    </w:p>
    <w:p>
      <w:pPr>
        <w:ind w:left="1180" w:hanging="168"/>
        <w:spacing w:after="0"/>
        <w:tabs>
          <w:tab w:leader="none" w:pos="11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completion of all Corporate Proceedings relating to the Subscription Rights, the issuance of the Subscription Rights will be duly authorized.</w:t>
      </w:r>
    </w:p>
    <w:p>
      <w:pPr>
        <w:sectPr>
          <w:pgSz w:w="11900" w:h="16838" w:orient="portrait"/>
          <w:cols w:equalWidth="0" w:num="1">
            <w:col w:w="11200"/>
          </w:cols>
          <w:pgMar w:left="320" w:top="1158"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93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7183755" cy="593725"/>
                    </a:xfrm>
                    <a:prstGeom prst="rect">
                      <a:avLst/>
                    </a:prstGeom>
                    <a:noFill/>
                  </pic:spPr>
                </pic:pic>
              </a:graphicData>
            </a:graphic>
          </wp:anchor>
        </w:drawing>
        <w:t>PennantPark Floating Rate Capital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24,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4</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6. Upon the completion of all Corporate Proceedings relating to the Debt Securities, the issuance of the Debt Securities will be duly authorized.</w:t>
      </w:r>
    </w:p>
    <w:p>
      <w:pPr>
        <w:spacing w:after="0" w:line="204" w:lineRule="exact"/>
        <w:rPr>
          <w:sz w:val="20"/>
          <w:szCs w:val="20"/>
          <w:color w:val="auto"/>
        </w:rPr>
      </w:pPr>
    </w:p>
    <w:p>
      <w:pPr>
        <w:jc w:val="both"/>
        <w:ind w:firstLine="1012"/>
        <w:spacing w:after="0" w:line="257" w:lineRule="auto"/>
        <w:rPr>
          <w:sz w:val="20"/>
          <w:szCs w:val="20"/>
          <w:color w:val="auto"/>
        </w:rPr>
      </w:pPr>
      <w:r>
        <w:rPr>
          <w:rFonts w:ascii="Times New Roman" w:cs="Times New Roman" w:eastAsia="Times New Roman" w:hAnsi="Times New Roman"/>
          <w:sz w:val="17"/>
          <w:szCs w:val="17"/>
          <w:color w:val="auto"/>
        </w:rPr>
        <w:t>The foregoing opinion is limited to the laws of the State of Maryland and we do not express any opinion herein concerning any other law. We express no opinion as to compliance with, or the applicability of, the 1940 Act and other federal securities laws, or state securities laws, including the securities laws of the State of Maryland.</w:t>
      </w:r>
    </w:p>
    <w:p>
      <w:pPr>
        <w:spacing w:after="0" w:line="170" w:lineRule="exact"/>
        <w:rPr>
          <w:sz w:val="20"/>
          <w:szCs w:val="20"/>
          <w:color w:val="auto"/>
        </w:rPr>
      </w:pPr>
    </w:p>
    <w:p>
      <w:pPr>
        <w:ind w:right="60" w:firstLine="1012"/>
        <w:spacing w:after="0" w:line="257" w:lineRule="auto"/>
        <w:rPr>
          <w:sz w:val="20"/>
          <w:szCs w:val="20"/>
          <w:color w:val="auto"/>
        </w:rPr>
      </w:pPr>
      <w:r>
        <w:rPr>
          <w:rFonts w:ascii="Times New Roman" w:cs="Times New Roman" w:eastAsia="Times New Roman" w:hAnsi="Times New Roman"/>
          <w:sz w:val="17"/>
          <w:szCs w:val="17"/>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0" w:lineRule="exact"/>
        <w:rPr>
          <w:sz w:val="20"/>
          <w:szCs w:val="20"/>
          <w:color w:val="auto"/>
        </w:rPr>
      </w:pPr>
    </w:p>
    <w:p>
      <w:pPr>
        <w:ind w:right="100" w:firstLine="1012"/>
        <w:spacing w:after="0" w:line="257" w:lineRule="auto"/>
        <w:rPr>
          <w:sz w:val="20"/>
          <w:szCs w:val="20"/>
          <w:color w:val="auto"/>
        </w:rPr>
      </w:pPr>
      <w:r>
        <w:rPr>
          <w:rFonts w:ascii="Times New Roman" w:cs="Times New Roman" w:eastAsia="Times New Roman" w:hAnsi="Times New Roman"/>
          <w:sz w:val="17"/>
          <w:szCs w:val="17"/>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9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Venable LLP</w:t>
      </w:r>
    </w:p>
    <w:p>
      <w:pPr>
        <w:sectPr>
          <w:pgSz w:w="11900" w:h="16838" w:orient="portrait"/>
          <w:cols w:equalWidth="0" w:num="1">
            <w:col w:w="11180"/>
          </w:cols>
          <w:pgMar w:left="320" w:top="1158" w:right="3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(l)(2)</w:t>
      </w:r>
    </w:p>
    <w:p>
      <w:pPr>
        <w:spacing w:after="0" w:line="23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7"/>
          <w:szCs w:val="17"/>
          <w:color w:val="auto"/>
        </w:rPr>
        <w:t>Three Bryant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949960" cy="324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949960" cy="32448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7"/>
          <w:szCs w:val="17"/>
          <w:color w:val="auto"/>
        </w:rPr>
        <w:t>1095 Avenue of the Americas</w:t>
      </w:r>
    </w:p>
    <w:p>
      <w:pPr>
        <w:spacing w:after="0" w:line="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7"/>
          <w:szCs w:val="17"/>
          <w:color w:val="auto"/>
        </w:rPr>
        <w:t>New York, NY 10036-6797</w:t>
      </w:r>
    </w:p>
    <w:p>
      <w:pPr>
        <w:spacing w:after="0" w:line="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7"/>
          <w:szCs w:val="17"/>
          <w:color w:val="auto"/>
        </w:rPr>
        <w:t>+1 212 698 3500 Main</w:t>
      </w:r>
    </w:p>
    <w:p>
      <w:pPr>
        <w:spacing w:after="0" w:line="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7"/>
          <w:szCs w:val="17"/>
          <w:color w:val="auto"/>
        </w:rPr>
        <w:t>+1 212 698 3599 Fax</w:t>
      </w:r>
    </w:p>
    <w:p>
      <w:pPr>
        <w:spacing w:after="0" w:line="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7"/>
          <w:szCs w:val="17"/>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4862195</wp:posOffset>
            </wp:positionH>
            <wp:positionV relativeFrom="paragraph">
              <wp:posOffset>2540</wp:posOffset>
            </wp:positionV>
            <wp:extent cx="228092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24,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PennantPark Floating Rate Capital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1691 Michigan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Miami Beach, Florida 33139</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Registration Statement on Form N-2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acted as counsel to PennantPark Floating Rate Capital Ltd., a Maryland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preparation and filing of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N-2 (as amended,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filed on the date hereof with the U.S. Securities and Exchange Commission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relating to possible offerings from time to time of up to an aggregate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$1,000,000,000 of the following securities of the Company: (1) shares of common stock, par value $0.001 per share, of the Company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(2) shares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preferred stock, par value $0.001 per share, of the Company (“</w:t>
      </w:r>
      <w:r>
        <w:rPr>
          <w:rFonts w:ascii="Times New Roman" w:cs="Times New Roman" w:eastAsia="Times New Roman" w:hAnsi="Times New Roman"/>
          <w:sz w:val="16"/>
          <w:szCs w:val="16"/>
          <w:u w:val="single" w:color="auto"/>
          <w:color w:val="auto"/>
        </w:rPr>
        <w:t>Preferred Stock</w:t>
      </w:r>
      <w:r>
        <w:rPr>
          <w:rFonts w:ascii="Times New Roman" w:cs="Times New Roman" w:eastAsia="Times New Roman" w:hAnsi="Times New Roman"/>
          <w:sz w:val="16"/>
          <w:szCs w:val="16"/>
          <w:color w:val="auto"/>
        </w:rPr>
        <w:t>”), (3) warrants of the Company (“</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to purchase Common Stock, Preferred Stock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Debt Securities (as defined below), (4) rights to purchase Common Stock (the “</w:t>
      </w:r>
      <w:r>
        <w:rPr>
          <w:rFonts w:ascii="Times New Roman" w:cs="Times New Roman" w:eastAsia="Times New Roman" w:hAnsi="Times New Roman"/>
          <w:sz w:val="16"/>
          <w:szCs w:val="16"/>
          <w:u w:val="single" w:color="auto"/>
          <w:color w:val="auto"/>
        </w:rPr>
        <w:t>Subscription Rights</w:t>
      </w:r>
      <w:r>
        <w:rPr>
          <w:rFonts w:ascii="Times New Roman" w:cs="Times New Roman" w:eastAsia="Times New Roman" w:hAnsi="Times New Roman"/>
          <w:sz w:val="16"/>
          <w:szCs w:val="16"/>
          <w:color w:val="auto"/>
        </w:rPr>
        <w:t>”) and (5) debt securities (“</w:t>
      </w:r>
      <w:r>
        <w:rPr>
          <w:rFonts w:ascii="Times New Roman" w:cs="Times New Roman" w:eastAsia="Times New Roman" w:hAnsi="Times New Roman"/>
          <w:sz w:val="16"/>
          <w:szCs w:val="16"/>
          <w:u w:val="single" w:color="auto"/>
          <w:color w:val="auto"/>
        </w:rPr>
        <w:t>Debt Securities</w:t>
      </w:r>
      <w:r>
        <w:rPr>
          <w:rFonts w:ascii="Times New Roman" w:cs="Times New Roman" w:eastAsia="Times New Roman" w:hAnsi="Times New Roman"/>
          <w:sz w:val="16"/>
          <w:szCs w:val="16"/>
          <w:color w:val="auto"/>
        </w:rPr>
        <w:t>”) to be issued pursuant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an indenture between the Company and American Stock Transfer &amp; Trust Company, LLC, as trustee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The Warrants, Subscription Rights and Debt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are collectively referred to herein as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7"/>
          <w:szCs w:val="17"/>
          <w:color w:val="auto"/>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Times New Roman" w:cs="Times New Roman" w:eastAsia="Times New Roman" w:hAnsi="Times New Roman"/>
          <w:sz w:val="17"/>
          <w:szCs w:val="17"/>
          <w:u w:val="single" w:color="auto"/>
          <w:color w:val="auto"/>
        </w:rPr>
        <w:t>Prospectus Supplement</w:t>
      </w:r>
      <w:r>
        <w:rPr>
          <w:rFonts w:ascii="Times New Roman" w:cs="Times New Roman" w:eastAsia="Times New Roman" w:hAnsi="Times New Roman"/>
          <w:sz w:val="17"/>
          <w:szCs w:val="17"/>
          <w:color w:val="auto"/>
        </w:rPr>
        <w:t>”). This opinion letter is being furnished to the Company in accordance with the requirements of Item 25 of Form N-2 under the Securities Act, and we express no opinion herein as to any matter other than as to the legality of the Securities.</w:t>
      </w:r>
    </w:p>
    <w:p>
      <w:pPr>
        <w:spacing w:after="0" w:line="17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pacing w:after="0" w:line="65" w:lineRule="exact"/>
        <w:rPr>
          <w:sz w:val="20"/>
          <w:szCs w:val="20"/>
          <w:color w:val="auto"/>
        </w:rPr>
      </w:pPr>
    </w:p>
    <w:p>
      <w:pPr>
        <w:ind w:left="1000" w:hanging="551"/>
        <w:spacing w:after="0"/>
        <w:tabs>
          <w:tab w:leader="none" w:pos="10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w:t>
      </w:r>
    </w:p>
    <w:p>
      <w:pPr>
        <w:sectPr>
          <w:pgSz w:w="11900" w:h="16838" w:orient="portrait"/>
          <w:cols w:equalWidth="0" w:num="1">
            <w:col w:w="11240"/>
          </w:cols>
          <w:pgMar w:left="320" w:top="119" w:right="339" w:bottom="1440" w:gutter="0" w:footer="0" w:header="0"/>
        </w:sectPr>
      </w:pPr>
    </w:p>
    <w:bookmarkStart w:id="127" w:name="page128"/>
    <w:bookmarkEnd w:id="127"/>
    <w:p>
      <w:pPr>
        <w:ind w:left="95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7183755" cy="36195"/>
                    </a:xfrm>
                    <a:prstGeom prst="rect">
                      <a:avLst/>
                    </a:prstGeom>
                    <a:noFill/>
                  </pic:spPr>
                </pic:pic>
              </a:graphicData>
            </a:graphic>
          </wp:anchor>
        </w:drawing>
        <w:t>May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949960" cy="3244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949960" cy="324485"/>
                    </a:xfrm>
                    <a:prstGeom prst="rect">
                      <a:avLst/>
                    </a:prstGeom>
                    <a:noFill/>
                  </pic:spPr>
                </pic:pic>
              </a:graphicData>
            </a:graphic>
          </wp:anchor>
        </w:drawing>
      </w:r>
    </w:p>
    <w:p>
      <w:pPr>
        <w:spacing w:after="0" w:line="20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Page 2</w:t>
      </w:r>
    </w:p>
    <w:p>
      <w:pPr>
        <w:spacing w:after="0" w:line="154" w:lineRule="exact"/>
        <w:rPr>
          <w:sz w:val="20"/>
          <w:szCs w:val="20"/>
          <w:color w:val="auto"/>
        </w:rPr>
      </w:pPr>
    </w:p>
    <w:p>
      <w:pPr>
        <w:ind w:left="1000" w:hanging="551"/>
        <w:spacing w:after="0"/>
        <w:tabs>
          <w:tab w:leader="none" w:pos="10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of warrant agreement (as may be amended or supplemented from time to time, the “</w:t>
      </w:r>
      <w:r>
        <w:rPr>
          <w:rFonts w:ascii="Times New Roman" w:cs="Times New Roman" w:eastAsia="Times New Roman" w:hAnsi="Times New Roman"/>
          <w:sz w:val="17"/>
          <w:szCs w:val="17"/>
          <w:u w:val="single" w:color="auto"/>
          <w:color w:val="auto"/>
        </w:rPr>
        <w:t>Warrant Agreement</w:t>
      </w:r>
      <w:r>
        <w:rPr>
          <w:rFonts w:ascii="Times New Roman" w:cs="Times New Roman" w:eastAsia="Times New Roman" w:hAnsi="Times New Roman"/>
          <w:sz w:val="17"/>
          <w:szCs w:val="17"/>
          <w:color w:val="auto"/>
        </w:rPr>
        <w:t>”);</w:t>
      </w:r>
    </w:p>
    <w:p>
      <w:pPr>
        <w:spacing w:after="0" w:line="116"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of indenture governing the Debt Securities (as may be amended or supplemented from time to time,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w:t>
      </w:r>
    </w:p>
    <w:p>
      <w:pPr>
        <w:spacing w:after="0" w:line="116" w:lineRule="exact"/>
        <w:rPr>
          <w:rFonts w:ascii="Times New Roman" w:cs="Times New Roman" w:eastAsia="Times New Roman" w:hAnsi="Times New Roman"/>
          <w:sz w:val="17"/>
          <w:szCs w:val="17"/>
          <w:color w:val="auto"/>
        </w:rPr>
      </w:pPr>
    </w:p>
    <w:p>
      <w:pPr>
        <w:ind w:left="1000" w:right="100" w:hanging="551"/>
        <w:spacing w:after="0" w:line="270" w:lineRule="auto"/>
        <w:tabs>
          <w:tab w:leader="none" w:pos="10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good standing with respect to the Company issued by the State Department of Assessments and Taxation of Maryland as of a recent date; and</w:t>
      </w:r>
    </w:p>
    <w:p>
      <w:pPr>
        <w:spacing w:after="0" w:line="71" w:lineRule="exact"/>
        <w:rPr>
          <w:rFonts w:ascii="Times New Roman" w:cs="Times New Roman" w:eastAsia="Times New Roman" w:hAnsi="Times New Roman"/>
          <w:sz w:val="17"/>
          <w:szCs w:val="17"/>
          <w:color w:val="auto"/>
        </w:rPr>
      </w:pPr>
    </w:p>
    <w:p>
      <w:pPr>
        <w:ind w:left="1000" w:right="40" w:hanging="551"/>
        <w:spacing w:after="0" w:line="270" w:lineRule="auto"/>
        <w:tabs>
          <w:tab w:leader="none" w:pos="10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resolutions of the board of directors of the Company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relating to, among other things, the authorization and approval of the preparation and filing of the Registration Statement.</w:t>
      </w:r>
    </w:p>
    <w:p>
      <w:pPr>
        <w:spacing w:after="0" w:line="15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As to the facts upon which this opinion is based, we have relied, to the extent we deem proper, upon certificates of public officials and certificates and written statements of agents, officers, directors and representatives of the Company without having independently verified such factual matters.</w:t>
      </w:r>
    </w:p>
    <w:p>
      <w:pPr>
        <w:spacing w:after="0" w:line="15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 We have further assumed that there has been no oral modification of, or amendment or supplement (including any express or implied waiver, however arising) to, any of the agreements, documents or instruments used by us to form the basis of the opinion expressed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the basis of the foregoing and subject to the assumptions, qualifications and limitations set forth in this letter, we are of the opinion that:</w:t>
      </w:r>
    </w:p>
    <w:p>
      <w:pPr>
        <w:spacing w:after="0" w:line="229" w:lineRule="exact"/>
        <w:rPr>
          <w:sz w:val="20"/>
          <w:szCs w:val="20"/>
          <w:color w:val="auto"/>
        </w:rPr>
      </w:pPr>
    </w:p>
    <w:p>
      <w:pPr>
        <w:ind w:left="1000" w:right="360" w:hanging="551"/>
        <w:spacing w:after="0" w:line="251" w:lineRule="auto"/>
        <w:tabs>
          <w:tab w:leader="none" w:pos="10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Warrants, when (a) duly authorized, executed, authenticated, issued and sold in accordance with the Registration Statement and applicable Prospectus Supplement and the provisions of the Warrant Agreement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ectPr>
          <w:pgSz w:w="11900" w:h="16838" w:orient="portrait"/>
          <w:cols w:equalWidth="0" w:num="1">
            <w:col w:w="11240"/>
          </w:cols>
          <w:pgMar w:left="320" w:top="260" w:right="339" w:bottom="1440" w:gutter="0" w:footer="0" w:header="0"/>
        </w:sectPr>
      </w:pPr>
    </w:p>
    <w:bookmarkStart w:id="128" w:name="page129"/>
    <w:bookmarkEnd w:id="128"/>
    <w:p>
      <w:pPr>
        <w:ind w:left="95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7183755" cy="36195"/>
                    </a:xfrm>
                    <a:prstGeom prst="rect">
                      <a:avLst/>
                    </a:prstGeom>
                    <a:noFill/>
                  </pic:spPr>
                </pic:pic>
              </a:graphicData>
            </a:graphic>
          </wp:anchor>
        </w:drawing>
        <w:t>May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949960" cy="3244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949960" cy="324485"/>
                    </a:xfrm>
                    <a:prstGeom prst="rect">
                      <a:avLst/>
                    </a:prstGeom>
                    <a:noFill/>
                  </pic:spPr>
                </pic:pic>
              </a:graphicData>
            </a:graphic>
          </wp:anchor>
        </w:drawing>
      </w:r>
    </w:p>
    <w:p>
      <w:pPr>
        <w:spacing w:after="0" w:line="20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Page 3</w:t>
      </w:r>
    </w:p>
    <w:p>
      <w:pPr>
        <w:spacing w:after="0" w:line="154" w:lineRule="exact"/>
        <w:rPr>
          <w:sz w:val="20"/>
          <w:szCs w:val="20"/>
          <w:color w:val="auto"/>
        </w:rPr>
      </w:pPr>
    </w:p>
    <w:p>
      <w:pPr>
        <w:ind w:left="1000" w:right="80" w:hanging="551"/>
        <w:spacing w:after="0" w:line="257" w:lineRule="auto"/>
        <w:tabs>
          <w:tab w:leader="none" w:pos="10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Subscription Rights, when duly authorized by the Company and issued in accordance with the Registration Statement and applicable Prospectus Supplement and the provisions of an applicable subscription certificate and any applicable, valid and binding subscription agreement, will be valid and binding obligations of the Company enforceable against the Company in accordance with their respective terms.</w:t>
      </w:r>
    </w:p>
    <w:p>
      <w:pPr>
        <w:spacing w:after="0" w:line="82" w:lineRule="exact"/>
        <w:rPr>
          <w:rFonts w:ascii="Times New Roman" w:cs="Times New Roman" w:eastAsia="Times New Roman" w:hAnsi="Times New Roman"/>
          <w:sz w:val="17"/>
          <w:szCs w:val="17"/>
          <w:color w:val="auto"/>
        </w:rPr>
      </w:pPr>
    </w:p>
    <w:p>
      <w:pPr>
        <w:jc w:val="both"/>
        <w:ind w:left="1000" w:right="100" w:hanging="551"/>
        <w:spacing w:after="0" w:line="267" w:lineRule="auto"/>
        <w:tabs>
          <w:tab w:leader="none" w:pos="10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Debt Securities, when (a) duly authorized and executed by the Company and authenticated by the Trustee in accordance with the provisions of the Indenture and (x) issued and sold in accordance with the Registration Statement and applicable Prospectus Supplement or (y) issued upon exchange or conversion of Preferred Stock or upon exercise of Warrants as contemplated by the Registration Statement and applicable Prospectus Supplement and</w:t>
      </w:r>
    </w:p>
    <w:p>
      <w:pPr>
        <w:spacing w:after="0" w:line="1" w:lineRule="exact"/>
        <w:rPr>
          <w:rFonts w:ascii="Times New Roman" w:cs="Times New Roman" w:eastAsia="Times New Roman" w:hAnsi="Times New Roman"/>
          <w:sz w:val="16"/>
          <w:szCs w:val="16"/>
          <w:color w:val="auto"/>
        </w:rPr>
      </w:pPr>
    </w:p>
    <w:p>
      <w:pPr>
        <w:ind w:left="100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7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p>
      <w:pPr>
        <w:spacing w:after="0" w:line="71" w:lineRule="exact"/>
        <w:rPr>
          <w:sz w:val="20"/>
          <w:szCs w:val="20"/>
          <w:color w:val="auto"/>
        </w:rPr>
      </w:pPr>
    </w:p>
    <w:p>
      <w:pPr>
        <w:ind w:left="1000" w:hanging="551"/>
        <w:spacing w:after="0"/>
        <w:tabs>
          <w:tab w:leader="none" w:pos="10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duly incorporated and validly existing in good standing under the laws of the State of Maryland;</w:t>
      </w:r>
    </w:p>
    <w:p>
      <w:pPr>
        <w:spacing w:after="0" w:line="116"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including any appropriate committee appointed thereby and/or appropriate officers of the Company, shall have duly</w:t>
      </w:r>
    </w:p>
    <w:p>
      <w:pPr>
        <w:spacing w:after="0" w:line="20" w:lineRule="exact"/>
        <w:rPr>
          <w:rFonts w:ascii="Times New Roman" w:cs="Times New Roman" w:eastAsia="Times New Roman" w:hAnsi="Times New Roman"/>
          <w:sz w:val="17"/>
          <w:szCs w:val="17"/>
          <w:color w:val="auto"/>
        </w:rPr>
      </w:pPr>
    </w:p>
    <w:p>
      <w:pPr>
        <w:ind w:left="1000" w:right="64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established the terms of the Securities and (y) authorized and taken any other necessary corporate or other action to approve the creation, if applicable, issuance and sale of the Securities and related matters;</w:t>
      </w:r>
    </w:p>
    <w:p>
      <w:pPr>
        <w:spacing w:after="0" w:line="89" w:lineRule="exact"/>
        <w:rPr>
          <w:rFonts w:ascii="Times New Roman" w:cs="Times New Roman" w:eastAsia="Times New Roman" w:hAnsi="Times New Roman"/>
          <w:sz w:val="17"/>
          <w:szCs w:val="17"/>
          <w:color w:val="auto"/>
        </w:rPr>
      </w:pPr>
    </w:p>
    <w:p>
      <w:pPr>
        <w:ind w:left="1000" w:right="40" w:hanging="551"/>
        <w:spacing w:after="0" w:line="270" w:lineRule="auto"/>
        <w:tabs>
          <w:tab w:leader="none" w:pos="10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resolutions establishing the definitive terms of and authorizing the Company to register, offer, sell and issue the Securities shall remain in effect and unchanged at all times during which the Securities are offered, sold or issued by the Company;</w:t>
      </w:r>
    </w:p>
    <w:p>
      <w:pPr>
        <w:sectPr>
          <w:pgSz w:w="11900" w:h="16838" w:orient="portrait"/>
          <w:cols w:equalWidth="0" w:num="1">
            <w:col w:w="11120"/>
          </w:cols>
          <w:pgMar w:left="320" w:top="260" w:right="459" w:bottom="1440" w:gutter="0" w:footer="0" w:header="0"/>
        </w:sectPr>
      </w:pPr>
    </w:p>
    <w:bookmarkStart w:id="129" w:name="page130"/>
    <w:bookmarkEnd w:id="129"/>
    <w:p>
      <w:pPr>
        <w:ind w:left="9111"/>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7183755" cy="36195"/>
                    </a:xfrm>
                    <a:prstGeom prst="rect">
                      <a:avLst/>
                    </a:prstGeom>
                    <a:noFill/>
                  </pic:spPr>
                </pic:pic>
              </a:graphicData>
            </a:graphic>
          </wp:anchor>
        </w:drawing>
        <w:t>May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-113030</wp:posOffset>
            </wp:positionV>
            <wp:extent cx="949960" cy="324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949960" cy="324485"/>
                    </a:xfrm>
                    <a:prstGeom prst="rect">
                      <a:avLst/>
                    </a:prstGeom>
                    <a:noFill/>
                  </pic:spPr>
                </pic:pic>
              </a:graphicData>
            </a:graphic>
          </wp:anchor>
        </w:drawing>
      </w:r>
    </w:p>
    <w:p>
      <w:pPr>
        <w:spacing w:after="0" w:line="209" w:lineRule="exact"/>
        <w:rPr>
          <w:sz w:val="20"/>
          <w:szCs w:val="20"/>
          <w:color w:val="auto"/>
        </w:rPr>
      </w:pPr>
    </w:p>
    <w:p>
      <w:pPr>
        <w:ind w:left="9111"/>
        <w:spacing w:after="0"/>
        <w:rPr>
          <w:sz w:val="20"/>
          <w:szCs w:val="20"/>
          <w:color w:val="auto"/>
        </w:rPr>
      </w:pPr>
      <w:r>
        <w:rPr>
          <w:rFonts w:ascii="Times New Roman" w:cs="Times New Roman" w:eastAsia="Times New Roman" w:hAnsi="Times New Roman"/>
          <w:sz w:val="17"/>
          <w:szCs w:val="17"/>
          <w:color w:val="auto"/>
        </w:rPr>
        <w:t>Page 4</w:t>
      </w:r>
    </w:p>
    <w:p>
      <w:pPr>
        <w:spacing w:after="0" w:line="154" w:lineRule="exact"/>
        <w:rPr>
          <w:sz w:val="20"/>
          <w:szCs w:val="20"/>
          <w:color w:val="auto"/>
        </w:rPr>
      </w:pPr>
    </w:p>
    <w:p>
      <w:pPr>
        <w:ind w:left="551" w:right="80" w:hanging="551"/>
        <w:spacing w:after="0" w:line="257" w:lineRule="auto"/>
        <w:tabs>
          <w:tab w:leader="none" w:pos="55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of the issue of the Securities, such securities will not violate any law applicable to the Company or result in a default under or breach of any agreement or instrument then-binding upon the Company, and such securities will comply with all requirements and restrictions, if any, applicable to the Company, imposed by any court or governmental or regulatory body having jurisdiction over the Company;</w:t>
      </w:r>
    </w:p>
    <w:p>
      <w:pPr>
        <w:spacing w:after="0" w:line="82" w:lineRule="exact"/>
        <w:rPr>
          <w:rFonts w:ascii="Times New Roman" w:cs="Times New Roman" w:eastAsia="Times New Roman" w:hAnsi="Times New Roman"/>
          <w:sz w:val="17"/>
          <w:szCs w:val="17"/>
          <w:color w:val="auto"/>
        </w:rPr>
      </w:pPr>
    </w:p>
    <w:p>
      <w:pPr>
        <w:ind w:left="551" w:hanging="551"/>
        <w:spacing w:after="0" w:line="248" w:lineRule="auto"/>
        <w:tabs>
          <w:tab w:leader="none" w:pos="55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definitive terms of each class and series of the Securities not presently provided for in the Registration Statement or the Articles Incorporation of the Company and the terms of the issuance and sale of the Securities (x) shall have been duly established in accordance with all applicable law and the Articles of Incorporation and Bylaws of the Company, any Indenture, underwriting agreement, Warrant Agreement and subscription agreement and any other relevant agreement relating to the terms and the offer and sale of the Securities (collectively, the “</w:t>
      </w:r>
      <w:r>
        <w:rPr>
          <w:rFonts w:ascii="Times New Roman" w:cs="Times New Roman" w:eastAsia="Times New Roman" w:hAnsi="Times New Roman"/>
          <w:sz w:val="17"/>
          <w:szCs w:val="17"/>
          <w:u w:val="single" w:color="auto"/>
          <w:color w:val="auto"/>
        </w:rPr>
        <w:t>Documents</w:t>
      </w:r>
      <w:r>
        <w:rPr>
          <w:rFonts w:ascii="Times New Roman" w:cs="Times New Roman" w:eastAsia="Times New Roman" w:hAnsi="Times New Roman"/>
          <w:sz w:val="17"/>
          <w:szCs w:val="17"/>
          <w:color w:val="auto"/>
        </w:rPr>
        <w:t>”) and the authorizing resolutions of the Board of Directors, and reflected in appropriate documentation reviewed by us and (y) shall not violate any applicable law or the Documents (subject to the further assumption that such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so as to comply with any restriction imposed by any court or governmental body having jurisdiction over the Company;</w:t>
      </w:r>
    </w:p>
    <w:p>
      <w:pPr>
        <w:spacing w:after="0" w:line="90" w:lineRule="exact"/>
        <w:rPr>
          <w:rFonts w:ascii="Times New Roman" w:cs="Times New Roman" w:eastAsia="Times New Roman" w:hAnsi="Times New Roman"/>
          <w:sz w:val="17"/>
          <w:szCs w:val="17"/>
          <w:color w:val="auto"/>
        </w:rPr>
      </w:pPr>
    </w:p>
    <w:p>
      <w:pPr>
        <w:ind w:left="551" w:hanging="551"/>
        <w:spacing w:after="0"/>
        <w:tabs>
          <w:tab w:leader="none" w:pos="55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on the Debt Securities shall not be higher than the maximum lawful rate permitted from time to time under applicable law;</w:t>
      </w:r>
    </w:p>
    <w:p>
      <w:pPr>
        <w:spacing w:after="0" w:line="116" w:lineRule="exact"/>
        <w:rPr>
          <w:rFonts w:ascii="Times New Roman" w:cs="Times New Roman" w:eastAsia="Times New Roman" w:hAnsi="Times New Roman"/>
          <w:sz w:val="17"/>
          <w:szCs w:val="17"/>
          <w:color w:val="auto"/>
        </w:rPr>
      </w:pPr>
    </w:p>
    <w:p>
      <w:pPr>
        <w:ind w:left="551" w:right="100" w:hanging="551"/>
        <w:spacing w:after="0" w:line="274" w:lineRule="auto"/>
        <w:tabs>
          <w:tab w:leader="none" w:pos="551"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(including any Securities issuable upon exercise, conversion or exchange of other Securities) and any certificates representing the relevant Securities (including any Securities issuable upon exercise, conversion or exchange of other Securities) have been duly authenticated, executed, countersigned, registered and delivered upon payment of the agreed-upon legal consideration therefor and have been duly issued and sold in accordance with any relevant agreement and, if applicable, duly authorized, executed and delivered by the Company and any other appropriate party;</w:t>
      </w:r>
    </w:p>
    <w:p>
      <w:pPr>
        <w:spacing w:after="0" w:line="70" w:lineRule="exact"/>
        <w:rPr>
          <w:rFonts w:ascii="Times New Roman" w:cs="Times New Roman" w:eastAsia="Times New Roman" w:hAnsi="Times New Roman"/>
          <w:sz w:val="16"/>
          <w:szCs w:val="16"/>
          <w:color w:val="auto"/>
        </w:rPr>
      </w:pPr>
    </w:p>
    <w:p>
      <w:pPr>
        <w:ind w:left="551" w:right="180" w:hanging="551"/>
        <w:spacing w:after="0" w:line="270" w:lineRule="auto"/>
        <w:tabs>
          <w:tab w:leader="none" w:pos="55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Indenture, Warrant Agreement and subscription agreement and any other relevant agreement has been duly authorized, executed and delivered by, and will constitute a valid and binding obligation of, each party thereto (other than the Company);</w:t>
      </w:r>
    </w:p>
    <w:p>
      <w:pPr>
        <w:sectPr>
          <w:pgSz w:w="11900" w:h="16838" w:orient="portrait"/>
          <w:cols w:equalWidth="0" w:num="1">
            <w:col w:w="10791"/>
          </w:cols>
          <w:pgMar w:left="769" w:top="260" w:right="339" w:bottom="1440" w:gutter="0" w:footer="0" w:header="0"/>
        </w:sectPr>
      </w:pPr>
    </w:p>
    <w:bookmarkStart w:id="130" w:name="page131"/>
    <w:bookmarkEnd w:id="130"/>
    <w:p>
      <w:pPr>
        <w:ind w:left="95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7183755" cy="36195"/>
                    </a:xfrm>
                    <a:prstGeom prst="rect">
                      <a:avLst/>
                    </a:prstGeom>
                    <a:noFill/>
                  </pic:spPr>
                </pic:pic>
              </a:graphicData>
            </a:graphic>
          </wp:anchor>
        </w:drawing>
        <w:t>May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949960" cy="3244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949960" cy="324485"/>
                    </a:xfrm>
                    <a:prstGeom prst="rect">
                      <a:avLst/>
                    </a:prstGeom>
                    <a:noFill/>
                  </pic:spPr>
                </pic:pic>
              </a:graphicData>
            </a:graphic>
          </wp:anchor>
        </w:drawing>
      </w:r>
    </w:p>
    <w:p>
      <w:pPr>
        <w:spacing w:after="0" w:line="20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Page 5</w:t>
      </w:r>
    </w:p>
    <w:p>
      <w:pPr>
        <w:spacing w:after="0" w:line="154" w:lineRule="exact"/>
        <w:rPr>
          <w:sz w:val="20"/>
          <w:szCs w:val="20"/>
          <w:color w:val="auto"/>
        </w:rPr>
      </w:pPr>
    </w:p>
    <w:p>
      <w:pPr>
        <w:ind w:left="1000" w:right="120" w:hanging="551"/>
        <w:spacing w:after="0" w:line="270" w:lineRule="auto"/>
        <w:tabs>
          <w:tab w:leader="none" w:pos="10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as amended (including all necessary post-effective amendments), and any additional registration statement filed under Rule 462 under the Securities Act, shall be effective under the Securities Act, and such effectiveness shall not have been terminated or rescinded;</w:t>
      </w:r>
    </w:p>
    <w:p>
      <w:pPr>
        <w:spacing w:after="0" w:line="71" w:lineRule="exact"/>
        <w:rPr>
          <w:rFonts w:ascii="Times New Roman" w:cs="Times New Roman" w:eastAsia="Times New Roman" w:hAnsi="Times New Roman"/>
          <w:sz w:val="17"/>
          <w:szCs w:val="17"/>
          <w:color w:val="auto"/>
        </w:rPr>
      </w:pPr>
    </w:p>
    <w:p>
      <w:pPr>
        <w:ind w:left="1000" w:right="160" w:hanging="551"/>
        <w:spacing w:after="0" w:line="270" w:lineRule="auto"/>
        <w:tabs>
          <w:tab w:leader="none" w:pos="10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appropriate Prospectus Supplement shall have been prepared, delivered and filed in compliance with the Securities Act and the applicable rules and regulations thereunder describing the Securities offered thereby;</w:t>
      </w:r>
    </w:p>
    <w:p>
      <w:pPr>
        <w:spacing w:after="0" w:line="71" w:lineRule="exact"/>
        <w:rPr>
          <w:rFonts w:ascii="Times New Roman" w:cs="Times New Roman" w:eastAsia="Times New Roman" w:hAnsi="Times New Roman"/>
          <w:sz w:val="17"/>
          <w:szCs w:val="17"/>
          <w:color w:val="auto"/>
        </w:rPr>
      </w:pPr>
    </w:p>
    <w:p>
      <w:pPr>
        <w:ind w:left="1000" w:right="80" w:hanging="551"/>
        <w:spacing w:after="0" w:line="257" w:lineRule="auto"/>
        <w:tabs>
          <w:tab w:leader="none" w:pos="10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p>
      <w:pPr>
        <w:spacing w:after="0" w:line="82" w:lineRule="exact"/>
        <w:rPr>
          <w:rFonts w:ascii="Times New Roman" w:cs="Times New Roman" w:eastAsia="Times New Roman" w:hAnsi="Times New Roman"/>
          <w:sz w:val="17"/>
          <w:szCs w:val="17"/>
          <w:color w:val="auto"/>
        </w:rPr>
      </w:pPr>
    </w:p>
    <w:p>
      <w:pPr>
        <w:jc w:val="both"/>
        <w:ind w:left="1000" w:right="20" w:hanging="551"/>
        <w:spacing w:after="0" w:line="257" w:lineRule="auto"/>
        <w:tabs>
          <w:tab w:leader="none" w:pos="10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has been duly authorized, executed and delivered by the Company and the other parties thereto;</w:t>
      </w:r>
    </w:p>
    <w:p>
      <w:pPr>
        <w:spacing w:after="0" w:line="82"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Indenture shall have been duly qualified under the Trust Indenture Act of 1939, as amended; and</w:t>
      </w:r>
    </w:p>
    <w:p>
      <w:pPr>
        <w:spacing w:after="0" w:line="116" w:lineRule="exact"/>
        <w:rPr>
          <w:rFonts w:ascii="Times New Roman" w:cs="Times New Roman" w:eastAsia="Times New Roman" w:hAnsi="Times New Roman"/>
          <w:sz w:val="17"/>
          <w:szCs w:val="17"/>
          <w:color w:val="auto"/>
        </w:rPr>
      </w:pPr>
    </w:p>
    <w:p>
      <w:pPr>
        <w:ind w:left="1000" w:hanging="551"/>
        <w:spacing w:after="0" w:line="270" w:lineRule="auto"/>
        <w:tabs>
          <w:tab w:leader="none" w:pos="10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agreement or instrument pursuant to which any Securities are to be issued, there shall be no terms or provisions contained therein which would affect the validity of any of the opinions rendered herein.</w:t>
      </w:r>
    </w:p>
    <w:p>
      <w:pPr>
        <w:spacing w:after="0" w:line="15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 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ectPr>
          <w:pgSz w:w="11900" w:h="16838" w:orient="portrait"/>
          <w:cols w:equalWidth="0" w:num="1">
            <w:col w:w="11180"/>
          </w:cols>
          <w:pgMar w:left="320" w:top="260" w:right="399" w:bottom="1440" w:gutter="0" w:footer="0" w:header="0"/>
        </w:sectPr>
      </w:pPr>
    </w:p>
    <w:bookmarkStart w:id="131" w:name="page132"/>
    <w:bookmarkEnd w:id="131"/>
    <w:p>
      <w:pPr>
        <w:ind w:left="95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7183755" cy="36195"/>
                    </a:xfrm>
                    <a:prstGeom prst="rect">
                      <a:avLst/>
                    </a:prstGeom>
                    <a:noFill/>
                  </pic:spPr>
                </pic:pic>
              </a:graphicData>
            </a:graphic>
          </wp:anchor>
        </w:drawing>
        <w:t>May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949960" cy="324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949960" cy="324485"/>
                    </a:xfrm>
                    <a:prstGeom prst="rect">
                      <a:avLst/>
                    </a:prstGeom>
                    <a:noFill/>
                  </pic:spPr>
                </pic:pic>
              </a:graphicData>
            </a:graphic>
          </wp:anchor>
        </w:drawing>
      </w:r>
    </w:p>
    <w:p>
      <w:pPr>
        <w:spacing w:after="0" w:line="20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Page 6</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foregoing opinions are limited to the laws of the State of New York. We express no opinion concerning the laws of any other jurisdiction, and we express no opinion concerning any state securities or “blue sky” laws, rules or regulations, or any federal, state, local or foreign laws, rules or regulations relating to the offer and/or sale of the Securities.</w:t>
      </w:r>
    </w:p>
    <w:p>
      <w:pPr>
        <w:spacing w:after="0" w:line="170"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The opinions expressed herein are based upon the law as in effect and the documentation and facts known to us on the date hereof. We have not undertaken to advise you of any subsequent changes in the law or of any facts that hereafter may come to our attention.</w:t>
      </w:r>
    </w:p>
    <w:p>
      <w:pPr>
        <w:spacing w:after="0" w:line="159"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This opinion letter has been prepared for your use solely in connection with the Registration Statement. We assume no obligation to advise you of any changes in the foregoing subsequent to the effectiveness of the Registration Statement.</w:t>
      </w:r>
    </w:p>
    <w:p>
      <w:pPr>
        <w:spacing w:after="0" w:line="159"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Dechert LLP</w:t>
      </w:r>
    </w:p>
    <w:p>
      <w:pPr>
        <w:sectPr>
          <w:pgSz w:w="11900" w:h="16838" w:orient="portrait"/>
          <w:cols w:equalWidth="0" w:num="1">
            <w:col w:w="11240"/>
          </w:cols>
          <w:pgMar w:left="320" w:top="26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b w:val="1"/>
          <w:bCs w:val="1"/>
          <w:color w:val="auto"/>
        </w:rPr>
        <w:t>Exhibit (n)(1)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N-2 and related Prospectus of PennantPark Floating Rate Capital Ltd. (the Company) of our reports dated December 7, 2023, relating to the consolidated financial statements and the effectiveness of internal control over financial reporting (on which our report expresses an adverse opinion on the effectiveness of the Company’s internal control over financial reporting because of material weaknesses) of PennantPark Floating Rate Capital Ltd. and Subsidiaries, appearing in the Annual Report on Form 10-K of the Company for the year ended September 30, 2023. We also consent to the incorporation by reference in such Registration Statement of our report dated December 7, 2023, relating to the senior securities table appearing in the Annual Report on Form 10-K of PennantPark Floating Rate Capital Ltd. for the year ended September 30, 2023.</w:t>
      </w:r>
    </w:p>
    <w:p>
      <w:pPr>
        <w:spacing w:after="0" w:line="175" w:lineRule="exact"/>
        <w:rPr>
          <w:sz w:val="20"/>
          <w:szCs w:val="20"/>
          <w:color w:val="auto"/>
        </w:rPr>
      </w:pPr>
    </w:p>
    <w:p>
      <w:pPr>
        <w:ind w:right="720"/>
        <w:spacing w:after="0" w:line="270" w:lineRule="auto"/>
        <w:rPr>
          <w:sz w:val="20"/>
          <w:szCs w:val="20"/>
          <w:color w:val="auto"/>
        </w:rPr>
      </w:pPr>
      <w:r>
        <w:rPr>
          <w:rFonts w:ascii="Times New Roman" w:cs="Times New Roman" w:eastAsia="Times New Roman" w:hAnsi="Times New Roman"/>
          <w:sz w:val="17"/>
          <w:szCs w:val="17"/>
          <w:color w:val="auto"/>
        </w:rPr>
        <w:t>We also consent to the reference to our firm under the headings “Senior Securities” and “Independent Registered Public Accounting Firm” in this Registration Statement.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RSM US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24, 2024</w:t>
      </w:r>
    </w:p>
    <w:p>
      <w:pPr>
        <w:sectPr>
          <w:pgSz w:w="11900" w:h="16838" w:orient="portrait"/>
          <w:cols w:equalWidth="0" w:num="1">
            <w:col w:w="11240"/>
          </w:cols>
          <w:pgMar w:left="320" w:top="119"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7"/>
          <w:szCs w:val="17"/>
          <w:b w:val="1"/>
          <w:bCs w:val="1"/>
          <w:color w:val="auto"/>
        </w:rPr>
        <w:t>Exhibit (n)(2)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Auditor</w:t>
      </w:r>
    </w:p>
    <w:p>
      <w:pPr>
        <w:spacing w:after="0" w:line="20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N-2 of PennantPark Floating Rate Capital Ltd. of our reports dated December 7, 2023 and November 17, 2022, relating to the consolidated financial statements of PennantPark Senior Secured Loan Fund I LLC, appearing in Exhibits 99.3 and 99.4 in the Annual Report on Form 10-K of PennantPark Floating Rate Capital Ltd. for the year ended September 30,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our firm under the heading “Independent Auditor” in this Registration Statement.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RSM US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24, 2024</w:t>
      </w:r>
    </w:p>
    <w:p>
      <w:pPr>
        <w:sectPr>
          <w:pgSz w:w="11900" w:h="16838" w:orient="portrait"/>
          <w:cols w:equalWidth="0" w:num="1">
            <w:col w:w="11240"/>
          </w:cols>
          <w:pgMar w:left="320" w:top="119" w:right="339" w:bottom="1440" w:gutter="0" w:footer="0" w:header="0"/>
        </w:sectPr>
      </w:pPr>
    </w:p>
    <w:bookmarkStart w:id="134" w:name="page135"/>
    <w:bookmarkEnd w:id="134"/>
    <w:p>
      <w:pPr>
        <w:ind w:left="10320"/>
        <w:spacing w:after="0"/>
        <w:rPr>
          <w:sz w:val="20"/>
          <w:szCs w:val="20"/>
          <w:color w:val="auto"/>
        </w:rPr>
      </w:pPr>
      <w:r>
        <w:rPr>
          <w:rFonts w:ascii="Times New Roman" w:cs="Times New Roman" w:eastAsia="Times New Roman" w:hAnsi="Times New Roman"/>
          <w:sz w:val="17"/>
          <w:szCs w:val="17"/>
          <w:b w:val="1"/>
          <w:bCs w:val="1"/>
          <w:color w:val="auto"/>
        </w:rPr>
        <w:t>Exhibit (s)(6)</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Calculation of Filing Fees Tables</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Form N-2</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(Form Type)</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PennantPark Floating Rate Capital Ltd.</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Registration as Specified in its Charter)</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Table 1: Newly Registered Securities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920" w:type="dxa"/>
            <w:vAlign w:val="bottom"/>
            <w:tcBorders>
              <w:top w:val="single" w:sz="8" w:color="auto"/>
              <w:left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58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128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50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112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w w:val="97"/>
              </w:rPr>
              <w:t>Filing Fee</w:t>
            </w:r>
          </w:p>
        </w:tc>
      </w:tr>
      <w:tr>
        <w:trPr>
          <w:trHeight w:val="125"/>
        </w:trPr>
        <w:tc>
          <w:tcPr>
            <w:tcW w:w="92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Previously</w:t>
            </w:r>
          </w:p>
        </w:tc>
      </w:tr>
      <w:tr>
        <w:trPr>
          <w:trHeight w:val="125"/>
        </w:trPr>
        <w:tc>
          <w:tcPr>
            <w:tcW w:w="92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4"/>
              </w:rPr>
              <w:t>Paid in</w:t>
            </w:r>
          </w:p>
        </w:tc>
      </w:tr>
      <w:tr>
        <w:trPr>
          <w:trHeight w:val="125"/>
        </w:trPr>
        <w:tc>
          <w:tcPr>
            <w:tcW w:w="92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Connection</w:t>
            </w:r>
          </w:p>
        </w:tc>
      </w:tr>
      <w:tr>
        <w:trPr>
          <w:trHeight w:val="125"/>
        </w:trPr>
        <w:tc>
          <w:tcPr>
            <w:tcW w:w="92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3"/>
              </w:rPr>
              <w:t>with</w:t>
            </w:r>
          </w:p>
        </w:tc>
      </w:tr>
      <w:tr>
        <w:trPr>
          <w:trHeight w:val="125"/>
        </w:trPr>
        <w:tc>
          <w:tcPr>
            <w:tcW w:w="92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rPr>
              <w:t>Carry</w:t>
            </w:r>
          </w:p>
        </w:tc>
        <w:tc>
          <w:tcPr>
            <w:tcW w:w="8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Unsold</w:t>
            </w:r>
          </w:p>
        </w:tc>
      </w:tr>
      <w:tr>
        <w:trPr>
          <w:trHeight w:val="128"/>
        </w:trPr>
        <w:tc>
          <w:tcPr>
            <w:tcW w:w="920" w:type="dxa"/>
            <w:vAlign w:val="bottom"/>
            <w:tcBorders>
              <w:left w:val="single" w:sz="8" w:color="auto"/>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2"/>
              </w:rPr>
              <w:t>Fee</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8"/>
              </w:rPr>
              <w:t>Proposed</w:t>
            </w:r>
          </w:p>
        </w:tc>
        <w:tc>
          <w:tcPr>
            <w:tcW w:w="12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3"/>
              </w:rPr>
              <w:t>Proposed</w:t>
            </w:r>
          </w:p>
        </w:tc>
        <w:tc>
          <w:tcPr>
            <w:tcW w:w="8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Carry</w:t>
            </w:r>
          </w:p>
        </w:tc>
        <w:tc>
          <w:tcPr>
            <w:tcW w:w="8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8"/>
              </w:rPr>
              <w:t>Forward</w:t>
            </w:r>
          </w:p>
        </w:tc>
        <w:tc>
          <w:tcPr>
            <w:tcW w:w="8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7"/>
              </w:rPr>
              <w:t>Securities</w:t>
            </w:r>
          </w:p>
        </w:tc>
      </w:tr>
      <w:tr>
        <w:trPr>
          <w:trHeight w:val="125"/>
        </w:trPr>
        <w:tc>
          <w:tcPr>
            <w:tcW w:w="92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Calculation or</w:t>
            </w:r>
          </w:p>
        </w:tc>
        <w:tc>
          <w:tcPr>
            <w:tcW w:w="58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6"/>
              </w:rPr>
              <w:t>Amount</w:t>
            </w:r>
          </w:p>
        </w:tc>
        <w:tc>
          <w:tcPr>
            <w:tcW w:w="7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5"/>
              </w:rPr>
              <w:t>Maximum</w:t>
            </w:r>
          </w:p>
        </w:tc>
        <w:tc>
          <w:tcPr>
            <w:tcW w:w="128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Maximum</w:t>
            </w:r>
          </w:p>
        </w:tc>
        <w:tc>
          <w:tcPr>
            <w:tcW w:w="8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3"/>
              </w:rPr>
              <w:t>Forward</w:t>
            </w:r>
          </w:p>
        </w:tc>
        <w:tc>
          <w:tcPr>
            <w:tcW w:w="8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rPr>
              <w:t>Carry</w:t>
            </w:r>
          </w:p>
        </w:tc>
        <w:tc>
          <w:tcPr>
            <w:tcW w:w="112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Initial</w:t>
            </w:r>
          </w:p>
        </w:tc>
        <w:tc>
          <w:tcPr>
            <w:tcW w:w="8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2"/>
              </w:rPr>
              <w:t>to be</w:t>
            </w:r>
          </w:p>
        </w:tc>
      </w:tr>
      <w:tr>
        <w:trPr>
          <w:trHeight w:val="125"/>
        </w:trPr>
        <w:tc>
          <w:tcPr>
            <w:tcW w:w="92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4"/>
              </w:rPr>
              <w:t>Security</w:t>
            </w:r>
          </w:p>
        </w:tc>
        <w:tc>
          <w:tcPr>
            <w:tcW w:w="100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4"/>
              </w:rPr>
              <w:t>Security</w:t>
            </w:r>
          </w:p>
        </w:tc>
        <w:tc>
          <w:tcPr>
            <w:tcW w:w="7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5"/>
              </w:rPr>
              <w:t>Carry Forward</w:t>
            </w:r>
          </w:p>
        </w:tc>
        <w:tc>
          <w:tcPr>
            <w:tcW w:w="58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7"/>
              </w:rPr>
              <w:t>Being</w:t>
            </w:r>
          </w:p>
        </w:tc>
        <w:tc>
          <w:tcPr>
            <w:tcW w:w="740" w:type="dxa"/>
            <w:vAlign w:val="bottom"/>
            <w:tcBorders>
              <w:right w:val="single" w:sz="8" w:color="auto"/>
            </w:tcBorders>
          </w:tcPr>
          <w:p>
            <w:pPr>
              <w:jc w:val="right"/>
              <w:spacing w:after="0" w:line="125" w:lineRule="exact"/>
              <w:rPr>
                <w:sz w:val="20"/>
                <w:szCs w:val="20"/>
                <w:color w:val="auto"/>
              </w:rPr>
            </w:pPr>
            <w:r>
              <w:rPr>
                <w:rFonts w:ascii="Times New Roman" w:cs="Times New Roman" w:eastAsia="Times New Roman" w:hAnsi="Times New Roman"/>
                <w:sz w:val="12"/>
                <w:szCs w:val="12"/>
                <w:color w:val="auto"/>
              </w:rPr>
              <w:t>Offering Price</w:t>
            </w:r>
          </w:p>
        </w:tc>
        <w:tc>
          <w:tcPr>
            <w:tcW w:w="128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Aggregate</w:t>
            </w:r>
          </w:p>
        </w:tc>
        <w:tc>
          <w:tcPr>
            <w:tcW w:w="8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9"/>
              </w:rPr>
              <w:t>Amount of</w:t>
            </w:r>
          </w:p>
        </w:tc>
        <w:tc>
          <w:tcPr>
            <w:tcW w:w="50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2"/>
              </w:rPr>
              <w:t>Form</w:t>
            </w:r>
          </w:p>
        </w:tc>
        <w:tc>
          <w:tcPr>
            <w:tcW w:w="8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8"/>
              </w:rPr>
              <w:t>Forward</w:t>
            </w:r>
          </w:p>
        </w:tc>
        <w:tc>
          <w:tcPr>
            <w:tcW w:w="112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5"/>
              </w:rPr>
              <w:t>Effective</w:t>
            </w:r>
          </w:p>
        </w:tc>
        <w:tc>
          <w:tcPr>
            <w:tcW w:w="86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color w:val="auto"/>
                <w:w w:val="94"/>
              </w:rPr>
              <w:t>Carried</w:t>
            </w:r>
          </w:p>
        </w:tc>
      </w:tr>
      <w:tr>
        <w:trPr>
          <w:trHeight w:val="162"/>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Type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Class 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Rule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Registered </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Per Unit</w:t>
            </w:r>
          </w:p>
        </w:tc>
        <w:tc>
          <w:tcPr>
            <w:tcW w:w="1280" w:type="dxa"/>
            <w:vAlign w:val="bottom"/>
            <w:tcBorders>
              <w:bottom w:val="single" w:sz="8" w:color="auto"/>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2"/>
                <w:szCs w:val="12"/>
                <w:color w:val="auto"/>
                <w:w w:val="94"/>
              </w:rPr>
              <w:t>Offering Price</w:t>
            </w:r>
            <w:r>
              <w:rPr>
                <w:rFonts w:ascii="Times New Roman" w:cs="Times New Roman" w:eastAsia="Times New Roman" w:hAnsi="Times New Roman"/>
                <w:sz w:val="17"/>
                <w:szCs w:val="17"/>
                <w:color w:val="auto"/>
                <w:w w:val="94"/>
                <w:vertAlign w:val="superscript"/>
              </w:rPr>
              <w:t>(1)</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Fee Rate</w:t>
            </w:r>
          </w:p>
        </w:tc>
        <w:tc>
          <w:tcPr>
            <w:tcW w:w="960" w:type="dxa"/>
            <w:vAlign w:val="bottom"/>
            <w:tcBorders>
              <w:bottom w:val="single" w:sz="8" w:color="auto"/>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2"/>
                <w:szCs w:val="12"/>
                <w:color w:val="auto"/>
                <w:w w:val="95"/>
              </w:rPr>
              <w:t>Registration Fee</w:t>
            </w:r>
            <w:r>
              <w:rPr>
                <w:rFonts w:ascii="Times New Roman" w:cs="Times New Roman" w:eastAsia="Times New Roman" w:hAnsi="Times New Roman"/>
                <w:sz w:val="17"/>
                <w:szCs w:val="17"/>
                <w:color w:val="auto"/>
                <w:w w:val="95"/>
                <w:vertAlign w:val="superscript"/>
              </w:rPr>
              <w:t>(1)</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Type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File Number</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Date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Forward</w:t>
            </w:r>
          </w:p>
        </w:tc>
      </w:tr>
      <w:tr>
        <w:trPr>
          <w:trHeight w:val="188"/>
        </w:trPr>
        <w:tc>
          <w:tcPr>
            <w:tcW w:w="92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7"/>
              </w:rPr>
              <w:t>Common</w:t>
            </w:r>
          </w:p>
        </w:tc>
        <w:tc>
          <w:tcPr>
            <w:tcW w:w="7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0"/>
        </w:trPr>
        <w:tc>
          <w:tcPr>
            <w:tcW w:w="920" w:type="dxa"/>
            <w:vAlign w:val="bottom"/>
            <w:tcBorders>
              <w:left w:val="single" w:sz="8" w:color="auto"/>
              <w:right w:val="single" w:sz="8" w:color="auto"/>
            </w:tcBorders>
          </w:tcPr>
          <w:p>
            <w:pPr>
              <w:jc w:val="center"/>
              <w:ind w:left="37"/>
              <w:spacing w:after="0"/>
              <w:rPr>
                <w:sz w:val="20"/>
                <w:szCs w:val="20"/>
                <w:color w:val="auto"/>
              </w:rPr>
            </w:pPr>
            <w:r>
              <w:rPr>
                <w:rFonts w:ascii="Times New Roman" w:cs="Times New Roman" w:eastAsia="Times New Roman" w:hAnsi="Times New Roman"/>
                <w:sz w:val="17"/>
                <w:szCs w:val="17"/>
                <w:color w:val="auto"/>
                <w:w w:val="98"/>
              </w:rPr>
              <w:t>Fees to be</w:t>
            </w: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Stock, $0.001</w:t>
            </w:r>
          </w:p>
        </w:tc>
        <w:tc>
          <w:tcPr>
            <w:tcW w:w="76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41"/>
        </w:trPr>
        <w:tc>
          <w:tcPr>
            <w:tcW w:w="920" w:type="dxa"/>
            <w:vAlign w:val="bottom"/>
            <w:tcBorders>
              <w:left w:val="single" w:sz="8" w:color="auto"/>
              <w:bottom w:val="single" w:sz="8" w:color="auto"/>
              <w:right w:val="single" w:sz="8" w:color="auto"/>
            </w:tcBorders>
          </w:tcPr>
          <w:p>
            <w:pPr>
              <w:jc w:val="center"/>
              <w:ind w:left="37"/>
              <w:spacing w:after="0"/>
              <w:rPr>
                <w:sz w:val="20"/>
                <w:szCs w:val="20"/>
                <w:color w:val="auto"/>
              </w:rPr>
            </w:pPr>
            <w:r>
              <w:rPr>
                <w:rFonts w:ascii="Times New Roman" w:cs="Times New Roman" w:eastAsia="Times New Roman" w:hAnsi="Times New Roman"/>
                <w:sz w:val="17"/>
                <w:szCs w:val="17"/>
                <w:color w:val="auto"/>
                <w:w w:val="92"/>
              </w:rPr>
              <w:t>Paid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100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par value</w:t>
            </w:r>
            <w:r>
              <w:rPr>
                <w:rFonts w:ascii="Times New Roman" w:cs="Times New Roman" w:eastAsia="Times New Roman" w:hAnsi="Times New Roman"/>
                <w:sz w:val="24"/>
                <w:szCs w:val="24"/>
                <w:color w:val="auto"/>
                <w:w w:val="93"/>
                <w:vertAlign w:val="superscript"/>
              </w:rPr>
              <w:t>(2)</w:t>
            </w:r>
          </w:p>
        </w:tc>
        <w:tc>
          <w:tcPr>
            <w:tcW w:w="76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188"/>
        </w:trPr>
        <w:tc>
          <w:tcPr>
            <w:tcW w:w="92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7"/>
              </w:rPr>
              <w:t>Preferred</w:t>
            </w:r>
          </w:p>
        </w:tc>
        <w:tc>
          <w:tcPr>
            <w:tcW w:w="7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0"/>
        </w:trPr>
        <w:tc>
          <w:tcPr>
            <w:tcW w:w="9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Stock, $0.001</w:t>
            </w:r>
          </w:p>
        </w:tc>
        <w:tc>
          <w:tcPr>
            <w:tcW w:w="76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100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par value</w:t>
            </w:r>
            <w:r>
              <w:rPr>
                <w:rFonts w:ascii="Times New Roman" w:cs="Times New Roman" w:eastAsia="Times New Roman" w:hAnsi="Times New Roman"/>
                <w:sz w:val="24"/>
                <w:szCs w:val="24"/>
                <w:color w:val="auto"/>
                <w:w w:val="93"/>
                <w:vertAlign w:val="superscript"/>
              </w:rPr>
              <w:t>(2)</w:t>
            </w:r>
          </w:p>
        </w:tc>
        <w:tc>
          <w:tcPr>
            <w:tcW w:w="76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17"/>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1000" w:type="dxa"/>
            <w:vAlign w:val="bottom"/>
            <w:tcBorders>
              <w:bottom w:val="single" w:sz="8" w:color="auto"/>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7"/>
                <w:szCs w:val="17"/>
                <w:color w:val="auto"/>
                <w:w w:val="91"/>
              </w:rPr>
              <w:t>Warrants</w:t>
            </w:r>
            <w:r>
              <w:rPr>
                <w:rFonts w:ascii="Times New Roman" w:cs="Times New Roman" w:eastAsia="Times New Roman" w:hAnsi="Times New Roman"/>
                <w:sz w:val="24"/>
                <w:szCs w:val="24"/>
                <w:color w:val="auto"/>
                <w:w w:val="91"/>
                <w:vertAlign w:val="superscript"/>
              </w:rPr>
              <w:t>(2)</w:t>
            </w:r>
          </w:p>
        </w:tc>
        <w:tc>
          <w:tcPr>
            <w:tcW w:w="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188"/>
        </w:trPr>
        <w:tc>
          <w:tcPr>
            <w:tcW w:w="92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7"/>
              </w:rPr>
              <w:t>Subscription</w:t>
            </w:r>
          </w:p>
        </w:tc>
        <w:tc>
          <w:tcPr>
            <w:tcW w:w="7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100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1"/>
              </w:rPr>
              <w:t>Rights</w:t>
            </w:r>
            <w:r>
              <w:rPr>
                <w:rFonts w:ascii="Times New Roman" w:cs="Times New Roman" w:eastAsia="Times New Roman" w:hAnsi="Times New Roman"/>
                <w:sz w:val="24"/>
                <w:szCs w:val="24"/>
                <w:color w:val="auto"/>
                <w:w w:val="91"/>
                <w:vertAlign w:val="superscript"/>
              </w:rPr>
              <w:t>(3)</w:t>
            </w:r>
          </w:p>
        </w:tc>
        <w:tc>
          <w:tcPr>
            <w:tcW w:w="76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188"/>
        </w:trPr>
        <w:tc>
          <w:tcPr>
            <w:tcW w:w="92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6"/>
              </w:rPr>
              <w:t>Debt</w:t>
            </w:r>
          </w:p>
        </w:tc>
        <w:tc>
          <w:tcPr>
            <w:tcW w:w="7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100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Securities</w:t>
            </w:r>
            <w:r>
              <w:rPr>
                <w:rFonts w:ascii="Times New Roman" w:cs="Times New Roman" w:eastAsia="Times New Roman" w:hAnsi="Times New Roman"/>
                <w:sz w:val="24"/>
                <w:szCs w:val="24"/>
                <w:color w:val="auto"/>
                <w:w w:val="93"/>
                <w:vertAlign w:val="superscript"/>
              </w:rPr>
              <w:t>(4)</w:t>
            </w:r>
          </w:p>
        </w:tc>
        <w:tc>
          <w:tcPr>
            <w:tcW w:w="76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188"/>
        </w:trPr>
        <w:tc>
          <w:tcPr>
            <w:tcW w:w="92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7"/>
              </w:rPr>
              <w:t>Unallocated</w:t>
            </w:r>
          </w:p>
        </w:tc>
        <w:tc>
          <w:tcPr>
            <w:tcW w:w="10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7"/>
              </w:rPr>
              <w:t>Unallocated</w:t>
            </w:r>
          </w:p>
        </w:tc>
        <w:tc>
          <w:tcPr>
            <w:tcW w:w="7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0"/>
        </w:trPr>
        <w:tc>
          <w:tcPr>
            <w:tcW w:w="9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(Universal)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(Universal)</w:t>
            </w:r>
          </w:p>
        </w:tc>
        <w:tc>
          <w:tcPr>
            <w:tcW w:w="76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35"/>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Shelf</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$798,159,140</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0.00014760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 $117,808.29 </w:t>
            </w: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194"/>
        </w:trPr>
        <w:tc>
          <w:tcPr>
            <w:tcW w:w="920" w:type="dxa"/>
            <w:vAlign w:val="bottom"/>
            <w:tcBorders>
              <w:left w:val="single" w:sz="8" w:color="auto"/>
              <w:right w:val="single" w:sz="8" w:color="auto"/>
            </w:tcBorders>
          </w:tcPr>
          <w:p>
            <w:pPr>
              <w:jc w:val="center"/>
              <w:ind w:left="37"/>
              <w:spacing w:after="0" w:line="194" w:lineRule="exact"/>
              <w:rPr>
                <w:sz w:val="20"/>
                <w:szCs w:val="20"/>
                <w:color w:val="auto"/>
              </w:rPr>
            </w:pPr>
            <w:r>
              <w:rPr>
                <w:rFonts w:ascii="Times New Roman" w:cs="Times New Roman" w:eastAsia="Times New Roman" w:hAnsi="Times New Roman"/>
                <w:sz w:val="17"/>
                <w:szCs w:val="17"/>
                <w:color w:val="auto"/>
              </w:rPr>
              <w:t>Fees</w:t>
            </w: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0"/>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Previously</w:t>
            </w: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35"/>
        </w:trPr>
        <w:tc>
          <w:tcPr>
            <w:tcW w:w="920" w:type="dxa"/>
            <w:vAlign w:val="bottom"/>
            <w:tcBorders>
              <w:left w:val="single" w:sz="8" w:color="auto"/>
              <w:bottom w:val="single" w:sz="8" w:color="auto"/>
              <w:right w:val="single" w:sz="8" w:color="auto"/>
            </w:tcBorders>
          </w:tcPr>
          <w:p>
            <w:pPr>
              <w:jc w:val="center"/>
              <w:ind w:left="37"/>
              <w:spacing w:after="0"/>
              <w:rPr>
                <w:sz w:val="20"/>
                <w:szCs w:val="20"/>
                <w:color w:val="auto"/>
              </w:rPr>
            </w:pPr>
            <w:r>
              <w:rPr>
                <w:rFonts w:ascii="Times New Roman" w:cs="Times New Roman" w:eastAsia="Times New Roman" w:hAnsi="Times New Roman"/>
                <w:sz w:val="17"/>
                <w:szCs w:val="17"/>
                <w:color w:val="auto"/>
                <w:w w:val="92"/>
              </w:rPr>
              <w:t>Paid</w:t>
            </w: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194"/>
        </w:trPr>
        <w:tc>
          <w:tcPr>
            <w:tcW w:w="920" w:type="dxa"/>
            <w:vAlign w:val="bottom"/>
            <w:tcBorders>
              <w:left w:val="single" w:sz="8" w:color="auto"/>
              <w:right w:val="single" w:sz="8" w:color="auto"/>
            </w:tcBorders>
          </w:tcPr>
          <w:p>
            <w:pPr>
              <w:jc w:val="center"/>
              <w:ind w:left="57"/>
              <w:spacing w:after="0" w:line="194" w:lineRule="exact"/>
              <w:rPr>
                <w:sz w:val="20"/>
                <w:szCs w:val="20"/>
                <w:color w:val="auto"/>
              </w:rPr>
            </w:pPr>
            <w:r>
              <w:rPr>
                <w:rFonts w:ascii="Times New Roman" w:cs="Times New Roman" w:eastAsia="Times New Roman" w:hAnsi="Times New Roman"/>
                <w:sz w:val="17"/>
                <w:szCs w:val="17"/>
                <w:color w:val="auto"/>
                <w:w w:val="98"/>
              </w:rPr>
              <w:t>Carry</w:t>
            </w: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7"/>
              </w:rPr>
              <w:t>Common</w:t>
            </w:r>
          </w:p>
        </w:tc>
        <w:tc>
          <w:tcPr>
            <w:tcW w:w="7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0"/>
        </w:trPr>
        <w:tc>
          <w:tcPr>
            <w:tcW w:w="920" w:type="dxa"/>
            <w:vAlign w:val="bottom"/>
            <w:tcBorders>
              <w:left w:val="single" w:sz="8" w:color="auto"/>
              <w:right w:val="single" w:sz="8" w:color="auto"/>
            </w:tcBorders>
          </w:tcPr>
          <w:p>
            <w:pPr>
              <w:jc w:val="center"/>
              <w:ind w:left="37"/>
              <w:spacing w:after="0"/>
              <w:rPr>
                <w:sz w:val="20"/>
                <w:szCs w:val="20"/>
                <w:color w:val="auto"/>
              </w:rPr>
            </w:pPr>
            <w:r>
              <w:rPr>
                <w:rFonts w:ascii="Times New Roman" w:cs="Times New Roman" w:eastAsia="Times New Roman" w:hAnsi="Times New Roman"/>
                <w:sz w:val="17"/>
                <w:szCs w:val="17"/>
                <w:color w:val="auto"/>
                <w:w w:val="97"/>
              </w:rPr>
              <w:t>Forward</w:t>
            </w: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Stock, $0.001</w:t>
            </w:r>
          </w:p>
        </w:tc>
        <w:tc>
          <w:tcPr>
            <w:tcW w:w="76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41"/>
        </w:trPr>
        <w:tc>
          <w:tcPr>
            <w:tcW w:w="920" w:type="dxa"/>
            <w:vAlign w:val="bottom"/>
            <w:tcBorders>
              <w:left w:val="single" w:sz="8" w:color="auto"/>
              <w:bottom w:val="single" w:sz="8" w:color="auto"/>
              <w:right w:val="single" w:sz="8" w:color="auto"/>
            </w:tcBorders>
          </w:tcPr>
          <w:p>
            <w:pPr>
              <w:jc w:val="center"/>
              <w:ind w:left="37"/>
              <w:spacing w:after="0"/>
              <w:rPr>
                <w:sz w:val="20"/>
                <w:szCs w:val="20"/>
                <w:color w:val="auto"/>
              </w:rPr>
            </w:pPr>
            <w:r>
              <w:rPr>
                <w:rFonts w:ascii="Times New Roman" w:cs="Times New Roman" w:eastAsia="Times New Roman" w:hAnsi="Times New Roman"/>
                <w:sz w:val="17"/>
                <w:szCs w:val="17"/>
                <w:color w:val="auto"/>
                <w:w w:val="95"/>
              </w:rPr>
              <w:t>Securities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100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par value</w:t>
            </w:r>
            <w:r>
              <w:rPr>
                <w:rFonts w:ascii="Times New Roman" w:cs="Times New Roman" w:eastAsia="Times New Roman" w:hAnsi="Times New Roman"/>
                <w:sz w:val="24"/>
                <w:szCs w:val="24"/>
                <w:color w:val="auto"/>
                <w:w w:val="93"/>
                <w:vertAlign w:val="superscript"/>
              </w:rPr>
              <w:t>(2)</w:t>
            </w:r>
          </w:p>
        </w:tc>
        <w:tc>
          <w:tcPr>
            <w:tcW w:w="76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188"/>
        </w:trPr>
        <w:tc>
          <w:tcPr>
            <w:tcW w:w="92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7"/>
              </w:rPr>
              <w:t>Preferred</w:t>
            </w:r>
          </w:p>
        </w:tc>
        <w:tc>
          <w:tcPr>
            <w:tcW w:w="7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0"/>
        </w:trPr>
        <w:tc>
          <w:tcPr>
            <w:tcW w:w="9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Stock, $0.001</w:t>
            </w:r>
          </w:p>
        </w:tc>
        <w:tc>
          <w:tcPr>
            <w:tcW w:w="76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100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par value</w:t>
            </w:r>
            <w:r>
              <w:rPr>
                <w:rFonts w:ascii="Times New Roman" w:cs="Times New Roman" w:eastAsia="Times New Roman" w:hAnsi="Times New Roman"/>
                <w:sz w:val="24"/>
                <w:szCs w:val="24"/>
                <w:color w:val="auto"/>
                <w:w w:val="93"/>
                <w:vertAlign w:val="superscript"/>
              </w:rPr>
              <w:t>(2)</w:t>
            </w:r>
          </w:p>
        </w:tc>
        <w:tc>
          <w:tcPr>
            <w:tcW w:w="76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17"/>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1000" w:type="dxa"/>
            <w:vAlign w:val="bottom"/>
            <w:tcBorders>
              <w:bottom w:val="single" w:sz="8" w:color="auto"/>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7"/>
                <w:szCs w:val="17"/>
                <w:color w:val="auto"/>
                <w:w w:val="91"/>
              </w:rPr>
              <w:t>Warrants</w:t>
            </w:r>
            <w:r>
              <w:rPr>
                <w:rFonts w:ascii="Times New Roman" w:cs="Times New Roman" w:eastAsia="Times New Roman" w:hAnsi="Times New Roman"/>
                <w:sz w:val="24"/>
                <w:szCs w:val="24"/>
                <w:color w:val="auto"/>
                <w:w w:val="91"/>
                <w:vertAlign w:val="superscript"/>
              </w:rPr>
              <w:t>(2)</w:t>
            </w:r>
          </w:p>
        </w:tc>
        <w:tc>
          <w:tcPr>
            <w:tcW w:w="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188"/>
        </w:trPr>
        <w:tc>
          <w:tcPr>
            <w:tcW w:w="92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7"/>
              </w:rPr>
              <w:t>Subscription</w:t>
            </w:r>
          </w:p>
        </w:tc>
        <w:tc>
          <w:tcPr>
            <w:tcW w:w="7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100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1"/>
              </w:rPr>
              <w:t>Rights</w:t>
            </w:r>
            <w:r>
              <w:rPr>
                <w:rFonts w:ascii="Times New Roman" w:cs="Times New Roman" w:eastAsia="Times New Roman" w:hAnsi="Times New Roman"/>
                <w:sz w:val="24"/>
                <w:szCs w:val="24"/>
                <w:color w:val="auto"/>
                <w:w w:val="91"/>
                <w:vertAlign w:val="superscript"/>
              </w:rPr>
              <w:t>(3)</w:t>
            </w:r>
          </w:p>
        </w:tc>
        <w:tc>
          <w:tcPr>
            <w:tcW w:w="7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188"/>
        </w:trPr>
        <w:tc>
          <w:tcPr>
            <w:tcW w:w="92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6"/>
              </w:rPr>
              <w:t>Debt</w:t>
            </w:r>
          </w:p>
        </w:tc>
        <w:tc>
          <w:tcPr>
            <w:tcW w:w="7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100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3"/>
              </w:rPr>
              <w:t>Securities</w:t>
            </w:r>
            <w:r>
              <w:rPr>
                <w:rFonts w:ascii="Times New Roman" w:cs="Times New Roman" w:eastAsia="Times New Roman" w:hAnsi="Times New Roman"/>
                <w:sz w:val="24"/>
                <w:szCs w:val="24"/>
                <w:color w:val="auto"/>
                <w:w w:val="93"/>
                <w:vertAlign w:val="superscript"/>
              </w:rPr>
              <w:t>(4)</w:t>
            </w:r>
          </w:p>
        </w:tc>
        <w:tc>
          <w:tcPr>
            <w:tcW w:w="76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188"/>
        </w:trPr>
        <w:tc>
          <w:tcPr>
            <w:tcW w:w="92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7"/>
              </w:rPr>
              <w:t>Unallocated</w:t>
            </w:r>
          </w:p>
        </w:tc>
        <w:tc>
          <w:tcPr>
            <w:tcW w:w="10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7"/>
              </w:rPr>
              <w:t>Unallocated</w:t>
            </w:r>
          </w:p>
        </w:tc>
        <w:tc>
          <w:tcPr>
            <w:tcW w:w="7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0"/>
        </w:trPr>
        <w:tc>
          <w:tcPr>
            <w:tcW w:w="9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(Universal)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(Universal)</w:t>
            </w:r>
          </w:p>
        </w:tc>
        <w:tc>
          <w:tcPr>
            <w:tcW w:w="76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Shelf</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 415(a)(6) </w:t>
            </w: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7"/>
                <w:szCs w:val="17"/>
                <w:color w:val="auto"/>
                <w:w w:val="94"/>
              </w:rPr>
              <w:t>$201,840,860</w:t>
            </w:r>
            <w:r>
              <w:rPr>
                <w:rFonts w:ascii="Times New Roman" w:cs="Times New Roman" w:eastAsia="Times New Roman" w:hAnsi="Times New Roman"/>
                <w:sz w:val="24"/>
                <w:szCs w:val="24"/>
                <w:color w:val="auto"/>
                <w:w w:val="94"/>
                <w:vertAlign w:val="superscript"/>
              </w:rPr>
              <w:t>(5)</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0.00011020 </w:t>
            </w:r>
          </w:p>
        </w:tc>
        <w:tc>
          <w:tcPr>
            <w:tcW w:w="96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0"/>
              </w:rPr>
              <w:t>N-2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333-268813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January 9, 2023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$22,242.86</w:t>
            </w:r>
          </w:p>
        </w:tc>
      </w:tr>
      <w:tr>
        <w:trPr>
          <w:trHeight w:val="217"/>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Total Offering Amount </w:t>
            </w:r>
          </w:p>
        </w:tc>
        <w:tc>
          <w:tcPr>
            <w:tcW w:w="1280" w:type="dxa"/>
            <w:vAlign w:val="bottom"/>
            <w:tcBorders>
              <w:bottom w:val="single" w:sz="8" w:color="auto"/>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17"/>
                <w:szCs w:val="17"/>
                <w:color w:val="auto"/>
                <w:w w:val="97"/>
              </w:rPr>
              <w:t>$1,000,000,000</w:t>
            </w:r>
            <w:r>
              <w:rPr>
                <w:rFonts w:ascii="Times New Roman" w:cs="Times New Roman" w:eastAsia="Times New Roman" w:hAnsi="Times New Roman"/>
                <w:sz w:val="24"/>
                <w:szCs w:val="24"/>
                <w:color w:val="auto"/>
                <w:w w:val="97"/>
                <w:vertAlign w:val="superscript"/>
              </w:rPr>
              <w:t>(6)</w:t>
            </w:r>
            <w:r>
              <w:rPr>
                <w:rFonts w:ascii="Times New Roman" w:cs="Times New Roman" w:eastAsia="Times New Roman" w:hAnsi="Times New Roman"/>
                <w:sz w:val="17"/>
                <w:szCs w:val="17"/>
                <w:color w:val="auto"/>
                <w:w w:val="97"/>
              </w:rPr>
              <w:t xml:space="preserve"> </w:t>
            </w:r>
          </w:p>
        </w:tc>
        <w:tc>
          <w:tcPr>
            <w:tcW w:w="8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$117,808.29</w:t>
            </w:r>
          </w:p>
        </w:tc>
        <w:tc>
          <w:tcPr>
            <w:tcW w:w="5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13"/>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Total Fees Previously Paid </w:t>
            </w: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17"/>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Total Fee Offsets </w:t>
            </w: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17"/>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Net Fee Due </w:t>
            </w:r>
          </w:p>
        </w:tc>
        <w:tc>
          <w:tcPr>
            <w:tcW w:w="12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$117,808.29</w:t>
            </w:r>
          </w:p>
        </w:tc>
        <w:tc>
          <w:tcPr>
            <w:tcW w:w="5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bl>
    <w:p>
      <w:pPr>
        <w:spacing w:after="0" w:line="96" w:lineRule="exact"/>
        <w:rPr>
          <w:sz w:val="20"/>
          <w:szCs w:val="20"/>
          <w:color w:val="auto"/>
        </w:rPr>
      </w:pPr>
    </w:p>
    <w:p>
      <w:pPr>
        <w:ind w:left="440" w:right="120" w:hanging="440"/>
        <w:spacing w:after="0" w:line="270" w:lineRule="auto"/>
        <w:tabs>
          <w:tab w:leader="none" w:pos="4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71" w:lineRule="exact"/>
        <w:rPr>
          <w:rFonts w:ascii="Times New Roman" w:cs="Times New Roman" w:eastAsia="Times New Roman" w:hAnsi="Times New Roman"/>
          <w:sz w:val="17"/>
          <w:szCs w:val="17"/>
          <w:color w:val="auto"/>
        </w:rPr>
      </w:pPr>
    </w:p>
    <w:p>
      <w:pPr>
        <w:ind w:left="440" w:right="400" w:hanging="440"/>
        <w:spacing w:after="0" w:line="270" w:lineRule="auto"/>
        <w:tabs>
          <w:tab w:leader="none" w:pos="4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spacing w:after="0" w:line="71" w:lineRule="exact"/>
        <w:rPr>
          <w:rFonts w:ascii="Times New Roman" w:cs="Times New Roman" w:eastAsia="Times New Roman" w:hAnsi="Times New Roman"/>
          <w:sz w:val="17"/>
          <w:szCs w:val="17"/>
          <w:color w:val="auto"/>
        </w:rPr>
      </w:pPr>
    </w:p>
    <w:p>
      <w:pPr>
        <w:ind w:left="440" w:right="160" w:hanging="440"/>
        <w:spacing w:after="0" w:line="270" w:lineRule="auto"/>
        <w:tabs>
          <w:tab w:leader="none" w:pos="4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Note 6 below, there is being registered hereunder an indeterminate number of subscription rights as may be sold, from time to time, representing rights to purchase common stock.</w:t>
      </w:r>
    </w:p>
    <w:p>
      <w:pPr>
        <w:spacing w:after="0" w:line="71" w:lineRule="exact"/>
        <w:rPr>
          <w:rFonts w:ascii="Times New Roman" w:cs="Times New Roman" w:eastAsia="Times New Roman" w:hAnsi="Times New Roman"/>
          <w:sz w:val="17"/>
          <w:szCs w:val="17"/>
          <w:color w:val="auto"/>
        </w:rPr>
      </w:pPr>
    </w:p>
    <w:p>
      <w:pPr>
        <w:ind w:left="440" w:right="160" w:hanging="440"/>
        <w:spacing w:after="0" w:line="257" w:lineRule="auto"/>
        <w:tabs>
          <w:tab w:leader="none" w:pos="4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$1,000,000,000.</w:t>
      </w:r>
    </w:p>
    <w:p>
      <w:pPr>
        <w:spacing w:after="0" w:line="82" w:lineRule="exact"/>
        <w:rPr>
          <w:rFonts w:ascii="Times New Roman" w:cs="Times New Roman" w:eastAsia="Times New Roman" w:hAnsi="Times New Roman"/>
          <w:sz w:val="17"/>
          <w:szCs w:val="17"/>
          <w:color w:val="auto"/>
        </w:rPr>
      </w:pPr>
    </w:p>
    <w:p>
      <w:pPr>
        <w:ind w:left="440" w:right="220" w:hanging="440"/>
        <w:spacing w:after="0" w:line="255" w:lineRule="auto"/>
        <w:tabs>
          <w:tab w:leader="none" w:pos="4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415(a)(6) under the Securities Act, this registration statement includes $201,840,860 aggregate principal offering price of unsold securities (the “Unsold Securities”) that were previously registered for sale under a Registration Statement initially filed on December 15, 2022, on Form N-2 (File</w:t>
      </w:r>
    </w:p>
    <w:p>
      <w:pPr>
        <w:ind w:left="440" w:right="26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333-268813) and declared effective on January 9, 2023 (the “Prior Registration Statement”). The Registrant previously paid filing fees in the aggregate of $22,242.86 relating to the Unsold Securities. Pursuant to Rule 415(a)(6) under the Securities Act, the filing fee previously paid with respect to the Unsold Securities will continue to be applied to such Unsold Securities. Pursuant to Rule 415(a)(6) under the Securities Act, the offering of Unsold Securities under the Prior Registration Statement will be deemed terminated as of the date of effectiveness of this registration statement.</w:t>
      </w:r>
    </w:p>
    <w:p>
      <w:pPr>
        <w:spacing w:after="0" w:line="92" w:lineRule="exact"/>
        <w:rPr>
          <w:rFonts w:ascii="Times New Roman" w:cs="Times New Roman" w:eastAsia="Times New Roman" w:hAnsi="Times New Roman"/>
          <w:sz w:val="17"/>
          <w:szCs w:val="17"/>
          <w:color w:val="auto"/>
        </w:rPr>
      </w:pPr>
    </w:p>
    <w:p>
      <w:pPr>
        <w:ind w:left="440" w:hanging="440"/>
        <w:spacing w:after="0"/>
        <w:tabs>
          <w:tab w:leader="none" w:pos="4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will the aggregate offering price of all securities issued from time to time pursuant to this registration statement exceed $1,000,000,000.</w:t>
      </w:r>
    </w:p>
    <w:sectPr>
      <w:pgSz w:w="11900" w:h="16838" w:orient="portrait"/>
      <w:cols w:equalWidth="0" w:num="1">
        <w:col w:w="11340"/>
      </w:cols>
      <w:pgMar w:left="32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7"/>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decimal"/>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1)"/>
      <w:numFmt w:val="decimal"/>
      <w:start w:val="1"/>
    </w:lvl>
  </w:abstractNum>
  <w:abstractNum w:abstractNumId="13">
    <w:nsid w:val="235BA861"/>
    <w:multiLevelType w:val="hybridMultilevel"/>
    <w:lvl w:ilvl="0">
      <w:lvlJc w:val="left"/>
      <w:lvlText w:val="(%1)"/>
      <w:numFmt w:val="decimal"/>
      <w:start w:val="1"/>
    </w:lvl>
  </w:abstractNum>
  <w:abstractNum w:abstractNumId="14">
    <w:nsid w:val="47398C89"/>
    <w:multiLevelType w:val="hybridMultilevel"/>
    <w:lvl w:ilvl="0">
      <w:lvlJc w:val="left"/>
      <w:lvlText w:val="(%1)"/>
      <w:numFmt w:val="decimal"/>
      <w:start w:val="2"/>
    </w:lvl>
  </w:abstractNum>
  <w:abstractNum w:abstractNumId="15">
    <w:nsid w:val="354FE9F9"/>
    <w:multiLevelType w:val="hybridMultilevel"/>
    <w:lvl w:ilvl="0">
      <w:lvlJc w:val="left"/>
      <w:lvlText w:val="(%1)"/>
      <w:numFmt w:val="decimal"/>
      <w:start w:val="1"/>
    </w:lvl>
  </w:abstractNum>
  <w:abstractNum w:abstractNumId="16">
    <w:nsid w:val="15B5AF5C"/>
    <w:multiLevelType w:val="hybridMultilevel"/>
    <w:lvl w:ilvl="0">
      <w:lvlJc w:val="left"/>
      <w:lvlText w:val="(%1)"/>
      <w:numFmt w:val="decimal"/>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lvl w:ilvl="1">
      <w:lvlJc w:val="left"/>
      <w:lvlText w:val="%2)"/>
      <w:numFmt w:val="decimal"/>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1)"/>
      <w:numFmt w:val="lowerLetter"/>
      <w:start w:val="1"/>
    </w:lvl>
  </w:abstractNum>
  <w:abstractNum w:abstractNumId="50">
    <w:nsid w:val="BF72B14"/>
    <w:multiLevelType w:val="hybridMultilevel"/>
    <w:lvl w:ilvl="0">
      <w:lvlJc w:val="left"/>
      <w:lvlText w:val="(%1)"/>
      <w:numFmt w:val="lowerLetter"/>
      <w:start w:val="10"/>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1)"/>
      <w:numFmt w:val="decimal"/>
      <w:start w:val="1"/>
    </w:lvl>
  </w:abstractNum>
  <w:abstractNum w:abstractNumId="53">
    <w:nsid w:val="A0382C5"/>
    <w:multiLevelType w:val="hybridMultilevel"/>
    <w:lvl w:ilvl="0">
      <w:lvlJc w:val="left"/>
      <w:lvlText w:val="(%1)"/>
      <w:numFmt w:val="decimal"/>
      <w:start w:val="2"/>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1)"/>
      <w:numFmt w:val="lowerLetter"/>
      <w:start w:val="1"/>
    </w:lvl>
  </w:abstractNum>
  <w:abstractNum w:abstractNumId="57">
    <w:nsid w:val="68EB2F63"/>
    <w:multiLevelType w:val="hybridMultilevel"/>
    <w:lvl w:ilvl="0">
      <w:lvlJc w:val="left"/>
      <w:lvlText w:val="(%1)"/>
      <w:numFmt w:val="lowerLetter"/>
      <w:start w:val="2"/>
    </w:lvl>
  </w:abstractNum>
  <w:abstractNum w:abstractNumId="58">
    <w:nsid w:val="4962813B"/>
    <w:multiLevelType w:val="hybridMultilevel"/>
    <w:lvl w:ilvl="0">
      <w:lvlJc w:val="left"/>
      <w:lvlText w:val="%1."/>
      <w:numFmt w:val="decimal"/>
      <w:start w:val="1"/>
    </w:lvl>
  </w:abstractNum>
  <w:abstractNum w:abstractNumId="59">
    <w:nsid w:val="60B6DF70"/>
    <w:multiLevelType w:val="hybridMultilevel"/>
    <w:lvl w:ilvl="0">
      <w:lvlJc w:val="left"/>
      <w:lvlText w:val="%1."/>
      <w:numFmt w:val="decimal"/>
      <w:start w:val="4"/>
    </w:lvl>
  </w:abstractNum>
  <w:abstractNum w:abstractNumId="60">
    <w:nsid w:val="6A5EE64"/>
    <w:multiLevelType w:val="hybridMultilevel"/>
    <w:lvl w:ilvl="0">
      <w:lvlJc w:val="left"/>
      <w:lvlText w:val="(%1)"/>
      <w:numFmt w:val="lowerRoman"/>
      <w:start w:val="1"/>
    </w:lvl>
  </w:abstractNum>
  <w:abstractNum w:abstractNumId="61">
    <w:nsid w:val="14330624"/>
    <w:multiLevelType w:val="hybridMultilevel"/>
    <w:lvl w:ilvl="0">
      <w:lvlJc w:val="left"/>
      <w:lvlText w:val="(%1)"/>
      <w:numFmt w:val="lowerRoman"/>
      <w:start w:val="1"/>
    </w:lvl>
  </w:abstractNum>
  <w:abstractNum w:abstractNumId="62">
    <w:nsid w:val="7FFFCA11"/>
    <w:multiLevelType w:val="hybridMultilevel"/>
    <w:lvl w:ilvl="0">
      <w:lvlJc w:val="left"/>
      <w:lvlText w:val="(%1)"/>
      <w:numFmt w:val="lowerRoman"/>
      <w:start w:val="2"/>
    </w:lvl>
  </w:abstractNum>
  <w:abstractNum w:abstractNumId="63">
    <w:nsid w:val="1A27709E"/>
    <w:multiLevelType w:val="hybridMultilevel"/>
    <w:lvl w:ilvl="0">
      <w:lvlJc w:val="left"/>
      <w:lvlText w:val="(%1)"/>
      <w:numFmt w:val="lowerRoman"/>
      <w:start w:val="1"/>
    </w:lvl>
  </w:abstractNum>
  <w:abstractNum w:abstractNumId="64">
    <w:nsid w:val="71EA1109"/>
    <w:multiLevelType w:val="hybridMultilevel"/>
    <w:lvl w:ilvl="0">
      <w:lvlJc w:val="left"/>
      <w:lvlText w:val="(%1)"/>
      <w:numFmt w:val="lowerRoman"/>
      <w:start w:val="1"/>
    </w:lvl>
  </w:abstractNum>
  <w:abstractNum w:abstractNumId="65">
    <w:nsid w:val="100F59DC"/>
    <w:multiLevelType w:val="hybridMultilevel"/>
    <w:lvl w:ilvl="0">
      <w:lvlJc w:val="left"/>
      <w:lvlText w:val="%1."/>
      <w:numFmt w:val="decimal"/>
      <w:start w:val="1"/>
    </w:lvl>
  </w:abstractNum>
  <w:abstractNum w:abstractNumId="66">
    <w:nsid w:val="7FB7E0AA"/>
    <w:multiLevelType w:val="hybridMultilevel"/>
    <w:lvl w:ilvl="0">
      <w:lvlJc w:val="left"/>
      <w:lvlText w:val="(%1)"/>
      <w:numFmt w:val="lowerLetter"/>
      <w:start w:val="1"/>
    </w:lvl>
  </w:abstractNum>
  <w:abstractNum w:abstractNumId="67">
    <w:nsid w:val="6EB5BD4"/>
    <w:multiLevelType w:val="hybridMultilevel"/>
    <w:lvl w:ilvl="0">
      <w:lvlJc w:val="left"/>
      <w:lvlText w:val="(%1)"/>
      <w:numFmt w:val="lowerLetter"/>
      <w:start w:val="9"/>
    </w:lvl>
  </w:abstractNum>
  <w:abstractNum w:abstractNumId="68">
    <w:nsid w:val="6F6DD9AC"/>
    <w:multiLevelType w:val="hybridMultilevel"/>
    <w:lvl w:ilvl="0">
      <w:lvlJc w:val="left"/>
      <w:lvlText w:val="(%1)"/>
      <w:numFmt w:val="lowerLetter"/>
      <w:start w:val="35"/>
    </w:lvl>
  </w:abstractNum>
  <w:abstractNum w:abstractNumId="69">
    <w:nsid w:val="94211F2"/>
    <w:multiLevelType w:val="hybridMultilevel"/>
    <w:lvl w:ilvl="0">
      <w:lvlJc w:val="left"/>
      <w:lvlText w:val="(%1)"/>
      <w:numFmt w:val="lowerLetter"/>
      <w:start w:val="2"/>
    </w:lvl>
  </w:abstractNum>
  <w:abstractNum w:abstractNumId="70">
    <w:nsid w:val="885E1B"/>
    <w:multiLevelType w:val="hybridMultilevel"/>
    <w:lvl w:ilvl="0">
      <w:lvlJc w:val="left"/>
      <w:lvlText w:val="%1."/>
      <w:numFmt w:val="decimal"/>
      <w:start w:val="2"/>
    </w:lvl>
  </w:abstractNum>
  <w:abstractNum w:abstractNumId="71">
    <w:nsid w:val="76272110"/>
    <w:multiLevelType w:val="hybridMultilevel"/>
    <w:lvl w:ilvl="0">
      <w:lvlJc w:val="left"/>
      <w:lvlText w:val="%1."/>
      <w:numFmt w:val="decimal"/>
      <w:start w:val="3"/>
    </w:lvl>
  </w:abstractNum>
  <w:abstractNum w:abstractNumId="72">
    <w:nsid w:val="4C04A8AF"/>
    <w:multiLevelType w:val="hybridMultilevel"/>
    <w:lvl w:ilvl="0">
      <w:lvlJc w:val="left"/>
      <w:lvlText w:val="(%1)"/>
      <w:numFmt w:val="lowerLetter"/>
      <w:start w:val="1"/>
    </w:lvl>
    <w:lvl w:ilvl="1">
      <w:lvlJc w:val="left"/>
      <w:lvlText w:val="(%2)"/>
      <w:numFmt w:val="lowerLetter"/>
      <w:start w:val="9"/>
    </w:lvl>
  </w:abstractNum>
  <w:abstractNum w:abstractNumId="73">
    <w:nsid w:val="1716703B"/>
    <w:multiLevelType w:val="hybridMultilevel"/>
    <w:lvl w:ilvl="0">
      <w:lvlJc w:val="left"/>
      <w:lvlText w:val="%1"/>
      <w:numFmt w:val="decimal"/>
      <w:start w:val="1"/>
    </w:lvl>
    <w:lvl w:ilvl="1">
      <w:lvlJc w:val="left"/>
      <w:lvlText w:val="(%2)"/>
      <w:numFmt w:val="lowerRoman"/>
      <w:start w:val="2"/>
    </w:lvl>
  </w:abstractNum>
  <w:abstractNum w:abstractNumId="74">
    <w:nsid w:val="14E17E33"/>
    <w:multiLevelType w:val="hybridMultilevel"/>
    <w:lvl w:ilvl="0">
      <w:lvlJc w:val="left"/>
      <w:lvlText w:val="%1."/>
      <w:numFmt w:val="decimal"/>
      <w:start w:val="4"/>
    </w:lvl>
    <w:lvl w:ilvl="1">
      <w:lvlJc w:val="left"/>
      <w:lvlText w:val="%2"/>
      <w:numFmt w:val="lowerRoman"/>
      <w:start w:val="1"/>
    </w:lvl>
  </w:abstractNum>
  <w:abstractNum w:abstractNumId="75">
    <w:nsid w:val="3222E7CD"/>
    <w:multiLevelType w:val="hybridMultilevel"/>
    <w:lvl w:ilvl="0">
      <w:lvlJc w:val="left"/>
      <w:lvlText w:val="%1."/>
      <w:numFmt w:val="decimal"/>
      <w:start w:val="7"/>
    </w:lvl>
  </w:abstractNum>
  <w:abstractNum w:abstractNumId="76">
    <w:nsid w:val="74DE0EE3"/>
    <w:multiLevelType w:val="hybridMultilevel"/>
    <w:lvl w:ilvl="0">
      <w:lvlJc w:val="left"/>
      <w:lvlText w:val="%1."/>
      <w:numFmt w:val="decimal"/>
      <w:start w:val="9"/>
    </w:lvl>
  </w:abstractNum>
  <w:abstractNum w:abstractNumId="77">
    <w:nsid w:val="68EBC550"/>
    <w:multiLevelType w:val="hybridMultilevel"/>
    <w:lvl w:ilvl="0">
      <w:lvlJc w:val="left"/>
      <w:lvlText w:val="%1."/>
      <w:numFmt w:val="decimal"/>
      <w:start w:val="1"/>
    </w:lvl>
  </w:abstractNum>
  <w:abstractNum w:abstractNumId="78">
    <w:nsid w:val="2DF6D648"/>
    <w:multiLevelType w:val="hybridMultilevel"/>
    <w:lvl w:ilvl="0">
      <w:lvlJc w:val="left"/>
      <w:lvlText w:val="(%1)"/>
      <w:numFmt w:val="lowerLetter"/>
      <w:start w:val="1"/>
    </w:lvl>
  </w:abstractNum>
  <w:abstractNum w:abstractNumId="79">
    <w:nsid w:val="46B7D447"/>
    <w:multiLevelType w:val="hybridMultilevel"/>
    <w:lvl w:ilvl="0">
      <w:lvlJc w:val="left"/>
      <w:lvlText w:val="%1."/>
      <w:numFmt w:val="decimal"/>
      <w:start w:val="2"/>
    </w:lvl>
  </w:abstractNum>
  <w:abstractNum w:abstractNumId="80">
    <w:nsid w:val="4A2AC315"/>
    <w:multiLevelType w:val="hybridMultilevel"/>
    <w:lvl w:ilvl="0">
      <w:lvlJc w:val="left"/>
      <w:lvlText w:val="%1."/>
      <w:numFmt w:val="decimal"/>
      <w:start w:val="3"/>
    </w:lvl>
  </w:abstractNum>
  <w:abstractNum w:abstractNumId="81">
    <w:nsid w:val="39EE015C"/>
    <w:multiLevelType w:val="hybridMultilevel"/>
    <w:lvl w:ilvl="0">
      <w:lvlJc w:val="left"/>
      <w:lvlText w:val="%1."/>
      <w:numFmt w:val="decimal"/>
      <w:start w:val="4"/>
    </w:lvl>
  </w:abstractNum>
  <w:abstractNum w:abstractNumId="82">
    <w:nsid w:val="57FC4FBB"/>
    <w:multiLevelType w:val="hybridMultilevel"/>
    <w:lvl w:ilvl="0">
      <w:lvlJc w:val="left"/>
      <w:lvlText w:val="%1."/>
      <w:numFmt w:val="decimal"/>
      <w:start w:val="5"/>
    </w:lvl>
  </w:abstractNum>
  <w:abstractNum w:abstractNumId="83">
    <w:nsid w:val="CC1016F"/>
    <w:multiLevelType w:val="hybridMultilevel"/>
    <w:lvl w:ilvl="0">
      <w:lvlJc w:val="left"/>
      <w:lvlText w:val="%1."/>
      <w:numFmt w:val="decimal"/>
      <w:start w:val="6"/>
    </w:lvl>
  </w:abstractNum>
  <w:abstractNum w:abstractNumId="84">
    <w:nsid w:val="43F18422"/>
    <w:multiLevelType w:val="hybridMultilevel"/>
    <w:lvl w:ilvl="0">
      <w:lvlJc w:val="left"/>
      <w:lvlText w:val="%1."/>
      <w:numFmt w:val="decimal"/>
      <w:start w:val="7"/>
    </w:lvl>
  </w:abstractNum>
  <w:abstractNum w:abstractNumId="85">
    <w:nsid w:val="60EF0119"/>
    <w:multiLevelType w:val="hybridMultilevel"/>
    <w:lvl w:ilvl="0">
      <w:lvlJc w:val="left"/>
      <w:lvlText w:val="%1."/>
      <w:numFmt w:val="decimal"/>
      <w:start w:val="8"/>
    </w:lvl>
  </w:abstractNum>
  <w:abstractNum w:abstractNumId="86">
    <w:nsid w:val="26F324BA"/>
    <w:multiLevelType w:val="hybridMultilevel"/>
    <w:lvl w:ilvl="0">
      <w:lvlJc w:val="left"/>
      <w:lvlText w:val="%1."/>
      <w:numFmt w:val="decimal"/>
      <w:start w:val="9"/>
    </w:lvl>
  </w:abstractNum>
  <w:abstractNum w:abstractNumId="87">
    <w:nsid w:val="7F01579B"/>
    <w:multiLevelType w:val="hybridMultilevel"/>
    <w:lvl w:ilvl="0">
      <w:lvlJc w:val="left"/>
      <w:lvlText w:val="%1."/>
      <w:numFmt w:val="decimal"/>
      <w:start w:val="10"/>
    </w:lvl>
  </w:abstractNum>
  <w:abstractNum w:abstractNumId="88">
    <w:nsid w:val="49DA307D"/>
    <w:multiLevelType w:val="hybridMultilevel"/>
    <w:lvl w:ilvl="0">
      <w:lvlJc w:val="left"/>
      <w:lvlText w:val="%1."/>
      <w:numFmt w:val="decimal"/>
      <w:start w:val="11"/>
    </w:lvl>
  </w:abstractNum>
  <w:abstractNum w:abstractNumId="89">
    <w:nsid w:val="7055A5F5"/>
    <w:multiLevelType w:val="hybridMultilevel"/>
    <w:lvl w:ilvl="0">
      <w:lvlJc w:val="left"/>
      <w:lvlText w:val="%1."/>
      <w:numFmt w:val="decimal"/>
      <w:start w:val="2"/>
    </w:lvl>
  </w:abstractNum>
  <w:abstractNum w:abstractNumId="90">
    <w:nsid w:val="5FB8370B"/>
    <w:multiLevelType w:val="hybridMultilevel"/>
    <w:lvl w:ilvl="0">
      <w:lvlJc w:val="left"/>
      <w:lvlText w:val="%1."/>
      <w:numFmt w:val="decimal"/>
      <w:start w:val="5"/>
    </w:lvl>
  </w:abstractNum>
  <w:abstractNum w:abstractNumId="91">
    <w:nsid w:val="50801EE1"/>
    <w:multiLevelType w:val="hybridMultilevel"/>
    <w:lvl w:ilvl="0">
      <w:lvlJc w:val="left"/>
      <w:lvlText w:val="%1."/>
      <w:numFmt w:val="decimal"/>
      <w:start w:val="1"/>
    </w:lvl>
  </w:abstractNum>
  <w:abstractNum w:abstractNumId="92">
    <w:nsid w:val="488AC1A"/>
    <w:multiLevelType w:val="hybridMultilevel"/>
    <w:lvl w:ilvl="0">
      <w:lvlJc w:val="left"/>
      <w:lvlText w:val="%1."/>
      <w:numFmt w:val="decimal"/>
      <w:start w:val="6"/>
    </w:lvl>
  </w:abstractNum>
  <w:abstractNum w:abstractNumId="93">
    <w:nsid w:val="5FB8011C"/>
    <w:multiLevelType w:val="hybridMultilevel"/>
    <w:lvl w:ilvl="0">
      <w:lvlJc w:val="left"/>
      <w:lvlText w:val="%1."/>
      <w:numFmt w:val="decimal"/>
      <w:start w:val="2"/>
    </w:lvl>
  </w:abstractNum>
  <w:abstractNum w:abstractNumId="94">
    <w:nsid w:val="6AA78F7F"/>
    <w:multiLevelType w:val="hybridMultilevel"/>
    <w:lvl w:ilvl="0">
      <w:lvlJc w:val="left"/>
      <w:lvlText w:val="(%1)"/>
      <w:numFmt w:val="lowerRoman"/>
      <w:start w:val="1"/>
    </w:lvl>
  </w:abstractNum>
  <w:abstractNum w:abstractNumId="95">
    <w:nsid w:val="7672BD23"/>
    <w:multiLevelType w:val="hybridMultilevel"/>
    <w:lvl w:ilvl="0">
      <w:lvlJc w:val="left"/>
      <w:lvlText w:val="(%1)"/>
      <w:numFmt w:val="lowerRoman"/>
      <w:start w:val="2"/>
    </w:lvl>
  </w:abstractNum>
  <w:abstractNum w:abstractNumId="96">
    <w:nsid w:val="6FC75AF8"/>
    <w:multiLevelType w:val="hybridMultilevel"/>
    <w:lvl w:ilvl="0">
      <w:lvlJc w:val="left"/>
      <w:lvlText w:val="%1."/>
      <w:numFmt w:val="decimal"/>
      <w:start w:val="1"/>
    </w:lvl>
  </w:abstractNum>
  <w:abstractNum w:abstractNumId="97">
    <w:nsid w:val="6A5F7029"/>
    <w:multiLevelType w:val="hybridMultilevel"/>
    <w:lvl w:ilvl="0">
      <w:lvlJc w:val="left"/>
      <w:lvlText w:val="%1."/>
      <w:numFmt w:val="decimal"/>
      <w:start w:val="2"/>
    </w:lvl>
  </w:abstractNum>
  <w:abstractNum w:abstractNumId="98">
    <w:nsid w:val="7D5E18F8"/>
    <w:multiLevelType w:val="hybridMultilevel"/>
    <w:lvl w:ilvl="0">
      <w:lvlJc w:val="left"/>
      <w:lvlText w:val="(%1)"/>
      <w:numFmt w:val="lowerRoman"/>
      <w:start w:val="1"/>
    </w:lvl>
  </w:abstractNum>
  <w:abstractNum w:abstractNumId="99">
    <w:nsid w:val="5F3534A4"/>
    <w:multiLevelType w:val="hybridMultilevel"/>
    <w:lvl w:ilvl="0">
      <w:lvlJc w:val="left"/>
      <w:lvlText w:val="(%1)"/>
      <w:numFmt w:val="lowerRoman"/>
      <w:start w:val="4"/>
    </w:lvl>
  </w:abstractNum>
  <w:abstractNum w:abstractNumId="100">
    <w:nsid w:val="73A1821B"/>
    <w:multiLevelType w:val="hybridMultilevel"/>
    <w:lvl w:ilvl="0">
      <w:lvlJc w:val="left"/>
      <w:lvlText w:val="(%1)"/>
      <w:numFmt w:val="lowerRoman"/>
      <w:start w:val="9"/>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2" Type="http://schemas.openxmlformats.org/officeDocument/2006/relationships/image" Target="media/image104.png"/><Relationship Id="rId134" Type="http://schemas.openxmlformats.org/officeDocument/2006/relationships/image" Target="media/image105.png"/><Relationship Id="rId146"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jpe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jpe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jpe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jpe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jpeg"/><Relationship Id="rId221" Type="http://schemas.openxmlformats.org/officeDocument/2006/relationships/image" Target="media/image162.png"/><Relationship Id="rId222" Type="http://schemas.openxmlformats.org/officeDocument/2006/relationships/image" Target="media/image163.jpeg"/><Relationship Id="rId223" Type="http://schemas.openxmlformats.org/officeDocument/2006/relationships/image" Target="media/image164.png"/><Relationship Id="rId224" Type="http://schemas.openxmlformats.org/officeDocument/2006/relationships/image" Target="media/image165.jpeg"/><Relationship Id="rId225" Type="http://schemas.openxmlformats.org/officeDocument/2006/relationships/image" Target="media/image166.png"/><Relationship Id="rId226" Type="http://schemas.openxmlformats.org/officeDocument/2006/relationships/image" Target="media/image167.jpeg"/><Relationship Id="rId227" Type="http://schemas.openxmlformats.org/officeDocument/2006/relationships/image" Target="media/image168.png"/><Relationship Id="rId228" Type="http://schemas.openxmlformats.org/officeDocument/2006/relationships/image" Target="media/image169.jpeg"/><Relationship Id="rId111" Type="http://schemas.openxmlformats.org/officeDocument/2006/relationships/hyperlink" Target="http://www.sec.gov/ix?doc=/Archives/edgar/data/1504619/000095017023068908/pflt-20230930.htm" TargetMode="External"/><Relationship Id="rId112" Type="http://schemas.openxmlformats.org/officeDocument/2006/relationships/hyperlink" Target="http://www.sec.gov/ix?doc=/Archives/edgar/data/1504619/000095017024012187/pflt-20231231.htm" TargetMode="External"/><Relationship Id="rId113" Type="http://schemas.openxmlformats.org/officeDocument/2006/relationships/hyperlink" Target="http://www.sec.gov/ix?doc=/Archives/edgar/data/1504619/000095017024055631/pflt-20240331.htm" TargetMode="External"/><Relationship Id="rId114" Type="http://schemas.openxmlformats.org/officeDocument/2006/relationships/hyperlink" Target="http://www.sec.gov/ix?doc=/Archives/edgar/data/1504619/000117184324000243/f8k_011224.htm" TargetMode="External"/><Relationship Id="rId115" Type="http://schemas.openxmlformats.org/officeDocument/2006/relationships/hyperlink" Target="http://www.sec.gov/ix?doc=/Archives/edgar/data/1504619/000117184324000688/f8k_020824.htm" TargetMode="External"/><Relationship Id="rId116" Type="http://schemas.openxmlformats.org/officeDocument/2006/relationships/hyperlink" Target="http://www.sec.gov/ix?doc=/Archives/edgar/data/1504619/000095017024013264/pflt-20240206.htm" TargetMode="External"/><Relationship Id="rId117" Type="http://schemas.openxmlformats.org/officeDocument/2006/relationships/hyperlink" Target="http://www.sec.gov/ix?doc=/Archives/edgar/data/1504619/000119312524047922/d620677d8k.htm" TargetMode="External"/><Relationship Id="rId118" Type="http://schemas.openxmlformats.org/officeDocument/2006/relationships/hyperlink" Target="http://www.sec.gov/ix?doc=/Archives/edgar/data/1504619/000095017024045307/pflt-20240416.htm" TargetMode="External"/><Relationship Id="rId119" Type="http://schemas.openxmlformats.org/officeDocument/2006/relationships/hyperlink" Target="http://www.sec.gov/ix?doc=/Archives/edgar/data/1504619/000117184324002668/f8k_050824.htm" TargetMode="External"/><Relationship Id="rId120" Type="http://schemas.openxmlformats.org/officeDocument/2006/relationships/hyperlink" Target="http://www.sec.gov/Archives/edgar/data/1504619/000156459019043972/pflt-ex44_124.htm" TargetMode="External"/><Relationship Id="rId121" Type="http://schemas.openxmlformats.org/officeDocument/2006/relationships/hyperlink" Target="http://www.sec.gov/Archives/edgar/data/1504619/000119312511090965/d8a12b.htm" TargetMode="External"/><Relationship Id="rId123" Type="http://schemas.openxmlformats.org/officeDocument/2006/relationships/hyperlink" Target="http://www.sec.gov/Archives/edgar/data/1504619/000119312511080862/dex99a.htm" TargetMode="External"/><Relationship Id="rId124" Type="http://schemas.openxmlformats.org/officeDocument/2006/relationships/hyperlink" Target="http://www.sec.gov/Archives/edgar/data/1504619/000156459020024167/pflt-ex32_144.htm" TargetMode="External"/><Relationship Id="rId125" Type="http://schemas.openxmlformats.org/officeDocument/2006/relationships/hyperlink" Target="http://www.sec.gov/Archives/edgar/data/1504619/000119312511088977/dex99d.htm" TargetMode="External"/><Relationship Id="rId126" Type="http://schemas.openxmlformats.org/officeDocument/2006/relationships/hyperlink" Target="http://www.sec.gov/Archives/edgar/data/1504619/000119312512114062/d313491dex99d2.htm" TargetMode="External"/><Relationship Id="rId127" Type="http://schemas.openxmlformats.org/officeDocument/2006/relationships/hyperlink" Target="http://www.sec.gov/Archives/edgar/data/1504619/000119312512114062/d313491dex99d3.htm" TargetMode="External"/><Relationship Id="rId128" Type="http://schemas.openxmlformats.org/officeDocument/2006/relationships/hyperlink" Target="http://www.sec.gov/Archives/edgar/data/1504619/000119312512114062/d313491dex99d4.htm" TargetMode="External"/><Relationship Id="rId129" Type="http://schemas.openxmlformats.org/officeDocument/2006/relationships/hyperlink" Target="http://www.sec.gov/Archives/edgar/data/1504619/000119312512114062/d313491dex99d5.htm" TargetMode="External"/><Relationship Id="rId130" Type="http://schemas.openxmlformats.org/officeDocument/2006/relationships/hyperlink" Target="http://www.sec.gov/Archives/edgar/data/1504619/000119312512114062/d313491dex99d7.htm" TargetMode="External"/><Relationship Id="rId131" Type="http://schemas.openxmlformats.org/officeDocument/2006/relationships/hyperlink" Target="http://www.sec.gov/Archives/edgar/data/1504619/000119312519250688/d808045dex992.htm" TargetMode="External"/><Relationship Id="rId132" Type="http://schemas.openxmlformats.org/officeDocument/2006/relationships/hyperlink" Target="http://www.sec.gov/Archives/edgar/data/1504619/000119312521091350/d156339dex41.htm" TargetMode="External"/><Relationship Id="rId133" Type="http://schemas.openxmlformats.org/officeDocument/2006/relationships/hyperlink" Target="http://www.sec.gov/Archives/edgar/data/1504619/000119312521091350/d156339dex42.htm" TargetMode="External"/><Relationship Id="rId135" Type="http://schemas.openxmlformats.org/officeDocument/2006/relationships/hyperlink" Target="http://www.sec.gov/Archives/edgar/data/1504619/000119312512114062/d313491dex99h1.htm" TargetMode="External"/><Relationship Id="rId136" Type="http://schemas.openxmlformats.org/officeDocument/2006/relationships/hyperlink" Target="http://www.sec.gov/Archives/edgar/data/1504619/000119312512114062/d313491dex99h2.htm" TargetMode="External"/><Relationship Id="rId137" Type="http://schemas.openxmlformats.org/officeDocument/2006/relationships/hyperlink" Target="http://www.sec.gov/Archives/edgar/data/1504619/000119312511080862/dex99j.htm" TargetMode="External"/><Relationship Id="rId138" Type="http://schemas.openxmlformats.org/officeDocument/2006/relationships/hyperlink" Target="http://www.sec.gov/Archives/edgar/data/1504619/000119312511080862/dex99k1.htm" TargetMode="External"/><Relationship Id="rId139" Type="http://schemas.openxmlformats.org/officeDocument/2006/relationships/hyperlink" Target="http://www.sec.gov/Archives/edgar/data/1504619/000119312511080862/dex99k3.htm" TargetMode="External"/><Relationship Id="rId140" Type="http://schemas.openxmlformats.org/officeDocument/2006/relationships/hyperlink" Target="http://www.sec.gov/Archives/edgar/data/1504619/000119312521250566/d198449dex101.htm" TargetMode="External"/><Relationship Id="rId141" Type="http://schemas.openxmlformats.org/officeDocument/2006/relationships/hyperlink" Target="http://www.sec.gov/Archives/edgar/data/1504619/000119312521250566/d198449dex102.htm" TargetMode="External"/><Relationship Id="rId142" Type="http://schemas.openxmlformats.org/officeDocument/2006/relationships/hyperlink" Target="http://www.sec.gov/Archives/edgar/data/1504619/000156459017016504/pflt-ex101_78.htm" TargetMode="External"/><Relationship Id="rId143" Type="http://schemas.openxmlformats.org/officeDocument/2006/relationships/hyperlink" Target="http://www.sec.gov/Archives/edgar/data/1504619/000119312516775064/d290892dex106.htm" TargetMode="External"/><Relationship Id="rId144" Type="http://schemas.openxmlformats.org/officeDocument/2006/relationships/hyperlink" Target="http://www.sec.gov/Archives/edgar/data/1504619/000119312519250688/d808045dex993.htm" TargetMode="External"/><Relationship Id="rId145" Type="http://schemas.openxmlformats.org/officeDocument/2006/relationships/hyperlink" Target="http://www.sec.gov/Archives/edgar/data/1504619/000119312519250688/d808045dex994.htm" TargetMode="External"/><Relationship Id="rId147" Type="http://schemas.openxmlformats.org/officeDocument/2006/relationships/hyperlink" Target="http://www.sec.gov/Archives/edgar/data/1504619/000119312519250688/d808045dex995.htm" TargetMode="External"/><Relationship Id="rId148" Type="http://schemas.openxmlformats.org/officeDocument/2006/relationships/hyperlink" Target="http://www.sec.gov/Archives/edgar/data/1504619/000119312519250688/d808045dex996.htm" TargetMode="External"/><Relationship Id="rId149" Type="http://schemas.openxmlformats.org/officeDocument/2006/relationships/hyperlink" Target="http://www.sec.gov/Archives/edgar/data/1504619/000095017022016832/pflt-ex1_1.htm" TargetMode="External"/><Relationship Id="rId150" Type="http://schemas.openxmlformats.org/officeDocument/2006/relationships/hyperlink" Target="http://www.sec.gov/Archives/edgar/data/1504619/000095017022018730/pflt-ex10_1.htm" TargetMode="External"/><Relationship Id="rId151" Type="http://schemas.openxmlformats.org/officeDocument/2006/relationships/hyperlink" Target="http://www.sec.gov/Archives/edgar/data/1504619/000119312523210695/d511427dex11.htm" TargetMode="External"/><Relationship Id="rId152" Type="http://schemas.openxmlformats.org/officeDocument/2006/relationships/hyperlink" Target="http://www.sec.gov/Archives/edgar/data/1504619/000119312523210695/d511427dex12.htm" TargetMode="External"/><Relationship Id="rId153" Type="http://schemas.openxmlformats.org/officeDocument/2006/relationships/hyperlink" Target="http://www.sec.gov/Archives/edgar/data/1504619/000119312523210695/d511427dex13.htm" TargetMode="External"/><Relationship Id="rId154" Type="http://schemas.openxmlformats.org/officeDocument/2006/relationships/hyperlink" Target="http://www.sec.gov/Archives/edgar/data/1504619/000119312523016239/d451102dex11.htm" TargetMode="External"/><Relationship Id="rId155" Type="http://schemas.openxmlformats.org/officeDocument/2006/relationships/hyperlink" Target="http://www.sec.gov/Archives/edgar/data/1504619/000119312524047922/d620677dex101.htm" TargetMode="External"/><Relationship Id="rId156" Type="http://schemas.openxmlformats.org/officeDocument/2006/relationships/hyperlink" Target="http://www.sec.gov/Archives/edgar/data/1504619/000119312524047922/d620677dex102.htm" TargetMode="External"/><Relationship Id="rId157" Type="http://schemas.openxmlformats.org/officeDocument/2006/relationships/hyperlink" Target="http://www.sec.gov/Archives/edgar/data/1504619/000119312524047922/d620677dex103.htm" TargetMode="External"/><Relationship Id="rId158" Type="http://schemas.openxmlformats.org/officeDocument/2006/relationships/hyperlink" Target="http://www.sec.gov/Archives/edgar/data/1504619/000119312524047922/d620677dex104.htm" TargetMode="External"/><Relationship Id="rId159" Type="http://schemas.openxmlformats.org/officeDocument/2006/relationships/hyperlink" Target="http://www.sec.gov/Archives/edgar/data/1504619/000095017023068908/pflt-ex99_2.htm" TargetMode="External"/><Relationship Id="rId160" Type="http://schemas.openxmlformats.org/officeDocument/2006/relationships/hyperlink" Target="http://www.sec.gov/Archives/edgar/data/1504619/000095017023068908/pflt-ex14_1.htm" TargetMode="External"/><Relationship Id="rId161" Type="http://schemas.openxmlformats.org/officeDocument/2006/relationships/hyperlink" Target="http://www.sec.gov/Archives/edgar/data/1504619/000119312512114062/d313491dex99s1.htm" TargetMode="External"/><Relationship Id="rId162" Type="http://schemas.openxmlformats.org/officeDocument/2006/relationships/hyperlink" Target="http://www.sec.gov/Archives/edgar/data/1504619/000119312512114062/d313491dex99s2.htm" TargetMode="External"/><Relationship Id="rId163" Type="http://schemas.openxmlformats.org/officeDocument/2006/relationships/hyperlink" Target="http://www.sec.gov/Archives/edgar/data/1504619/000119312512114062/d313491dex99s3.htm" TargetMode="External"/><Relationship Id="rId164" Type="http://schemas.openxmlformats.org/officeDocument/2006/relationships/hyperlink" Target="http://www.sec.gov/Archives/edgar/data/1504619/000119312512114062/d313491dex99s4.htm" TargetMode="External"/><Relationship Id="rId165" Type="http://schemas.openxmlformats.org/officeDocument/2006/relationships/hyperlink" Target="http://www.sec.gov/Archives/edgar/data/1504619/000119312512114062/d313491dex99s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2024-05-24T16:01:12Z</dcterms:created>
  <dcterms:modified xsi:type="dcterms:W3CDTF">2024-05-24T16:01:12Z</dcterms:modified>
</cp:coreProperties>
</file>