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w:t>
      </w: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February 25, 2014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79"/>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640" w:space="720"/>
            <w:col w:w="2920" w:space="720"/>
            <w:col w:w="1560"/>
          </w:cols>
          <w:pgMar w:left="320" w:top="368" w:right="101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Arial" w:cs="Arial" w:eastAsia="Arial" w:hAnsi="Arial"/>
          <w:sz w:val="14"/>
          <w:szCs w:val="14"/>
          <w:b w:val="1"/>
          <w:bCs w:val="1"/>
          <w:color w:val="auto"/>
        </w:rPr>
        <w:t>(IRS Employer</w:t>
      </w:r>
    </w:p>
    <w:p>
      <w:pPr>
        <w:jc w:val="center"/>
        <w:ind w:right="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2820" w:space="720"/>
            <w:col w:w="1680"/>
          </w:cols>
          <w:pgMar w:left="320" w:top="368" w:right="1019" w:bottom="1440" w:gutter="0" w:footer="0" w:header="0"/>
          <w:type w:val="continuous"/>
        </w:sectPr>
      </w:pP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60" w:space="720"/>
            <w:col w:w="2280"/>
          </w:cols>
          <w:pgMar w:left="320" w:top="368" w:right="101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60" w:space="720"/>
            <w:col w:w="2380"/>
          </w:cols>
          <w:pgMar w:left="320" w:top="368" w:right="1019" w:bottom="1440" w:gutter="0" w:footer="0" w:header="0"/>
          <w:type w:val="continuous"/>
        </w:sect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On February 25, 2014, PennantPark Floating Rate Capital, Ltd (the “Company”) held a reconvened special meeting of stockholders (the “Special Meeting”) and submitted one matter to the vote of the stockholders. The proposal is described in detail in the Company’s definitive proxy statement filed with the Securities and Exchange Commission on December 5, 2013. As of December 9, 2013, the record date, 14,898,056 shares of common stock were eligible to vote. A summary of the matter voted upon by the stockholders is set forth below.</w:t>
      </w:r>
    </w:p>
    <w:p>
      <w:pPr>
        <w:spacing w:after="0" w:line="167"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Due to the absence of a quorum, the Company’s stockholders did not approve a proposal to authorize flexibility for the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approval of its Board of Directors, to sell shares of its common stock during the next 12 months, at a price below its then current net asset value per share, subject to certain limitations as described the proxy statement.</w:t>
      </w:r>
    </w:p>
    <w:p>
      <w:pPr>
        <w:sectPr>
          <w:pgSz w:w="11900" w:h="16838" w:orient="portrait"/>
          <w:cols w:equalWidth="0" w:num="1">
            <w:col w:w="11060"/>
          </w:cols>
          <w:pgMar w:left="320" w:top="270" w:right="5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February 28, 2014</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Financial Officer &amp; Treasurer</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2020-05-05T12:05:57Z</dcterms:created>
  <dcterms:modified xsi:type="dcterms:W3CDTF">2020-05-05T12:05:57Z</dcterms:modified>
</cp:coreProperties>
</file>