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540"/>
        <w:spacing w:after="0"/>
        <w:rPr>
          <w:sz w:val="20"/>
          <w:szCs w:val="20"/>
          <w:color w:val="auto"/>
        </w:rPr>
      </w:pPr>
      <w:r>
        <w:rPr>
          <w:rFonts w:ascii="Arial" w:cs="Arial" w:eastAsia="Arial" w:hAnsi="Arial"/>
          <w:sz w:val="18"/>
          <w:szCs w:val="18"/>
          <w:color w:val="auto"/>
        </w:rPr>
        <w:t>1775 I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66495"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6495" cy="437515"/>
                    </a:xfrm>
                    <a:prstGeom prst="rect">
                      <a:avLst/>
                    </a:prstGeom>
                    <a:noFill/>
                  </pic:spPr>
                </pic:pic>
              </a:graphicData>
            </a:graphic>
          </wp:anchor>
        </w:drawing>
      </w:r>
    </w:p>
    <w:p>
      <w:pPr>
        <w:ind w:left="7540"/>
        <w:spacing w:after="0"/>
        <w:rPr>
          <w:sz w:val="20"/>
          <w:szCs w:val="20"/>
          <w:color w:val="auto"/>
        </w:rPr>
      </w:pPr>
      <w:r>
        <w:rPr>
          <w:rFonts w:ascii="Arial" w:cs="Arial" w:eastAsia="Arial" w:hAnsi="Arial"/>
          <w:sz w:val="18"/>
          <w:szCs w:val="18"/>
          <w:color w:val="auto"/>
        </w:rPr>
        <w:t>Washington, DC 20006-2401</w:t>
      </w:r>
    </w:p>
    <w:p>
      <w:pPr>
        <w:spacing w:after="0" w:line="9" w:lineRule="exact"/>
        <w:rPr>
          <w:sz w:val="24"/>
          <w:szCs w:val="24"/>
          <w:color w:val="auto"/>
        </w:rPr>
      </w:pPr>
    </w:p>
    <w:p>
      <w:pPr>
        <w:ind w:left="7540"/>
        <w:spacing w:after="0"/>
        <w:rPr>
          <w:sz w:val="20"/>
          <w:szCs w:val="20"/>
          <w:color w:val="auto"/>
        </w:rPr>
      </w:pPr>
      <w:r>
        <w:rPr>
          <w:rFonts w:ascii="Arial" w:cs="Arial" w:eastAsia="Arial" w:hAnsi="Arial"/>
          <w:sz w:val="18"/>
          <w:szCs w:val="18"/>
          <w:color w:val="auto"/>
        </w:rPr>
        <w:t>+1 202 261 3300 Main</w:t>
      </w:r>
    </w:p>
    <w:p>
      <w:pPr>
        <w:spacing w:after="0" w:line="9" w:lineRule="exact"/>
        <w:rPr>
          <w:sz w:val="24"/>
          <w:szCs w:val="24"/>
          <w:color w:val="auto"/>
        </w:rPr>
      </w:pPr>
    </w:p>
    <w:p>
      <w:pPr>
        <w:ind w:left="7540"/>
        <w:spacing w:after="0"/>
        <w:rPr>
          <w:sz w:val="20"/>
          <w:szCs w:val="20"/>
          <w:color w:val="auto"/>
        </w:rPr>
      </w:pPr>
      <w:r>
        <w:rPr>
          <w:rFonts w:ascii="Arial" w:cs="Arial" w:eastAsia="Arial" w:hAnsi="Arial"/>
          <w:sz w:val="18"/>
          <w:szCs w:val="18"/>
          <w:color w:val="auto"/>
        </w:rPr>
        <w:t>+1 202 261 3333 Fax</w:t>
      </w:r>
    </w:p>
    <w:p>
      <w:pPr>
        <w:spacing w:after="0" w:line="9" w:lineRule="exact"/>
        <w:rPr>
          <w:sz w:val="24"/>
          <w:szCs w:val="24"/>
          <w:color w:val="auto"/>
        </w:rPr>
      </w:pPr>
    </w:p>
    <w:p>
      <w:pPr>
        <w:ind w:left="7540"/>
        <w:spacing w:after="0"/>
        <w:rPr>
          <w:sz w:val="20"/>
          <w:szCs w:val="20"/>
          <w:color w:val="auto"/>
        </w:rPr>
      </w:pPr>
      <w:r>
        <w:rPr>
          <w:rFonts w:ascii="Arial" w:cs="Arial" w:eastAsia="Arial" w:hAnsi="Arial"/>
          <w:sz w:val="18"/>
          <w:szCs w:val="18"/>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4790440</wp:posOffset>
            </wp:positionH>
            <wp:positionV relativeFrom="paragraph">
              <wp:posOffset>161290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7540"/>
        <w:spacing w:after="0"/>
        <w:rPr>
          <w:sz w:val="20"/>
          <w:szCs w:val="20"/>
          <w:color w:val="auto"/>
        </w:rPr>
      </w:pPr>
      <w:r>
        <w:rPr>
          <w:rFonts w:ascii="Arial" w:cs="Arial" w:eastAsia="Arial" w:hAnsi="Arial"/>
          <w:sz w:val="18"/>
          <w:szCs w:val="18"/>
          <w:b w:val="1"/>
          <w:bCs w:val="1"/>
          <w:color w:val="auto"/>
        </w:rPr>
        <w:t>WILLIAM J. TUTTLE</w:t>
      </w:r>
    </w:p>
    <w:p>
      <w:pPr>
        <w:spacing w:after="0" w:line="218" w:lineRule="exact"/>
        <w:rPr>
          <w:sz w:val="24"/>
          <w:szCs w:val="24"/>
          <w:color w:val="auto"/>
        </w:rPr>
      </w:pPr>
    </w:p>
    <w:p>
      <w:pPr>
        <w:ind w:left="7540"/>
        <w:spacing w:after="0"/>
        <w:rPr>
          <w:sz w:val="20"/>
          <w:szCs w:val="20"/>
          <w:color w:val="auto"/>
        </w:rPr>
      </w:pPr>
      <w:r>
        <w:rPr>
          <w:rFonts w:ascii="Arial" w:cs="Arial" w:eastAsia="Arial" w:hAnsi="Arial"/>
          <w:sz w:val="18"/>
          <w:szCs w:val="18"/>
          <w:color w:val="auto"/>
        </w:rPr>
        <w:t>william.tuttle@dechert.com</w:t>
      </w:r>
    </w:p>
    <w:p>
      <w:pPr>
        <w:spacing w:after="0" w:line="15" w:lineRule="exact"/>
        <w:rPr>
          <w:sz w:val="24"/>
          <w:szCs w:val="24"/>
          <w:color w:val="auto"/>
        </w:rPr>
      </w:pPr>
    </w:p>
    <w:p>
      <w:pPr>
        <w:ind w:left="7540"/>
        <w:spacing w:after="0"/>
        <w:rPr>
          <w:sz w:val="20"/>
          <w:szCs w:val="20"/>
          <w:color w:val="auto"/>
        </w:rPr>
      </w:pPr>
      <w:r>
        <w:rPr>
          <w:rFonts w:ascii="Arial" w:cs="Arial" w:eastAsia="Arial" w:hAnsi="Arial"/>
          <w:sz w:val="18"/>
          <w:szCs w:val="18"/>
          <w:color w:val="auto"/>
        </w:rPr>
        <w:t>+1 202 261 3352 Direct</w:t>
      </w:r>
    </w:p>
    <w:p>
      <w:pPr>
        <w:spacing w:after="0" w:line="9" w:lineRule="exact"/>
        <w:rPr>
          <w:sz w:val="24"/>
          <w:szCs w:val="24"/>
          <w:color w:val="auto"/>
        </w:rPr>
      </w:pPr>
    </w:p>
    <w:p>
      <w:pPr>
        <w:ind w:left="7540"/>
        <w:spacing w:after="0"/>
        <w:rPr>
          <w:sz w:val="20"/>
          <w:szCs w:val="20"/>
          <w:color w:val="auto"/>
        </w:rPr>
      </w:pPr>
      <w:r>
        <w:rPr>
          <w:rFonts w:ascii="Arial" w:cs="Arial" w:eastAsia="Arial" w:hAnsi="Arial"/>
          <w:sz w:val="18"/>
          <w:szCs w:val="18"/>
          <w:color w:val="auto"/>
        </w:rPr>
        <w:t>+1 202 261 3009 Fax</w:t>
      </w:r>
    </w:p>
    <w:p>
      <w:pPr>
        <w:spacing w:after="0" w:line="300"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July 3, 2012</w:t>
      </w:r>
    </w:p>
    <w:p>
      <w:pPr>
        <w:spacing w:after="0" w:line="287" w:lineRule="exact"/>
        <w:rPr>
          <w:sz w:val="24"/>
          <w:szCs w:val="24"/>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VIA EDGAR</w:t>
      </w:r>
    </w:p>
    <w:p>
      <w:pPr>
        <w:spacing w:after="0" w:line="110"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Attn: John Ganley</w:t>
      </w:r>
    </w:p>
    <w:p>
      <w:pPr>
        <w:spacing w:after="0" w:line="97" w:lineRule="exact"/>
        <w:rPr>
          <w:sz w:val="24"/>
          <w:szCs w:val="24"/>
          <w:color w:val="auto"/>
        </w:rPr>
      </w:pPr>
    </w:p>
    <w:p>
      <w:pPr>
        <w:ind w:left="2120"/>
        <w:spacing w:after="0"/>
        <w:tabs>
          <w:tab w:leader="none" w:pos="25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PennantPark Floating Rate Capital Ltd.</w:t>
      </w:r>
    </w:p>
    <w:p>
      <w:pPr>
        <w:spacing w:after="0" w:line="23"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Registration Statement on Form N-2</w:t>
      </w:r>
    </w:p>
    <w:p>
      <w:pPr>
        <w:spacing w:after="0" w:line="15"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File Numbers 333-180084 and 814-00891</w:t>
      </w:r>
    </w:p>
    <w:p>
      <w:pPr>
        <w:spacing w:after="0" w:line="205"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1260"/>
        <w:spacing w:after="0" w:line="290" w:lineRule="auto"/>
        <w:rPr>
          <w:sz w:val="20"/>
          <w:szCs w:val="20"/>
          <w:color w:val="auto"/>
        </w:rPr>
      </w:pPr>
      <w:r>
        <w:rPr>
          <w:rFonts w:ascii="Arial" w:cs="Arial" w:eastAsia="Arial" w:hAnsi="Arial"/>
          <w:sz w:val="16"/>
          <w:szCs w:val="16"/>
          <w:color w:val="auto"/>
        </w:rPr>
        <w:t>On behalf of PennantPark Floating Rate Capital Ltd.,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we hereby respond to the comments raised by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a telephone call on May 30, 2012 and subsequent discussions between Mr. Ganley and Thomas Friedmann and William Tuttle of Dechert LLP, outside counsel to the Company, regarding Amendment No. 1 (“</w:t>
      </w:r>
      <w:r>
        <w:rPr>
          <w:rFonts w:ascii="Arial" w:cs="Arial" w:eastAsia="Arial" w:hAnsi="Arial"/>
          <w:sz w:val="16"/>
          <w:szCs w:val="16"/>
          <w:u w:val="single" w:color="auto"/>
          <w:color w:val="auto"/>
        </w:rPr>
        <w:t>Amendment No. 1</w:t>
      </w:r>
      <w:r>
        <w:rPr>
          <w:rFonts w:ascii="Arial" w:cs="Arial" w:eastAsia="Arial" w:hAnsi="Arial"/>
          <w:sz w:val="16"/>
          <w:szCs w:val="16"/>
          <w:color w:val="auto"/>
        </w:rPr>
        <w:t>”) to the Company’s Registration Statement on Form N-2 (Registration No. 333-180084)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prospectus included therein. For your convenience, a transcription of the Staff’s comments is included in this letter, and each comment is followed by the applicable response. Capitalized terms used in this letter and not otherwise defined herein shall have the meanings specified in the Registration Statement.</w:t>
      </w:r>
    </w:p>
    <w:p>
      <w:pPr>
        <w:spacing w:after="0" w:line="45" w:lineRule="exact"/>
        <w:rPr>
          <w:sz w:val="24"/>
          <w:szCs w:val="24"/>
          <w:color w:val="auto"/>
        </w:rPr>
      </w:pPr>
    </w:p>
    <w:p>
      <w:pPr>
        <w:ind w:left="2120" w:right="300" w:hanging="424"/>
        <w:spacing w:after="0" w:line="301" w:lineRule="auto"/>
        <w:tabs>
          <w:tab w:leader="none" w:pos="20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do not believe it is appropriate to treat money market funds as floating rate instruments for purposes of assessing the Company’s compliance with Rule 35d-1 under the 1940 Act. Please eliminate reference to money market funds in the description of floating rate instruments and confirm that money market funds will not be treated as floating rate instruments for purposes of assessing the Company’s compliance with Rule 35d-1 under the 1940 Act.</w:t>
      </w:r>
    </w:p>
    <w:p>
      <w:pPr>
        <w:spacing w:after="0" w:line="238"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Response:</w:t>
      </w:r>
    </w:p>
    <w:p>
      <w:pPr>
        <w:spacing w:after="0" w:line="110" w:lineRule="exact"/>
        <w:rPr>
          <w:sz w:val="24"/>
          <w:szCs w:val="24"/>
          <w:color w:val="auto"/>
        </w:rPr>
      </w:pPr>
    </w:p>
    <w:p>
      <w:pPr>
        <w:ind w:left="1260" w:right="20"/>
        <w:spacing w:after="0" w:line="259" w:lineRule="auto"/>
        <w:rPr>
          <w:sz w:val="20"/>
          <w:szCs w:val="20"/>
          <w:color w:val="auto"/>
        </w:rPr>
      </w:pPr>
      <w:r>
        <w:rPr>
          <w:rFonts w:ascii="Arial" w:cs="Arial" w:eastAsia="Arial" w:hAnsi="Arial"/>
          <w:sz w:val="18"/>
          <w:szCs w:val="18"/>
          <w:color w:val="auto"/>
        </w:rPr>
        <w:t>The Company confirms that it will not treat money market funds as floating rate instruments for purposes of assessing the Company’s compliance with Rule 35d-1 under the 1940 Act. As requested, the Company will eliminate from its disclosure in any post-effective amendment to the Registration Statement, in any new registration statement on Form N-2, in any prospectus</w:t>
      </w:r>
    </w:p>
    <w:p>
      <w:pPr>
        <w:spacing w:after="0" w:line="140"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US Austin Boston Charlotte Hartford Los Angeles New York Orange County Philadelphia Princeton San Francisco Silicon Valley Washington DC EUROPE Brussels Dublin Frankfurt London Luxembourg Moscow Munich Paris ASIA Beijing Hong Kong</w:t>
      </w:r>
    </w:p>
    <w:p>
      <w:pPr>
        <w:sectPr>
          <w:pgSz w:w="11900" w:h="16838" w:orient="portrait"/>
          <w:cols w:equalWidth="0" w:num="1">
            <w:col w:w="11420"/>
          </w:cols>
          <w:pgMar w:left="240" w:top="239" w:right="239" w:bottom="1440" w:gutter="0" w:footer="0" w:header="0"/>
        </w:sectPr>
      </w:pPr>
    </w:p>
    <w:bookmarkStart w:id="1" w:name="page2"/>
    <w:bookmarkEnd w:id="1"/>
    <w:p>
      <w:pPr>
        <w:ind w:left="6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Ganley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166495" cy="43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6495" cy="43751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auto"/>
        </w:rPr>
        <w:t>July 3, 2012</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Page 2</w:t>
      </w:r>
    </w:p>
    <w:p>
      <w:pPr>
        <w:spacing w:after="0" w:line="192" w:lineRule="exact"/>
        <w:rPr>
          <w:sz w:val="20"/>
          <w:szCs w:val="20"/>
          <w:color w:val="auto"/>
        </w:rPr>
      </w:pPr>
    </w:p>
    <w:p>
      <w:pPr>
        <w:ind w:left="60" w:right="500"/>
        <w:spacing w:after="0" w:line="268" w:lineRule="auto"/>
        <w:rPr>
          <w:sz w:val="20"/>
          <w:szCs w:val="20"/>
          <w:color w:val="auto"/>
        </w:rPr>
      </w:pPr>
      <w:r>
        <w:rPr>
          <w:rFonts w:ascii="Arial" w:cs="Arial" w:eastAsia="Arial" w:hAnsi="Arial"/>
          <w:sz w:val="18"/>
          <w:szCs w:val="18"/>
          <w:color w:val="auto"/>
        </w:rPr>
        <w:t>supplement and, to the extent applicable, in any report with the Commission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any reference to money market funds in the description of floating rate instruments.</w:t>
      </w:r>
    </w:p>
    <w:p>
      <w:pPr>
        <w:spacing w:after="0" w:line="45" w:lineRule="exact"/>
        <w:rPr>
          <w:sz w:val="20"/>
          <w:szCs w:val="20"/>
          <w:color w:val="auto"/>
        </w:rPr>
      </w:pPr>
    </w:p>
    <w:p>
      <w:pPr>
        <w:ind w:left="920" w:right="60" w:hanging="424"/>
        <w:spacing w:after="0" w:line="262" w:lineRule="auto"/>
        <w:tabs>
          <w:tab w:leader="none" w:pos="883"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with examples of the types of variable rate derivative instruments in which the Company may invest and confirm that the Company will value such variable rate derivative instruments in a manner consistent with applicable Staff guidance.</w:t>
      </w: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Response:</w:t>
      </w:r>
    </w:p>
    <w:p>
      <w:pPr>
        <w:spacing w:after="0" w:line="110" w:lineRule="exact"/>
        <w:rPr>
          <w:sz w:val="20"/>
          <w:szCs w:val="20"/>
          <w:color w:val="auto"/>
        </w:rPr>
      </w:pPr>
    </w:p>
    <w:p>
      <w:pPr>
        <w:ind w:left="60"/>
        <w:spacing w:after="0" w:line="259" w:lineRule="auto"/>
        <w:rPr>
          <w:sz w:val="20"/>
          <w:szCs w:val="20"/>
          <w:color w:val="auto"/>
        </w:rPr>
      </w:pPr>
      <w:r>
        <w:rPr>
          <w:rFonts w:ascii="Arial" w:cs="Arial" w:eastAsia="Arial" w:hAnsi="Arial"/>
          <w:sz w:val="18"/>
          <w:szCs w:val="18"/>
          <w:color w:val="auto"/>
        </w:rPr>
        <w:t>The Company believes that futures, hedging and swap contracts, including currency futures contracts, interest rate swaps and total return swaps, are types of variable rate derivative instruments in which it may invest. The Company hereby confirms that it will value such variable rate derivative instruments in a manner consistent with applicable Staff guidance.</w:t>
      </w:r>
    </w:p>
    <w:p>
      <w:pPr>
        <w:spacing w:after="0" w:line="67" w:lineRule="exact"/>
        <w:rPr>
          <w:sz w:val="20"/>
          <w:szCs w:val="20"/>
          <w:color w:val="auto"/>
        </w:rPr>
      </w:pPr>
    </w:p>
    <w:p>
      <w:pPr>
        <w:ind w:left="920" w:right="240" w:hanging="424"/>
        <w:spacing w:after="0" w:line="262" w:lineRule="auto"/>
        <w:tabs>
          <w:tab w:leader="none" w:pos="883"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Under the heading “Price Range of Common Stock,” please revise the numbers in the columns entitled “Discount of High Sales Price to NAV” and “Discount of Low Sales Price to NAV” to include either minus signs or parentheses around the numbers.</w:t>
      </w: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Response:</w:t>
      </w:r>
    </w:p>
    <w:p>
      <w:pPr>
        <w:spacing w:after="0" w:line="110" w:lineRule="exact"/>
        <w:rPr>
          <w:sz w:val="20"/>
          <w:szCs w:val="20"/>
          <w:color w:val="auto"/>
        </w:rPr>
      </w:pPr>
    </w:p>
    <w:p>
      <w:pPr>
        <w:ind w:left="60"/>
        <w:spacing w:after="0" w:line="298" w:lineRule="auto"/>
        <w:rPr>
          <w:sz w:val="20"/>
          <w:szCs w:val="20"/>
          <w:color w:val="auto"/>
        </w:rPr>
      </w:pPr>
      <w:r>
        <w:rPr>
          <w:rFonts w:ascii="Arial" w:cs="Arial" w:eastAsia="Arial" w:hAnsi="Arial"/>
          <w:sz w:val="16"/>
          <w:szCs w:val="16"/>
          <w:color w:val="auto"/>
        </w:rPr>
        <w:t>As requested, the Company will include in its disclosure in any post-effective amendment to the Registration Statement, in any new registration statement on Form N-2 and in any prospectus supplement in the columns entitled “Discount of High Sales Price to NAV” and “Discount of Low Sales Price to NAV” under the heading “Price Range of Common Stock” and, to the extent applicable, in any report filed with the Commission under the Exchange Act, either minus signs or parentheses around the numbers.</w:t>
      </w:r>
    </w:p>
    <w:p>
      <w:pPr>
        <w:spacing w:after="0" w:line="39" w:lineRule="exact"/>
        <w:rPr>
          <w:sz w:val="20"/>
          <w:szCs w:val="20"/>
          <w:color w:val="auto"/>
        </w:rPr>
      </w:pPr>
    </w:p>
    <w:p>
      <w:pPr>
        <w:ind w:left="920" w:right="460" w:hanging="424"/>
        <w:spacing w:after="0" w:line="262" w:lineRule="auto"/>
        <w:tabs>
          <w:tab w:leader="none" w:pos="88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include under the heading “Certain Relationships and Transactions — Investment Management Agreement — </w:t>
      </w:r>
      <w:r>
        <w:rPr>
          <w:rFonts w:ascii="Arial" w:cs="Arial" w:eastAsia="Arial" w:hAnsi="Arial"/>
          <w:sz w:val="18"/>
          <w:szCs w:val="18"/>
          <w:b w:val="1"/>
          <w:bCs w:val="1"/>
          <w:i w:val="1"/>
          <w:iCs w:val="1"/>
          <w:color w:val="auto"/>
        </w:rPr>
        <w:t>Investment Advisory Agreement</w:t>
      </w:r>
      <w:r>
        <w:rPr>
          <w:rFonts w:ascii="Arial" w:cs="Arial" w:eastAsia="Arial" w:hAnsi="Arial"/>
          <w:sz w:val="18"/>
          <w:szCs w:val="18"/>
          <w:b w:val="1"/>
          <w:bCs w:val="1"/>
          <w:color w:val="auto"/>
        </w:rPr>
        <w:t>” the example of how the average adjusted gross assets is calculated as set forth in your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response letter dated May 9, 2012.</w:t>
      </w: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Response:</w:t>
      </w:r>
    </w:p>
    <w:p>
      <w:pPr>
        <w:spacing w:after="0" w:line="110" w:lineRule="exact"/>
        <w:rPr>
          <w:sz w:val="20"/>
          <w:szCs w:val="20"/>
          <w:color w:val="auto"/>
        </w:rPr>
      </w:pPr>
    </w:p>
    <w:p>
      <w:pPr>
        <w:ind w:left="60" w:right="40"/>
        <w:spacing w:after="0" w:line="323" w:lineRule="auto"/>
        <w:rPr>
          <w:sz w:val="20"/>
          <w:szCs w:val="20"/>
          <w:color w:val="auto"/>
        </w:rPr>
      </w:pPr>
      <w:r>
        <w:rPr>
          <w:rFonts w:ascii="Arial" w:cs="Arial" w:eastAsia="Arial" w:hAnsi="Arial"/>
          <w:sz w:val="15"/>
          <w:szCs w:val="15"/>
          <w:color w:val="auto"/>
        </w:rPr>
        <w:t xml:space="preserve">As requested, the Company will include in its disclosure in any post-effective amendment to the Registration Statement, in any new registration statement on Form N-2 and in any prospectus supplement under the heading “Certain Relationships and Transactions — Investment Management Agreement — </w:t>
      </w:r>
      <w:r>
        <w:rPr>
          <w:rFonts w:ascii="Arial" w:cs="Arial" w:eastAsia="Arial" w:hAnsi="Arial"/>
          <w:sz w:val="15"/>
          <w:szCs w:val="15"/>
          <w:i w:val="1"/>
          <w:iCs w:val="1"/>
          <w:color w:val="auto"/>
        </w:rPr>
        <w:t>Investment Advisory Agreement</w:t>
      </w:r>
      <w:r>
        <w:rPr>
          <w:rFonts w:ascii="Arial" w:cs="Arial" w:eastAsia="Arial" w:hAnsi="Arial"/>
          <w:sz w:val="15"/>
          <w:szCs w:val="15"/>
          <w:color w:val="auto"/>
        </w:rPr>
        <w:t>” and, to the extent applicable, in any report filed with the Commission under the Exchange Act, the example of how the average adjusted gross assets is calculated as set forth in our response letter dated May 9, 2012.</w:t>
      </w:r>
    </w:p>
    <w:p>
      <w:pPr>
        <w:spacing w:after="0" w:line="15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 * * * * * * * *</w:t>
      </w:r>
    </w:p>
    <w:p>
      <w:pPr>
        <w:sectPr>
          <w:pgSz w:w="11900" w:h="16838" w:orient="portrait"/>
          <w:cols w:equalWidth="0" w:num="1">
            <w:col w:w="10200"/>
          </w:cols>
          <w:pgMar w:left="1440" w:top="280" w:right="259" w:bottom="1440" w:gutter="0" w:footer="0" w:header="0"/>
        </w:sectPr>
      </w:pPr>
    </w:p>
    <w:bookmarkStart w:id="2" w:name="page3"/>
    <w:bookmarkEnd w:id="2"/>
    <w:p>
      <w:pPr>
        <w:ind w:left="6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Ganley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166495" cy="43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6495" cy="43751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auto"/>
        </w:rPr>
        <w:t>July 3, 2012</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Page 3</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hereby acknowledges that (i) it is responsible for the adequacy and accuracy of the disclosure in its filings with the Commission,</w:t>
      </w:r>
    </w:p>
    <w:p>
      <w:pPr>
        <w:spacing w:after="0" w:line="38" w:lineRule="exact"/>
        <w:rPr>
          <w:sz w:val="20"/>
          <w:szCs w:val="20"/>
          <w:color w:val="auto"/>
        </w:rPr>
      </w:pPr>
    </w:p>
    <w:p>
      <w:pPr>
        <w:ind w:left="60" w:right="180" w:firstLine="4"/>
        <w:spacing w:after="0" w:line="255" w:lineRule="auto"/>
        <w:tabs>
          <w:tab w:leader="none" w:pos="318"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any filing and (iii) the Company may not assert Staff comments as a defense in any proceeding initiated by the Commission or any person under the federal securities laws of the United States.</w:t>
      </w:r>
    </w:p>
    <w:p>
      <w:pPr>
        <w:spacing w:after="0" w:line="184" w:lineRule="exact"/>
        <w:rPr>
          <w:rFonts w:ascii="Arial" w:cs="Arial" w:eastAsia="Arial" w:hAnsi="Arial"/>
          <w:sz w:val="18"/>
          <w:szCs w:val="18"/>
          <w:color w:val="auto"/>
        </w:rPr>
      </w:pPr>
    </w:p>
    <w:p>
      <w:pPr>
        <w:ind w:left="3880"/>
        <w:spacing w:after="0"/>
        <w:rPr>
          <w:rFonts w:ascii="Arial" w:cs="Arial" w:eastAsia="Arial" w:hAnsi="Arial"/>
          <w:sz w:val="18"/>
          <w:szCs w:val="18"/>
          <w:color w:val="auto"/>
        </w:rPr>
      </w:pPr>
      <w:r>
        <w:rPr>
          <w:rFonts w:ascii="Arial" w:cs="Arial" w:eastAsia="Arial" w:hAnsi="Arial"/>
          <w:sz w:val="18"/>
          <w:szCs w:val="18"/>
          <w:color w:val="auto"/>
        </w:rPr>
        <w:t>* * * * * * * * * *</w:t>
      </w:r>
    </w:p>
    <w:p>
      <w:pPr>
        <w:spacing w:after="0" w:line="225" w:lineRule="exact"/>
        <w:rPr>
          <w:sz w:val="20"/>
          <w:szCs w:val="20"/>
          <w:color w:val="auto"/>
        </w:rPr>
      </w:pPr>
    </w:p>
    <w:p>
      <w:pPr>
        <w:ind w:left="60" w:right="520"/>
        <w:spacing w:after="0" w:line="370" w:lineRule="auto"/>
        <w:rPr>
          <w:sz w:val="20"/>
          <w:szCs w:val="20"/>
          <w:color w:val="auto"/>
        </w:rPr>
      </w:pPr>
      <w:r>
        <w:rPr>
          <w:rFonts w:ascii="Arial" w:cs="Arial" w:eastAsia="Arial" w:hAnsi="Arial"/>
          <w:sz w:val="15"/>
          <w:szCs w:val="15"/>
          <w:color w:val="auto"/>
        </w:rPr>
        <w:t>If you have any questions, please feel free to contact the undersigned by telephone at 202.261.3352 (or by facsimile at 202.261.3333) or Thomas J. Friedmann at 202.261.3313 (or by facsimile at 202.261.3333). Thank you for your cooperation and attention to this matter.</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William J. Tuttle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William J. Tuttle</w:t>
      </w:r>
    </w:p>
    <w:p>
      <w:pPr>
        <w:spacing w:after="0" w:line="225" w:lineRule="exact"/>
        <w:rPr>
          <w:sz w:val="20"/>
          <w:szCs w:val="20"/>
          <w:color w:val="auto"/>
        </w:rPr>
      </w:pPr>
    </w:p>
    <w:p>
      <w:pPr>
        <w:ind w:left="60"/>
        <w:spacing w:after="0"/>
        <w:tabs>
          <w:tab w:leader="none" w:pos="46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5"/>
          <w:szCs w:val="15"/>
          <w:color w:val="auto"/>
        </w:rPr>
        <w:t>Arthur H. Penn, PennantPark Floating Rate Capital Ltd.</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Aviv Efrat, PennantPark Floating Rate Capital Ltd.</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Thomas J. Friedmann, Dechert LLP</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17276933</w:t>
      </w:r>
    </w:p>
    <w:sectPr>
      <w:pgSz w:w="11900" w:h="16838" w:orient="portrait"/>
      <w:cols w:equalWidth="0" w:num="1">
        <w:col w:w="10140"/>
      </w:cols>
      <w:pgMar w:left="14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Roman"/>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2019-12-09T19:46:37Z</dcterms:created>
  <dcterms:modified xsi:type="dcterms:W3CDTF">2019-12-09T19:46:37Z</dcterms:modified>
</cp:coreProperties>
</file>