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364490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3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(Mark One)</w:t>
      </w:r>
    </w:p>
    <w:p>
      <w:pPr>
        <w:ind w:left="3521" w:right="2820" w:hanging="3521"/>
        <w:spacing w:after="0" w:line="374" w:lineRule="auto"/>
        <w:tabs>
          <w:tab w:leader="none" w:pos="35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SEPTEMBER 30, 2020</w:t>
      </w:r>
    </w:p>
    <w:p>
      <w:pPr>
        <w:spacing w:after="0" w:line="267" w:lineRule="exact"/>
        <w:rPr>
          <w:sz w:val="24"/>
          <w:szCs w:val="24"/>
          <w:color w:val="auto"/>
        </w:rPr>
      </w:pPr>
    </w:p>
    <w:p>
      <w:pPr>
        <w:ind w:left="361" w:hanging="361"/>
        <w:spacing w:after="0"/>
        <w:tabs>
          <w:tab w:leader="none" w:pos="36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-97155</wp:posOffset>
            </wp:positionV>
            <wp:extent cx="79375" cy="8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375" cy="80645"/>
                    </a:xfrm>
                    <a:prstGeom prst="rect">
                      <a:avLst/>
                    </a:prstGeom>
                    <a:noFill/>
                  </pic:spPr>
                </pic:pic>
              </a:graphicData>
            </a:graphic>
          </wp:anchor>
        </w:drawing>
      </w:r>
    </w:p>
    <w:p>
      <w:pPr>
        <w:spacing w:after="0" w:line="82" w:lineRule="exact"/>
        <w:rPr>
          <w:sz w:val="24"/>
          <w:szCs w:val="24"/>
          <w:color w:val="auto"/>
        </w:rPr>
      </w:pPr>
    </w:p>
    <w:p>
      <w:pPr>
        <w:ind w:left="3421"/>
        <w:spacing w:after="0"/>
        <w:tabs>
          <w:tab w:leader="none" w:pos="70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4139565</wp:posOffset>
            </wp:positionH>
            <wp:positionV relativeFrom="paragraph">
              <wp:posOffset>-8255</wp:posOffset>
            </wp:positionV>
            <wp:extent cx="8312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215" cy="762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43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PENNANTPARK FLOATING RATE CAPITAL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06"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760" w:type="dxa"/>
            <w:vAlign w:val="bottom"/>
          </w:tcPr>
          <w:p>
            <w:pPr>
              <w:jc w:val="center"/>
              <w:ind w:left="1676"/>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3700" w:type="dxa"/>
            <w:vAlign w:val="bottom"/>
          </w:tcPr>
          <w:p>
            <w:pPr>
              <w:spacing w:after="0"/>
              <w:rPr>
                <w:sz w:val="12"/>
                <w:szCs w:val="12"/>
                <w:color w:val="auto"/>
              </w:rPr>
            </w:pPr>
          </w:p>
        </w:tc>
        <w:tc>
          <w:tcPr>
            <w:tcW w:w="3780" w:type="dxa"/>
            <w:vAlign w:val="bottom"/>
          </w:tcPr>
          <w:p>
            <w:pPr>
              <w:jc w:val="right"/>
              <w:ind w:right="2358"/>
              <w:spacing w:after="0"/>
              <w:rPr>
                <w:sz w:val="20"/>
                <w:szCs w:val="20"/>
                <w:color w:val="auto"/>
              </w:rPr>
            </w:pPr>
            <w:r>
              <w:rPr>
                <w:rFonts w:ascii="Times New Roman" w:cs="Times New Roman" w:eastAsia="Times New Roman" w:hAnsi="Times New Roman"/>
                <w:sz w:val="13"/>
                <w:szCs w:val="13"/>
                <w:b w:val="1"/>
                <w:bCs w:val="1"/>
                <w:color w:val="auto"/>
              </w:rPr>
              <w:t>27-3794690</w:t>
            </w:r>
          </w:p>
        </w:tc>
        <w:tc>
          <w:tcPr>
            <w:tcW w:w="0" w:type="dxa"/>
            <w:vAlign w:val="bottom"/>
          </w:tcPr>
          <w:p>
            <w:pPr>
              <w:spacing w:after="0"/>
              <w:rPr>
                <w:sz w:val="1"/>
                <w:szCs w:val="1"/>
                <w:color w:val="auto"/>
              </w:rPr>
            </w:pPr>
          </w:p>
        </w:tc>
      </w:tr>
      <w:tr>
        <w:trPr>
          <w:trHeight w:val="142"/>
        </w:trPr>
        <w:tc>
          <w:tcPr>
            <w:tcW w:w="7460" w:type="dxa"/>
            <w:vAlign w:val="bottom"/>
            <w:gridSpan w:val="2"/>
          </w:tcPr>
          <w:p>
            <w:pPr>
              <w:jc w:val="center"/>
              <w:ind w:right="1876"/>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3780" w:type="dxa"/>
            <w:vAlign w:val="bottom"/>
          </w:tcPr>
          <w:p>
            <w:pPr>
              <w:jc w:val="center"/>
              <w:ind w:right="1638"/>
              <w:spacing w:after="0"/>
              <w:rPr>
                <w:sz w:val="20"/>
                <w:szCs w:val="20"/>
                <w:color w:val="auto"/>
              </w:rPr>
            </w:pPr>
            <w:r>
              <w:rPr>
                <w:rFonts w:ascii="Times New Roman" w:cs="Times New Roman" w:eastAsia="Times New Roman" w:hAnsi="Times New Roman"/>
                <w:sz w:val="11"/>
                <w:szCs w:val="11"/>
                <w:b w:val="1"/>
                <w:bCs w:val="1"/>
                <w:color w:val="auto"/>
                <w:w w:val="97"/>
              </w:rPr>
              <w:t>(I.R.S. Employer Identification No.)</w:t>
            </w:r>
          </w:p>
        </w:tc>
        <w:tc>
          <w:tcPr>
            <w:tcW w:w="0" w:type="dxa"/>
            <w:vAlign w:val="bottom"/>
          </w:tcPr>
          <w:p>
            <w:pPr>
              <w:spacing w:after="0"/>
              <w:rPr>
                <w:sz w:val="1"/>
                <w:szCs w:val="1"/>
                <w:color w:val="auto"/>
              </w:rPr>
            </w:pPr>
          </w:p>
        </w:tc>
      </w:tr>
      <w:tr>
        <w:trPr>
          <w:trHeight w:val="243"/>
        </w:trPr>
        <w:tc>
          <w:tcPr>
            <w:tcW w:w="3760" w:type="dxa"/>
            <w:vAlign w:val="bottom"/>
          </w:tcPr>
          <w:p>
            <w:pPr>
              <w:jc w:val="center"/>
              <w:ind w:left="1696"/>
              <w:spacing w:after="0"/>
              <w:rPr>
                <w:sz w:val="20"/>
                <w:szCs w:val="20"/>
                <w:color w:val="auto"/>
              </w:rPr>
            </w:pPr>
            <w:r>
              <w:rPr>
                <w:rFonts w:ascii="Times New Roman" w:cs="Times New Roman" w:eastAsia="Times New Roman" w:hAnsi="Times New Roman"/>
                <w:sz w:val="13"/>
                <w:szCs w:val="13"/>
                <w:b w:val="1"/>
                <w:bCs w:val="1"/>
                <w:color w:val="auto"/>
              </w:rPr>
              <w:t>590 Madison Avenue, 15</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3"/>
                <w:szCs w:val="13"/>
                <w:b w:val="1"/>
                <w:bCs w:val="1"/>
                <w:color w:val="auto"/>
              </w:rPr>
              <w:t xml:space="preserve"> Floor</w:t>
            </w:r>
          </w:p>
        </w:tc>
        <w:tc>
          <w:tcPr>
            <w:tcW w:w="3700" w:type="dxa"/>
            <w:vAlign w:val="bottom"/>
          </w:tcPr>
          <w:p>
            <w:pPr>
              <w:spacing w:after="0"/>
              <w:rPr>
                <w:sz w:val="21"/>
                <w:szCs w:val="21"/>
                <w:color w:val="auto"/>
              </w:rPr>
            </w:pPr>
          </w:p>
        </w:tc>
        <w:tc>
          <w:tcPr>
            <w:tcW w:w="3780" w:type="dxa"/>
            <w:vAlign w:val="bottom"/>
            <w:vMerge w:val="restart"/>
          </w:tcPr>
          <w:p>
            <w:pPr>
              <w:jc w:val="right"/>
              <w:ind w:right="2518"/>
              <w:spacing w:after="0"/>
              <w:rPr>
                <w:sz w:val="20"/>
                <w:szCs w:val="20"/>
                <w:color w:val="auto"/>
              </w:rPr>
            </w:pPr>
            <w:r>
              <w:rPr>
                <w:rFonts w:ascii="Times New Roman" w:cs="Times New Roman" w:eastAsia="Times New Roman" w:hAnsi="Times New Roman"/>
                <w:sz w:val="13"/>
                <w:szCs w:val="13"/>
                <w:b w:val="1"/>
                <w:bCs w:val="1"/>
                <w:color w:val="auto"/>
              </w:rPr>
              <w:t>10022</w:t>
            </w:r>
          </w:p>
        </w:tc>
        <w:tc>
          <w:tcPr>
            <w:tcW w:w="0" w:type="dxa"/>
            <w:vAlign w:val="bottom"/>
          </w:tcPr>
          <w:p>
            <w:pPr>
              <w:spacing w:after="0"/>
              <w:rPr>
                <w:sz w:val="1"/>
                <w:szCs w:val="1"/>
                <w:color w:val="auto"/>
              </w:rPr>
            </w:pPr>
          </w:p>
        </w:tc>
      </w:tr>
      <w:tr>
        <w:trPr>
          <w:trHeight w:val="148"/>
        </w:trPr>
        <w:tc>
          <w:tcPr>
            <w:tcW w:w="3760" w:type="dxa"/>
            <w:vAlign w:val="bottom"/>
          </w:tcPr>
          <w:p>
            <w:pPr>
              <w:jc w:val="center"/>
              <w:ind w:left="1696"/>
              <w:spacing w:after="0" w:line="148" w:lineRule="exact"/>
              <w:rPr>
                <w:sz w:val="20"/>
                <w:szCs w:val="20"/>
                <w:color w:val="auto"/>
              </w:rPr>
            </w:pPr>
            <w:r>
              <w:rPr>
                <w:rFonts w:ascii="Times New Roman" w:cs="Times New Roman" w:eastAsia="Times New Roman" w:hAnsi="Times New Roman"/>
                <w:sz w:val="13"/>
                <w:szCs w:val="13"/>
                <w:b w:val="1"/>
                <w:bCs w:val="1"/>
                <w:color w:val="auto"/>
                <w:w w:val="99"/>
              </w:rPr>
              <w:t>New York, N.Y.</w:t>
            </w:r>
          </w:p>
        </w:tc>
        <w:tc>
          <w:tcPr>
            <w:tcW w:w="370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jc w:val="center"/>
              <w:ind w:left="1676"/>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700" w:type="dxa"/>
            <w:vAlign w:val="bottom"/>
          </w:tcPr>
          <w:p>
            <w:pPr>
              <w:spacing w:after="0"/>
              <w:rPr>
                <w:sz w:val="12"/>
                <w:szCs w:val="12"/>
                <w:color w:val="auto"/>
              </w:rPr>
            </w:pPr>
          </w:p>
        </w:tc>
        <w:tc>
          <w:tcPr>
            <w:tcW w:w="3780" w:type="dxa"/>
            <w:vAlign w:val="bottom"/>
          </w:tcPr>
          <w:p>
            <w:pPr>
              <w:jc w:val="center"/>
              <w:ind w:right="1658"/>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280"/>
        </w:trPr>
        <w:tc>
          <w:tcPr>
            <w:tcW w:w="37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(212) 905-1000</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7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PFLT</w:t>
            </w:r>
          </w:p>
        </w:tc>
        <w:tc>
          <w:tcPr>
            <w:tcW w:w="3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248"/>
        </w:trPr>
        <w:tc>
          <w:tcPr>
            <w:tcW w:w="376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1240" w:type="dxa"/>
            <w:vAlign w:val="bottom"/>
            <w:gridSpan w:val="3"/>
          </w:tcPr>
          <w:p>
            <w:pPr>
              <w:ind w:left="4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0"/>
        </w:trPr>
        <w:tc>
          <w:tcPr>
            <w:tcW w:w="7460" w:type="dxa"/>
            <w:vAlign w:val="bottom"/>
            <w:gridSpan w:val="2"/>
          </w:tcPr>
          <w:p>
            <w:pPr>
              <w:ind w:left="4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78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both"/>
        <w:ind w:left="1" w:right="20" w:firstLine="43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63" w:lineRule="exact"/>
        <w:rPr>
          <w:sz w:val="24"/>
          <w:szCs w:val="24"/>
          <w:color w:val="auto"/>
        </w:rPr>
      </w:pPr>
    </w:p>
    <w:p>
      <w:pPr>
        <w:jc w:val="both"/>
        <w:ind w:left="1" w:firstLine="43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63" w:lineRule="exact"/>
        <w:rPr>
          <w:sz w:val="24"/>
          <w:szCs w:val="24"/>
          <w:color w:val="auto"/>
        </w:rPr>
      </w:pPr>
    </w:p>
    <w:p>
      <w:pPr>
        <w:ind w:left="1" w:right="160" w:firstLine="439"/>
        <w:spacing w:after="0" w:line="25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ind w:left="1960"/>
              <w:spacing w:after="0"/>
              <w:rPr>
                <w:sz w:val="20"/>
                <w:szCs w:val="20"/>
                <w:color w:val="auto"/>
              </w:rPr>
            </w:pPr>
            <w:r>
              <w:rPr>
                <w:rFonts w:ascii="Times New Roman" w:cs="Times New Roman" w:eastAsia="Times New Roman" w:hAnsi="Times New Roman"/>
                <w:sz w:val="13"/>
                <w:szCs w:val="13"/>
                <w:color w:val="auto"/>
              </w:rPr>
              <w:t>Accelerated filer</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5"/>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ind w:left="1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5"/>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8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75" w:lineRule="exact"/>
        <w:rPr>
          <w:sz w:val="24"/>
          <w:szCs w:val="24"/>
          <w:color w:val="auto"/>
        </w:rPr>
      </w:pPr>
    </w:p>
    <w:p>
      <w:pPr>
        <w:ind w:left="1" w:right="480" w:firstLine="43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5" w:lineRule="exact"/>
        <w:rPr>
          <w:sz w:val="24"/>
          <w:szCs w:val="24"/>
          <w:color w:val="auto"/>
        </w:rPr>
      </w:pPr>
    </w:p>
    <w:p>
      <w:pPr>
        <w:ind w:left="1" w:right="20" w:firstLine="43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7" w:lineRule="exact"/>
        <w:rPr>
          <w:sz w:val="24"/>
          <w:szCs w:val="24"/>
          <w:color w:val="auto"/>
        </w:rPr>
      </w:pPr>
    </w:p>
    <w:p>
      <w:pPr>
        <w:ind w:left="441"/>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119" w:lineRule="exact"/>
        <w:rPr>
          <w:sz w:val="24"/>
          <w:szCs w:val="24"/>
          <w:color w:val="auto"/>
        </w:rPr>
      </w:pPr>
    </w:p>
    <w:p>
      <w:pPr>
        <w:ind w:left="441"/>
        <w:spacing w:after="0"/>
        <w:rPr>
          <w:sz w:val="20"/>
          <w:szCs w:val="20"/>
          <w:color w:val="auto"/>
        </w:rPr>
      </w:pPr>
      <w:r>
        <w:rPr>
          <w:rFonts w:ascii="Times New Roman" w:cs="Times New Roman" w:eastAsia="Times New Roman" w:hAnsi="Times New Roman"/>
          <w:sz w:val="13"/>
          <w:szCs w:val="13"/>
          <w:color w:val="auto"/>
        </w:rPr>
        <w:t>The aggregate market value of common stock held by non-affiliates of the Registrant on March 31, 2020 based on the closing price on that date of $4.86 on The Nasdaq Global Select Market was</w:t>
      </w:r>
    </w:p>
    <w:p>
      <w:pPr>
        <w:ind w:left="1"/>
        <w:spacing w:after="0" w:line="220" w:lineRule="auto"/>
        <w:rPr>
          <w:sz w:val="20"/>
          <w:szCs w:val="20"/>
          <w:color w:val="auto"/>
        </w:rPr>
      </w:pPr>
      <w:r>
        <w:rPr>
          <w:rFonts w:ascii="Times New Roman" w:cs="Times New Roman" w:eastAsia="Times New Roman" w:hAnsi="Times New Roman"/>
          <w:sz w:val="13"/>
          <w:szCs w:val="13"/>
          <w:color w:val="auto"/>
        </w:rPr>
        <w:t>approximately $185 million. For the purposes of calculating the aggregate market value of common stock held by non-affiliates, all directors and executive officers of the Registrant have been treated as affiliates.</w:t>
      </w:r>
    </w:p>
    <w:p>
      <w:pPr>
        <w:ind w:left="1"/>
        <w:spacing w:after="0"/>
        <w:rPr>
          <w:sz w:val="20"/>
          <w:szCs w:val="20"/>
          <w:color w:val="auto"/>
        </w:rPr>
      </w:pPr>
      <w:r>
        <w:rPr>
          <w:rFonts w:ascii="Times New Roman" w:cs="Times New Roman" w:eastAsia="Times New Roman" w:hAnsi="Times New Roman"/>
          <w:sz w:val="13"/>
          <w:szCs w:val="13"/>
          <w:color w:val="auto"/>
        </w:rPr>
        <w:t>There were 38,772,074 shares of the Registrant’s common stock outstanding as of November 18, 2020.</w:t>
      </w:r>
    </w:p>
    <w:p>
      <w:pPr>
        <w:spacing w:after="0" w:line="72" w:lineRule="exact"/>
        <w:rPr>
          <w:sz w:val="24"/>
          <w:szCs w:val="24"/>
          <w:color w:val="auto"/>
        </w:rPr>
      </w:pPr>
    </w:p>
    <w:p>
      <w:pPr>
        <w:ind w:left="1" w:right="20" w:firstLine="439"/>
        <w:spacing w:after="0" w:line="254" w:lineRule="auto"/>
        <w:rPr>
          <w:sz w:val="20"/>
          <w:szCs w:val="20"/>
          <w:color w:val="auto"/>
        </w:rPr>
      </w:pPr>
      <w:r>
        <w:rPr>
          <w:rFonts w:ascii="Times New Roman" w:cs="Times New Roman" w:eastAsia="Times New Roman" w:hAnsi="Times New Roman"/>
          <w:sz w:val="13"/>
          <w:szCs w:val="13"/>
          <w:color w:val="auto"/>
        </w:rPr>
        <w:t>Documents Incorporated by Reference: Portions of the Registrant’s Proxy Statement relating to the Registrant’s 2021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5962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6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8500" w:type="dxa"/>
            <w:vAlign w:val="bottom"/>
          </w:tcPr>
          <w:p>
            <w:pPr>
              <w:jc w:val="center"/>
              <w:ind w:left="1294"/>
              <w:spacing w:after="0"/>
              <w:rPr>
                <w:sz w:val="20"/>
                <w:szCs w:val="20"/>
                <w:color w:val="auto"/>
              </w:rPr>
            </w:pPr>
            <w:r>
              <w:rPr>
                <w:rFonts w:ascii="Times New Roman" w:cs="Times New Roman" w:eastAsia="Times New Roman" w:hAnsi="Times New Roman"/>
                <w:sz w:val="13"/>
                <w:szCs w:val="13"/>
                <w:b w:val="1"/>
                <w:bCs w:val="1"/>
                <w:color w:val="auto"/>
                <w:w w:val="99"/>
              </w:rPr>
              <w:t>PENNANTPARK FLOATING RATE CAPITAL LTD.</w:t>
            </w:r>
          </w:p>
        </w:tc>
        <w:tc>
          <w:tcPr>
            <w:tcW w:w="2080" w:type="dxa"/>
            <w:vAlign w:val="bottom"/>
          </w:tcPr>
          <w:p>
            <w:pPr>
              <w:spacing w:after="0"/>
              <w:rPr>
                <w:sz w:val="12"/>
                <w:szCs w:val="12"/>
                <w:color w:val="auto"/>
              </w:rPr>
            </w:pPr>
          </w:p>
        </w:tc>
      </w:tr>
      <w:tr>
        <w:trPr>
          <w:trHeight w:val="136"/>
        </w:trPr>
        <w:tc>
          <w:tcPr>
            <w:tcW w:w="700" w:type="dxa"/>
            <w:vAlign w:val="bottom"/>
          </w:tcPr>
          <w:p>
            <w:pPr>
              <w:spacing w:after="0"/>
              <w:rPr>
                <w:sz w:val="11"/>
                <w:szCs w:val="11"/>
                <w:color w:val="auto"/>
              </w:rPr>
            </w:pPr>
          </w:p>
        </w:tc>
        <w:tc>
          <w:tcPr>
            <w:tcW w:w="8500" w:type="dxa"/>
            <w:vAlign w:val="bottom"/>
          </w:tcPr>
          <w:p>
            <w:pPr>
              <w:jc w:val="center"/>
              <w:ind w:left="1274"/>
              <w:spacing w:after="0" w:line="136" w:lineRule="exact"/>
              <w:rPr>
                <w:sz w:val="20"/>
                <w:szCs w:val="20"/>
                <w:color w:val="auto"/>
              </w:rPr>
            </w:pPr>
            <w:r>
              <w:rPr>
                <w:rFonts w:ascii="Times New Roman" w:cs="Times New Roman" w:eastAsia="Times New Roman" w:hAnsi="Times New Roman"/>
                <w:sz w:val="13"/>
                <w:szCs w:val="13"/>
                <w:b w:val="1"/>
                <w:bCs w:val="1"/>
                <w:color w:val="auto"/>
              </w:rPr>
              <w:t>FORM 10-K</w:t>
            </w:r>
          </w:p>
        </w:tc>
        <w:tc>
          <w:tcPr>
            <w:tcW w:w="2080" w:type="dxa"/>
            <w:vAlign w:val="bottom"/>
          </w:tcPr>
          <w:p>
            <w:pPr>
              <w:spacing w:after="0"/>
              <w:rPr>
                <w:sz w:val="11"/>
                <w:szCs w:val="11"/>
                <w:color w:val="auto"/>
              </w:rPr>
            </w:pPr>
          </w:p>
        </w:tc>
      </w:tr>
      <w:tr>
        <w:trPr>
          <w:trHeight w:val="136"/>
        </w:trPr>
        <w:tc>
          <w:tcPr>
            <w:tcW w:w="700" w:type="dxa"/>
            <w:vAlign w:val="bottom"/>
          </w:tcPr>
          <w:p>
            <w:pPr>
              <w:spacing w:after="0"/>
              <w:rPr>
                <w:sz w:val="11"/>
                <w:szCs w:val="11"/>
                <w:color w:val="auto"/>
              </w:rPr>
            </w:pPr>
          </w:p>
        </w:tc>
        <w:tc>
          <w:tcPr>
            <w:tcW w:w="8500" w:type="dxa"/>
            <w:vAlign w:val="bottom"/>
          </w:tcPr>
          <w:p>
            <w:pPr>
              <w:jc w:val="center"/>
              <w:ind w:left="1274"/>
              <w:spacing w:after="0" w:line="136" w:lineRule="exact"/>
              <w:rPr>
                <w:sz w:val="20"/>
                <w:szCs w:val="20"/>
                <w:color w:val="auto"/>
              </w:rPr>
            </w:pPr>
            <w:r>
              <w:rPr>
                <w:rFonts w:ascii="Times New Roman" w:cs="Times New Roman" w:eastAsia="Times New Roman" w:hAnsi="Times New Roman"/>
                <w:sz w:val="13"/>
                <w:szCs w:val="13"/>
                <w:b w:val="1"/>
                <w:bCs w:val="1"/>
                <w:color w:val="auto"/>
              </w:rPr>
              <w:t>FOR THE FISCAL YEAR ENDED SEPTEMBER 30, 2020</w:t>
            </w:r>
          </w:p>
        </w:tc>
        <w:tc>
          <w:tcPr>
            <w:tcW w:w="2080" w:type="dxa"/>
            <w:vAlign w:val="bottom"/>
          </w:tcPr>
          <w:p>
            <w:pPr>
              <w:spacing w:after="0"/>
              <w:rPr>
                <w:sz w:val="11"/>
                <w:szCs w:val="11"/>
                <w:color w:val="auto"/>
              </w:rPr>
            </w:pPr>
          </w:p>
        </w:tc>
      </w:tr>
      <w:tr>
        <w:trPr>
          <w:trHeight w:val="174"/>
        </w:trPr>
        <w:tc>
          <w:tcPr>
            <w:tcW w:w="700" w:type="dxa"/>
            <w:vAlign w:val="bottom"/>
          </w:tcPr>
          <w:p>
            <w:pPr>
              <w:spacing w:after="0"/>
              <w:rPr>
                <w:sz w:val="15"/>
                <w:szCs w:val="15"/>
                <w:color w:val="auto"/>
              </w:rPr>
            </w:pPr>
          </w:p>
        </w:tc>
        <w:tc>
          <w:tcPr>
            <w:tcW w:w="8500" w:type="dxa"/>
            <w:vAlign w:val="bottom"/>
          </w:tcPr>
          <w:p>
            <w:pPr>
              <w:jc w:val="center"/>
              <w:ind w:left="1294"/>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080" w:type="dxa"/>
            <w:vAlign w:val="bottom"/>
          </w:tcPr>
          <w:p>
            <w:pPr>
              <w:spacing w:after="0"/>
              <w:rPr>
                <w:sz w:val="15"/>
                <w:szCs w:val="15"/>
                <w:color w:val="auto"/>
              </w:rPr>
            </w:pPr>
          </w:p>
        </w:tc>
      </w:tr>
      <w:tr>
        <w:trPr>
          <w:trHeight w:val="273"/>
        </w:trPr>
        <w:tc>
          <w:tcPr>
            <w:tcW w:w="700" w:type="dxa"/>
            <w:vAlign w:val="bottom"/>
          </w:tcPr>
          <w:p>
            <w:pPr>
              <w:spacing w:after="0"/>
              <w:rPr>
                <w:sz w:val="23"/>
                <w:szCs w:val="23"/>
                <w:color w:val="auto"/>
              </w:rPr>
            </w:pPr>
          </w:p>
        </w:tc>
        <w:tc>
          <w:tcPr>
            <w:tcW w:w="8500" w:type="dxa"/>
            <w:vAlign w:val="bottom"/>
          </w:tcPr>
          <w:p>
            <w:pPr>
              <w:jc w:val="center"/>
              <w:ind w:left="1534"/>
              <w:spacing w:after="0"/>
              <w:rPr>
                <w:rFonts w:ascii="Times New Roman" w:cs="Times New Roman" w:eastAsia="Times New Roman" w:hAnsi="Times New Roman"/>
                <w:sz w:val="13"/>
                <w:szCs w:val="13"/>
                <w:b w:val="1"/>
                <w:bCs w:val="1"/>
                <w:u w:val="single" w:color="auto"/>
                <w:color w:val="0000EE"/>
                <w:w w:val="96"/>
              </w:rPr>
            </w:pPr>
            <w:hyperlink w:anchor="page3">
              <w:r>
                <w:rPr>
                  <w:rFonts w:ascii="Times New Roman" w:cs="Times New Roman" w:eastAsia="Times New Roman" w:hAnsi="Times New Roman"/>
                  <w:sz w:val="13"/>
                  <w:szCs w:val="13"/>
                  <w:b w:val="1"/>
                  <w:bCs w:val="1"/>
                  <w:u w:val="single" w:color="auto"/>
                  <w:color w:val="0000EE"/>
                  <w:w w:val="96"/>
                </w:rPr>
                <w:t>PART I</w:t>
              </w:r>
            </w:hyperlink>
          </w:p>
        </w:tc>
        <w:tc>
          <w:tcPr>
            <w:tcW w:w="2080" w:type="dxa"/>
            <w:vAlign w:val="bottom"/>
          </w:tcPr>
          <w:p>
            <w:pPr>
              <w:spacing w:after="0"/>
              <w:rPr>
                <w:sz w:val="23"/>
                <w:szCs w:val="23"/>
                <w:color w:val="auto"/>
              </w:rPr>
            </w:pP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4">
              <w:r>
                <w:rPr>
                  <w:rFonts w:ascii="Times New Roman" w:cs="Times New Roman" w:eastAsia="Times New Roman" w:hAnsi="Times New Roman"/>
                  <w:sz w:val="13"/>
                  <w:szCs w:val="13"/>
                  <w:u w:val="single" w:color="auto"/>
                  <w:color w:val="0000EE"/>
                </w:rPr>
                <w:t>Business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1A.</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18">
              <w:r>
                <w:rPr>
                  <w:rFonts w:ascii="Times New Roman" w:cs="Times New Roman" w:eastAsia="Times New Roman" w:hAnsi="Times New Roman"/>
                  <w:sz w:val="13"/>
                  <w:szCs w:val="13"/>
                  <w:u w:val="single" w:color="auto"/>
                  <w:color w:val="0000EE"/>
                </w:rPr>
                <w:t>Risk Factors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1B.</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Unresolved Staff Comments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2.</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Properties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3.</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Legal Proceedings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4.</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5">
              <w:r>
                <w:rPr>
                  <w:rFonts w:ascii="Times New Roman" w:cs="Times New Roman" w:eastAsia="Times New Roman" w:hAnsi="Times New Roman"/>
                  <w:sz w:val="13"/>
                  <w:szCs w:val="13"/>
                  <w:u w:val="single" w:color="auto"/>
                  <w:color w:val="0000EE"/>
                </w:rPr>
                <w:t>Mine Safety Disclosures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273"/>
        </w:trPr>
        <w:tc>
          <w:tcPr>
            <w:tcW w:w="700" w:type="dxa"/>
            <w:vAlign w:val="bottom"/>
          </w:tcPr>
          <w:p>
            <w:pPr>
              <w:spacing w:after="0"/>
              <w:rPr>
                <w:sz w:val="23"/>
                <w:szCs w:val="23"/>
                <w:color w:val="auto"/>
              </w:rPr>
            </w:pPr>
          </w:p>
        </w:tc>
        <w:tc>
          <w:tcPr>
            <w:tcW w:w="8500" w:type="dxa"/>
            <w:vAlign w:val="bottom"/>
          </w:tcPr>
          <w:p>
            <w:pPr>
              <w:jc w:val="center"/>
              <w:ind w:left="1514"/>
              <w:spacing w:after="0"/>
              <w:rPr>
                <w:rFonts w:ascii="Times New Roman" w:cs="Times New Roman" w:eastAsia="Times New Roman" w:hAnsi="Times New Roman"/>
                <w:sz w:val="13"/>
                <w:szCs w:val="13"/>
                <w:b w:val="1"/>
                <w:bCs w:val="1"/>
                <w:u w:val="single" w:color="auto"/>
                <w:color w:val="0000EE"/>
                <w:w w:val="98"/>
              </w:rPr>
            </w:pPr>
            <w:hyperlink w:anchor="page36">
              <w:r>
                <w:rPr>
                  <w:rFonts w:ascii="Times New Roman" w:cs="Times New Roman" w:eastAsia="Times New Roman" w:hAnsi="Times New Roman"/>
                  <w:sz w:val="13"/>
                  <w:szCs w:val="13"/>
                  <w:b w:val="1"/>
                  <w:bCs w:val="1"/>
                  <w:u w:val="single" w:color="auto"/>
                  <w:color w:val="0000EE"/>
                  <w:w w:val="98"/>
                </w:rPr>
                <w:t>PART II</w:t>
              </w:r>
            </w:hyperlink>
          </w:p>
        </w:tc>
        <w:tc>
          <w:tcPr>
            <w:tcW w:w="2080" w:type="dxa"/>
            <w:vAlign w:val="bottom"/>
          </w:tcPr>
          <w:p>
            <w:pPr>
              <w:spacing w:after="0"/>
              <w:rPr>
                <w:sz w:val="23"/>
                <w:szCs w:val="23"/>
                <w:color w:val="auto"/>
              </w:rPr>
            </w:pP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5.</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6">
              <w:r>
                <w:rPr>
                  <w:rFonts w:ascii="Times New Roman" w:cs="Times New Roman" w:eastAsia="Times New Roman" w:hAnsi="Times New Roman"/>
                  <w:sz w:val="13"/>
                  <w:szCs w:val="13"/>
                  <w:u w:val="single" w:color="auto"/>
                  <w:color w:val="0000EE"/>
                </w:rPr>
                <w:t>Market For Registrant’s Common Equity, Related Stockholder Matters and Issuer Purchases of Equity Securities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39">
              <w:r>
                <w:rPr>
                  <w:rFonts w:ascii="Times New Roman" w:cs="Times New Roman" w:eastAsia="Times New Roman" w:hAnsi="Times New Roman"/>
                  <w:sz w:val="13"/>
                  <w:szCs w:val="13"/>
                  <w:u w:val="single" w:color="auto"/>
                  <w:color w:val="0000EE"/>
                </w:rPr>
                <w:t>Selected Financial Data</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7.</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40">
              <w:r>
                <w:rPr>
                  <w:rFonts w:ascii="Times New Roman" w:cs="Times New Roman" w:eastAsia="Times New Roman" w:hAnsi="Times New Roman"/>
                  <w:sz w:val="13"/>
                  <w:szCs w:val="13"/>
                  <w:u w:val="single" w:color="auto"/>
                  <w:color w:val="0000EE"/>
                </w:rPr>
                <w:t>Management’s Discussion and Analysis of Financial Condition and Results of Operations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7A.</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53">
              <w:r>
                <w:rPr>
                  <w:rFonts w:ascii="Times New Roman" w:cs="Times New Roman" w:eastAsia="Times New Roman" w:hAnsi="Times New Roman"/>
                  <w:sz w:val="13"/>
                  <w:szCs w:val="13"/>
                  <w:u w:val="single" w:color="auto"/>
                  <w:color w:val="0000EE"/>
                </w:rPr>
                <w:t>Quantitative and Qualitative Disclosures About Market Risk</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54">
              <w:r>
                <w:rPr>
                  <w:rFonts w:ascii="Times New Roman" w:cs="Times New Roman" w:eastAsia="Times New Roman" w:hAnsi="Times New Roman"/>
                  <w:sz w:val="13"/>
                  <w:szCs w:val="13"/>
                  <w:u w:val="single" w:color="auto"/>
                  <w:color w:val="0000EE"/>
                </w:rPr>
                <w:t>Consolidated Financial Statements and Supplementary Data</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5">
              <w:r>
                <w:rPr>
                  <w:rFonts w:ascii="Times New Roman" w:cs="Times New Roman" w:eastAsia="Times New Roman" w:hAnsi="Times New Roman"/>
                  <w:sz w:val="13"/>
                  <w:szCs w:val="13"/>
                  <w:u w:val="single" w:color="auto"/>
                  <w:color w:val="0000EE"/>
                </w:rPr>
                <w:t>Changes in and Disagreements with Accountants on Accounting and Financial Disclosure</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9A.</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5">
              <w:r>
                <w:rPr>
                  <w:rFonts w:ascii="Times New Roman" w:cs="Times New Roman" w:eastAsia="Times New Roman" w:hAnsi="Times New Roman"/>
                  <w:sz w:val="13"/>
                  <w:szCs w:val="13"/>
                  <w:u w:val="single" w:color="auto"/>
                  <w:color w:val="0000EE"/>
                </w:rPr>
                <w:t>Controls and Procedures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9B.</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5">
              <w:r>
                <w:rPr>
                  <w:rFonts w:ascii="Times New Roman" w:cs="Times New Roman" w:eastAsia="Times New Roman" w:hAnsi="Times New Roman"/>
                  <w:sz w:val="13"/>
                  <w:szCs w:val="13"/>
                  <w:u w:val="single" w:color="auto"/>
                  <w:color w:val="0000EE"/>
                </w:rPr>
                <w:t>Other Information</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r>
      <w:tr>
        <w:trPr>
          <w:trHeight w:val="273"/>
        </w:trPr>
        <w:tc>
          <w:tcPr>
            <w:tcW w:w="700" w:type="dxa"/>
            <w:vAlign w:val="bottom"/>
          </w:tcPr>
          <w:p>
            <w:pPr>
              <w:spacing w:after="0"/>
              <w:rPr>
                <w:sz w:val="23"/>
                <w:szCs w:val="23"/>
                <w:color w:val="auto"/>
              </w:rPr>
            </w:pPr>
          </w:p>
        </w:tc>
        <w:tc>
          <w:tcPr>
            <w:tcW w:w="8500" w:type="dxa"/>
            <w:vAlign w:val="bottom"/>
          </w:tcPr>
          <w:p>
            <w:pPr>
              <w:jc w:val="center"/>
              <w:ind w:left="1534"/>
              <w:spacing w:after="0"/>
              <w:rPr>
                <w:rFonts w:ascii="Times New Roman" w:cs="Times New Roman" w:eastAsia="Times New Roman" w:hAnsi="Times New Roman"/>
                <w:sz w:val="13"/>
                <w:szCs w:val="13"/>
                <w:b w:val="1"/>
                <w:bCs w:val="1"/>
                <w:u w:val="single" w:color="auto"/>
                <w:color w:val="0000EE"/>
              </w:rPr>
            </w:pPr>
            <w:hyperlink w:anchor="page86">
              <w:r>
                <w:rPr>
                  <w:rFonts w:ascii="Times New Roman" w:cs="Times New Roman" w:eastAsia="Times New Roman" w:hAnsi="Times New Roman"/>
                  <w:sz w:val="13"/>
                  <w:szCs w:val="13"/>
                  <w:b w:val="1"/>
                  <w:bCs w:val="1"/>
                  <w:u w:val="single" w:color="auto"/>
                  <w:color w:val="0000EE"/>
                </w:rPr>
                <w:t>PART III</w:t>
              </w:r>
            </w:hyperlink>
          </w:p>
        </w:tc>
        <w:tc>
          <w:tcPr>
            <w:tcW w:w="2080" w:type="dxa"/>
            <w:vAlign w:val="bottom"/>
          </w:tcPr>
          <w:p>
            <w:pPr>
              <w:spacing w:after="0"/>
              <w:rPr>
                <w:sz w:val="23"/>
                <w:szCs w:val="23"/>
                <w:color w:val="auto"/>
              </w:rPr>
            </w:pP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10.</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6">
              <w:r>
                <w:rPr>
                  <w:rFonts w:ascii="Times New Roman" w:cs="Times New Roman" w:eastAsia="Times New Roman" w:hAnsi="Times New Roman"/>
                  <w:sz w:val="13"/>
                  <w:szCs w:val="13"/>
                  <w:u w:val="single" w:color="auto"/>
                  <w:color w:val="0000EE"/>
                </w:rPr>
                <w:t>Directors, Executive Officers and Corporate Governance</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11.</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6">
              <w:r>
                <w:rPr>
                  <w:rFonts w:ascii="Times New Roman" w:cs="Times New Roman" w:eastAsia="Times New Roman" w:hAnsi="Times New Roman"/>
                  <w:sz w:val="13"/>
                  <w:szCs w:val="13"/>
                  <w:u w:val="single" w:color="auto"/>
                  <w:color w:val="0000EE"/>
                </w:rPr>
                <w:t>Executive Compensation</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12.</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6">
              <w:r>
                <w:rPr>
                  <w:rFonts w:ascii="Times New Roman" w:cs="Times New Roman" w:eastAsia="Times New Roman" w:hAnsi="Times New Roman"/>
                  <w:sz w:val="13"/>
                  <w:szCs w:val="13"/>
                  <w:u w:val="single" w:color="auto"/>
                  <w:color w:val="0000EE"/>
                </w:rPr>
                <w:t>Security Ownership of Certain Beneficial Owners and Management and Related Stockholder Matters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13.</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6">
              <w:r>
                <w:rPr>
                  <w:rFonts w:ascii="Times New Roman" w:cs="Times New Roman" w:eastAsia="Times New Roman" w:hAnsi="Times New Roman"/>
                  <w:sz w:val="13"/>
                  <w:szCs w:val="13"/>
                  <w:u w:val="single" w:color="auto"/>
                  <w:color w:val="0000EE"/>
                </w:rPr>
                <w:t>Certain Relationships and Related Transactions, and Director Independence</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14.</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6">
              <w:r>
                <w:rPr>
                  <w:rFonts w:ascii="Times New Roman" w:cs="Times New Roman" w:eastAsia="Times New Roman" w:hAnsi="Times New Roman"/>
                  <w:sz w:val="13"/>
                  <w:szCs w:val="13"/>
                  <w:u w:val="single" w:color="auto"/>
                  <w:color w:val="0000EE"/>
                </w:rPr>
                <w:t>Principal Accountant Fees and Services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r>
      <w:tr>
        <w:trPr>
          <w:trHeight w:val="273"/>
        </w:trPr>
        <w:tc>
          <w:tcPr>
            <w:tcW w:w="700" w:type="dxa"/>
            <w:vAlign w:val="bottom"/>
          </w:tcPr>
          <w:p>
            <w:pPr>
              <w:spacing w:after="0"/>
              <w:rPr>
                <w:sz w:val="23"/>
                <w:szCs w:val="23"/>
                <w:color w:val="auto"/>
              </w:rPr>
            </w:pPr>
          </w:p>
        </w:tc>
        <w:tc>
          <w:tcPr>
            <w:tcW w:w="8500" w:type="dxa"/>
            <w:vAlign w:val="bottom"/>
          </w:tcPr>
          <w:p>
            <w:pPr>
              <w:jc w:val="center"/>
              <w:ind w:left="1534"/>
              <w:spacing w:after="0"/>
              <w:rPr>
                <w:rFonts w:ascii="Times New Roman" w:cs="Times New Roman" w:eastAsia="Times New Roman" w:hAnsi="Times New Roman"/>
                <w:sz w:val="13"/>
                <w:szCs w:val="13"/>
                <w:b w:val="1"/>
                <w:bCs w:val="1"/>
                <w:u w:val="single" w:color="auto"/>
                <w:color w:val="0000EE"/>
              </w:rPr>
            </w:pPr>
            <w:hyperlink w:anchor="page87">
              <w:r>
                <w:rPr>
                  <w:rFonts w:ascii="Times New Roman" w:cs="Times New Roman" w:eastAsia="Times New Roman" w:hAnsi="Times New Roman"/>
                  <w:sz w:val="13"/>
                  <w:szCs w:val="13"/>
                  <w:b w:val="1"/>
                  <w:bCs w:val="1"/>
                  <w:u w:val="single" w:color="auto"/>
                  <w:color w:val="0000EE"/>
                </w:rPr>
                <w:t>PART IV</w:t>
              </w:r>
            </w:hyperlink>
          </w:p>
        </w:tc>
        <w:tc>
          <w:tcPr>
            <w:tcW w:w="2080" w:type="dxa"/>
            <w:vAlign w:val="bottom"/>
          </w:tcPr>
          <w:p>
            <w:pPr>
              <w:spacing w:after="0"/>
              <w:rPr>
                <w:sz w:val="23"/>
                <w:szCs w:val="23"/>
                <w:color w:val="auto"/>
              </w:rPr>
            </w:pPr>
          </w:p>
        </w:tc>
      </w:tr>
      <w:tr>
        <w:trPr>
          <w:trHeight w:val="273"/>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15.</w:t>
            </w: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7">
              <w:r>
                <w:rPr>
                  <w:rFonts w:ascii="Times New Roman" w:cs="Times New Roman" w:eastAsia="Times New Roman" w:hAnsi="Times New Roman"/>
                  <w:sz w:val="13"/>
                  <w:szCs w:val="13"/>
                  <w:u w:val="single" w:color="auto"/>
                  <w:color w:val="0000EE"/>
                </w:rPr>
                <w:t>Exhibits and Financial Statement Schedules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r>
      <w:tr>
        <w:trPr>
          <w:trHeight w:val="273"/>
        </w:trPr>
        <w:tc>
          <w:tcPr>
            <w:tcW w:w="700" w:type="dxa"/>
            <w:vAlign w:val="bottom"/>
          </w:tcPr>
          <w:p>
            <w:pPr>
              <w:spacing w:after="0"/>
              <w:rPr>
                <w:sz w:val="23"/>
                <w:szCs w:val="23"/>
                <w:color w:val="auto"/>
              </w:rPr>
            </w:pPr>
          </w:p>
        </w:tc>
        <w:tc>
          <w:tcPr>
            <w:tcW w:w="8500" w:type="dxa"/>
            <w:vAlign w:val="bottom"/>
          </w:tcPr>
          <w:p>
            <w:pPr>
              <w:ind w:left="220"/>
              <w:spacing w:after="0"/>
              <w:rPr>
                <w:rFonts w:ascii="Times New Roman" w:cs="Times New Roman" w:eastAsia="Times New Roman" w:hAnsi="Times New Roman"/>
                <w:sz w:val="13"/>
                <w:szCs w:val="13"/>
                <w:u w:val="single" w:color="auto"/>
                <w:color w:val="0000EE"/>
              </w:rPr>
            </w:pPr>
            <w:hyperlink w:anchor="page89">
              <w:r>
                <w:rPr>
                  <w:rFonts w:ascii="Times New Roman" w:cs="Times New Roman" w:eastAsia="Times New Roman" w:hAnsi="Times New Roman"/>
                  <w:sz w:val="13"/>
                  <w:szCs w:val="13"/>
                  <w:u w:val="single" w:color="auto"/>
                  <w:color w:val="0000EE"/>
                </w:rPr>
                <w:t>Signatures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w:t>
            </w:r>
          </w:p>
        </w:tc>
      </w:tr>
      <w:tr>
        <w:trPr>
          <w:trHeight w:val="968"/>
        </w:trPr>
        <w:tc>
          <w:tcPr>
            <w:tcW w:w="70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24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247" w:lineRule="exact"/>
        <w:rPr>
          <w:sz w:val="20"/>
          <w:szCs w:val="20"/>
          <w:color w:val="auto"/>
        </w:rPr>
      </w:pPr>
    </w:p>
    <w:p>
      <w:pPr>
        <w:ind w:right="20" w:firstLine="439"/>
        <w:spacing w:after="0" w:line="231" w:lineRule="auto"/>
        <w:rPr>
          <w:sz w:val="20"/>
          <w:szCs w:val="20"/>
          <w:color w:val="auto"/>
        </w:rPr>
      </w:pPr>
      <w:r>
        <w:rPr>
          <w:rFonts w:ascii="Times New Roman" w:cs="Times New Roman" w:eastAsia="Times New Roman" w:hAnsi="Times New Roman"/>
          <w:sz w:val="13"/>
          <w:szCs w:val="13"/>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 to PennantPark Investment Advisers, LLC; “PennantPark Investment Administration” or “Administrator” refers to PennantPark Investment Administration, LLC; “2023 Notes” refers to our 4.3% Series A notes due 2023; “1940 Act” refers to the Investment Company Act of 1940, as amended; “SBCAA” refers to the Small Business Credit Availability Act; “Code” refers to the Internal Revenue Code of 1986, as amended; “RIC” refers to a regulated investment company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Code; “BDC” refers to a business development company under the 1940 Act; “MCG” refers to MCG Capital Corporation; “Credit Facility” refers to our multi-currency senior secured revolving credit</w:t>
      </w:r>
    </w:p>
    <w:p>
      <w:pPr>
        <w:spacing w:after="0" w:line="24" w:lineRule="exact"/>
        <w:rPr>
          <w:sz w:val="20"/>
          <w:szCs w:val="20"/>
          <w:color w:val="auto"/>
        </w:rPr>
      </w:pPr>
    </w:p>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i w:val="1"/>
          <w:iCs w:val="1"/>
          <w:color w:val="auto"/>
        </w:rPr>
        <w:t>‑</w:t>
      </w:r>
      <w:r>
        <w:rPr>
          <w:rFonts w:ascii="Times New Roman" w:cs="Times New Roman" w:eastAsia="Times New Roman" w:hAnsi="Times New Roman"/>
          <w:sz w:val="13"/>
          <w:szCs w:val="13"/>
          <w:b w:val="1"/>
          <w:bCs w:val="1"/>
          <w:i w:val="1"/>
          <w:iCs w:val="1"/>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-406400</wp:posOffset>
            </wp:positionV>
            <wp:extent cx="27940" cy="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0" cy="1016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3"/>
          <w:szCs w:val="13"/>
          <w:color w:val="auto"/>
        </w:rPr>
        <w:t>Investing in our common stock involves a high degree of risk. Some, but not all, of the risks and uncertainties that we face are related to:</w:t>
      </w:r>
    </w:p>
    <w:p>
      <w:pPr>
        <w:spacing w:after="0" w:line="123" w:lineRule="exact"/>
        <w:rPr>
          <w:sz w:val="20"/>
          <w:szCs w:val="20"/>
          <w:color w:val="auto"/>
        </w:rPr>
      </w:pPr>
    </w:p>
    <w:p>
      <w:pPr>
        <w:ind w:left="720" w:right="4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remain in compliance with the financial and operational covenants of our Credit Facility, as well as the risks associated with our wholly owned subsidiary, Funding I, and the restrictions imposed on Funding I by the Credit Facility;</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operate in a highly competitive market for investment opportunities;</w:t>
      </w:r>
    </w:p>
    <w:p>
      <w:pPr>
        <w:spacing w:after="0" w:line="123" w:lineRule="exact"/>
        <w:rPr>
          <w:rFonts w:ascii="Times New Roman" w:cs="Times New Roman" w:eastAsia="Times New Roman" w:hAnsi="Times New Roman"/>
          <w:sz w:val="13"/>
          <w:szCs w:val="13"/>
          <w:color w:val="auto"/>
        </w:rPr>
      </w:pPr>
    </w:p>
    <w:p>
      <w:pPr>
        <w:ind w:left="720" w:right="2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prospects of our portfolio companies and the ability of our portfolio companies to achieve their objectives, the decline or failure of which may result in our borrowers defaulting on their payments to us;</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Investment Adviser to hire and retain qualified personnel, to monitor and administer our investments and to manage our future growth effectively;</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the interest rate environment, including the phasing out of LIBOR and the uncertainties associated therewith;</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information systems, the failure of which could result in delays or other problems with our business activities, and the susceptibility of such systems to cybersecurity threats;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replicate historical performance of other investment companies and funds with which our professionals have been affiliated;</w:t>
      </w:r>
    </w:p>
    <w:p>
      <w:pPr>
        <w:spacing w:after="0" w:line="160" w:lineRule="exact"/>
        <w:rPr>
          <w:rFonts w:ascii="Times New Roman" w:cs="Times New Roman" w:eastAsia="Times New Roman" w:hAnsi="Times New Roman"/>
          <w:sz w:val="13"/>
          <w:szCs w:val="13"/>
          <w:color w:val="auto"/>
        </w:rPr>
      </w:pPr>
    </w:p>
    <w:p>
      <w:pPr>
        <w:ind w:left="720" w:hanging="362"/>
        <w:spacing w:after="0" w:line="182" w:lineRule="auto"/>
        <w:tabs>
          <w:tab w:leader="none" w:pos="72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02" w:lineRule="exact"/>
        <w:rPr>
          <w:rFonts w:ascii="Times New Roman" w:cs="Times New Roman" w:eastAsia="Times New Roman" w:hAnsi="Times New Roman"/>
          <w:sz w:val="25"/>
          <w:szCs w:val="25"/>
          <w:color w:val="auto"/>
          <w:vertAlign w:val="superscript"/>
        </w:rPr>
      </w:pPr>
    </w:p>
    <w:p>
      <w:pPr>
        <w:ind w:left="720" w:right="14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use of leverage to fund our investments, including the indebtedness resulting from our Credit Facility, 2023 Notes and 2031 Asset-Backed Debt, and the risk that we may fail to comply with the terms governing such indebtedness or maintain certain asset coverage ratio requirements;</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issuance of debt or other securities and the impact of such issuances on the value of our common stock or NAV;</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conditions that may make it difficult for us to refinance or extend the maturity of our existing indebtedness;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conflicts of interest of our Investment Adviser and Administrator;</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dilution caused by any future issuances of subscription rights or warrants;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recent financial reform legislation, uncertainty about presidential administration initiatives and any future laws and regulations on our business and our portfolio companies;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objectives and decisions advanced by the board of directors or the Investment Adviser which are not subject to stockholder approval and potential activism by our shareholders;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illiquid nature of the assets in which we invest and our valuation procedures with respect to such assets;</w:t>
      </w:r>
    </w:p>
    <w:p>
      <w:pPr>
        <w:spacing w:after="0" w:line="123" w:lineRule="exact"/>
        <w:rPr>
          <w:rFonts w:ascii="Times New Roman" w:cs="Times New Roman" w:eastAsia="Times New Roman" w:hAnsi="Times New Roman"/>
          <w:sz w:val="13"/>
          <w:szCs w:val="13"/>
          <w:color w:val="auto"/>
        </w:rPr>
      </w:pPr>
    </w:p>
    <w:p>
      <w:pPr>
        <w:ind w:left="720" w:right="56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investments in loans bearing a variable-rate of interest, or Floating Rate Loans, first lien secured debt, second lien secured debt, subordinated debt and the equity of certain portfolio companies, and the risks of making such investments in privately held middle-market companies;</w:t>
      </w:r>
    </w:p>
    <w:p>
      <w:pPr>
        <w:spacing w:after="0" w:line="92" w:lineRule="exact"/>
        <w:rPr>
          <w:rFonts w:ascii="Times New Roman" w:cs="Times New Roman" w:eastAsia="Times New Roman" w:hAnsi="Times New Roman"/>
          <w:sz w:val="13"/>
          <w:szCs w:val="13"/>
          <w:color w:val="auto"/>
        </w:rPr>
      </w:pPr>
    </w:p>
    <w:p>
      <w:pPr>
        <w:ind w:left="720" w:right="24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dilution of our common stock which may result from issuances of our common stock below the then current NAV per share;</w:t>
      </w:r>
    </w:p>
    <w:p>
      <w:pPr>
        <w:spacing w:after="0" w:line="123" w:lineRule="exact"/>
        <w:rPr>
          <w:rFonts w:ascii="Times New Roman" w:cs="Times New Roman" w:eastAsia="Times New Roman" w:hAnsi="Times New Roman"/>
          <w:sz w:val="13"/>
          <w:szCs w:val="13"/>
          <w:color w:val="auto"/>
        </w:rPr>
      </w:pPr>
    </w:p>
    <w:p>
      <w:pPr>
        <w:ind w:left="720" w:right="140" w:hanging="362"/>
        <w:spacing w:after="0" w:line="254" w:lineRule="auto"/>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allocation of net proceeds from offering in ways which you may not agree and our inability to invest proceeds from offerings in new investment opportunities, which could negatively affect our financial performance;</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liabilities resulting from receiving our stock as a distribution;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measures we have taken to deter takeover attempts, which may adversely impact the price of our common stock;</w:t>
      </w:r>
    </w:p>
    <w:p>
      <w:pPr>
        <w:spacing w:after="0" w:line="12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exchange rate fluctuations which may adversely impact holders of our 2023 Notes that receive payments of principal and interest in New Israeli Shekels;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interests in connection with the Debt Securitization and the offering of the 2031 Asset-Backed Debt by the Securitization Issuers;</w:t>
      </w:r>
    </w:p>
    <w:p>
      <w:pPr>
        <w:spacing w:after="0" w:line="123" w:lineRule="exact"/>
        <w:rPr>
          <w:rFonts w:ascii="Times New Roman" w:cs="Times New Roman" w:eastAsia="Times New Roman" w:hAnsi="Times New Roman"/>
          <w:sz w:val="13"/>
          <w:szCs w:val="13"/>
          <w:color w:val="auto"/>
        </w:rPr>
      </w:pPr>
    </w:p>
    <w:p>
      <w:pPr>
        <w:ind w:left="720" w:right="300" w:hanging="362"/>
        <w:spacing w:after="0" w:line="254" w:lineRule="auto"/>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political, economic or industry conditions or conditions affecting the financial and capital markets, including changes caused by the COVID-19 pandemic and Brexit, that could cause volatility or prolonged disruption of the capital markets and impact the value of our assets;</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COVID-19 pandemic and its effect on our results of operations and the operations of our portfolio companies;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economic sanction laws in the United States and other jurisdictions which may prohibit us and our affiliates from transacting with certain countries, individuals and companies;</w:t>
      </w:r>
    </w:p>
    <w:p>
      <w:pPr>
        <w:spacing w:after="0" w:line="123" w:lineRule="exact"/>
        <w:rPr>
          <w:rFonts w:ascii="Times New Roman" w:cs="Times New Roman" w:eastAsia="Times New Roman" w:hAnsi="Times New Roman"/>
          <w:sz w:val="13"/>
          <w:szCs w:val="13"/>
          <w:color w:val="auto"/>
        </w:rPr>
      </w:pPr>
    </w:p>
    <w:p>
      <w:pPr>
        <w:ind w:left="720" w:hanging="362"/>
        <w:spacing w:after="0" w:line="254" w:lineRule="auto"/>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litigation, whether initiated by shareholders or other parties, and, with respect to the holders of our 2023 Notes, the ability to enforce civil judgments against us and our directors, officers and experts; and</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global climate change on the operations of our portfolio companies.</w:t>
      </w:r>
    </w:p>
    <w:p>
      <w:pPr>
        <w:spacing w:after="0" w:line="123" w:lineRule="exact"/>
        <w:rPr>
          <w:sz w:val="20"/>
          <w:szCs w:val="20"/>
          <w:color w:val="auto"/>
        </w:rPr>
      </w:pPr>
    </w:p>
    <w:p>
      <w:pPr>
        <w:ind w:right="120" w:firstLine="730"/>
        <w:spacing w:after="0" w:line="254" w:lineRule="auto"/>
        <w:rPr>
          <w:sz w:val="20"/>
          <w:szCs w:val="20"/>
          <w:color w:val="auto"/>
        </w:rPr>
      </w:pPr>
      <w:r>
        <w:rPr>
          <w:rFonts w:ascii="Times New Roman" w:cs="Times New Roman" w:eastAsia="Times New Roman" w:hAnsi="Times New Roman"/>
          <w:sz w:val="13"/>
          <w:szCs w:val="13"/>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General Business of PennantPark Floating Rate Capital Ltd.</w:t>
      </w:r>
    </w:p>
    <w:p>
      <w:pPr>
        <w:spacing w:after="0" w:line="115"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92" w:lineRule="exact"/>
        <w:rPr>
          <w:sz w:val="20"/>
          <w:szCs w:val="20"/>
          <w:color w:val="auto"/>
        </w:rPr>
      </w:pPr>
    </w:p>
    <w:p>
      <w:pPr>
        <w:ind w:firstLine="439"/>
        <w:spacing w:after="0" w:line="228"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2" w:lineRule="exact"/>
        <w:rPr>
          <w:sz w:val="20"/>
          <w:szCs w:val="20"/>
          <w:color w:val="auto"/>
        </w:rPr>
      </w:pPr>
    </w:p>
    <w:p>
      <w:pPr>
        <w:ind w:right="100" w:firstLine="439"/>
        <w:spacing w:after="0"/>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207"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27"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Funding I, our wholly-owned subsidiary and a special purpose entity, was organized in Delaware as a limited liability company in May 2011. We formed Funding I in order to establish our Credit Facility.</w:t>
      </w:r>
    </w:p>
    <w:p>
      <w:pPr>
        <w:spacing w:after="0" w:line="123" w:lineRule="exact"/>
        <w:rPr>
          <w:sz w:val="20"/>
          <w:szCs w:val="20"/>
          <w:color w:val="auto"/>
        </w:rPr>
      </w:pPr>
    </w:p>
    <w:p>
      <w:pPr>
        <w:ind w:right="200" w:firstLine="439"/>
        <w:spacing w:after="0" w:line="254" w:lineRule="auto"/>
        <w:rPr>
          <w:sz w:val="20"/>
          <w:szCs w:val="20"/>
          <w:color w:val="auto"/>
        </w:rPr>
      </w:pPr>
      <w:r>
        <w:rPr>
          <w:rFonts w:ascii="Times New Roman" w:cs="Times New Roman" w:eastAsia="Times New Roman" w:hAnsi="Times New Roman"/>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92"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3"/>
          <w:szCs w:val="13"/>
          <w:color w:val="auto"/>
        </w:rPr>
        <w:t>In April 2019, our wholly-owned subsidiary, the Securitization Issuer, was incorporated in the Cayman Islands as an exempted company with limited liability. We formed the Securitization Issuer in order to complete the Debt Securitization.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 Adviser and Administrator</w:t>
      </w:r>
    </w:p>
    <w:p>
      <w:pPr>
        <w:spacing w:after="0" w:line="127"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$11.5 billion in 547 companies with more than 190 different financial sponsors through its managed funds.</w:t>
      </w:r>
    </w:p>
    <w:p>
      <w:pPr>
        <w:spacing w:after="0" w:line="102"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i w:val="1"/>
          <w:iCs w:val="1"/>
          <w:color w:val="auto"/>
        </w:rPr>
        <w:t>Market Opportunity</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believe that the limited amount of capital available to middle-market companies, coupled with the desire of these companies for flexible sources of capital, creates an attractive investment environment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us.</w:t>
      </w:r>
    </w:p>
    <w:p>
      <w:pPr>
        <w:spacing w:after="0" w:line="107" w:lineRule="exact"/>
        <w:rPr>
          <w:sz w:val="20"/>
          <w:szCs w:val="20"/>
          <w:color w:val="auto"/>
        </w:rPr>
      </w:pPr>
    </w:p>
    <w:p>
      <w:pPr>
        <w:ind w:left="900" w:right="120" w:hanging="356"/>
        <w:spacing w:after="0" w:line="257" w:lineRule="auto"/>
        <w:tabs>
          <w:tab w:leader="none" w:pos="9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 believe middle-market companies have faced difficulty raising debt in private markets. </w:t>
      </w:r>
      <w:r>
        <w:rPr>
          <w:rFonts w:ascii="Times New Roman" w:cs="Times New Roman" w:eastAsia="Times New Roman" w:hAnsi="Times New Roman"/>
          <w:sz w:val="13"/>
          <w:szCs w:val="13"/>
          <w:color w:val="auto"/>
        </w:rPr>
        <w:t>From time to time, banks, finance companies, hedge funds and collateralized loan obligation,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CLO, funds have withdrawn, and may again withdraw, capital from the middle-market, resulting in opportunities for alternative funding sources.</w:t>
      </w:r>
    </w:p>
    <w:p>
      <w:pPr>
        <w:spacing w:after="0" w:line="88" w:lineRule="exact"/>
        <w:rPr>
          <w:rFonts w:ascii="Times New Roman" w:cs="Times New Roman" w:eastAsia="Times New Roman" w:hAnsi="Times New Roman"/>
          <w:sz w:val="13"/>
          <w:szCs w:val="13"/>
          <w:color w:val="auto"/>
        </w:rPr>
      </w:pPr>
    </w:p>
    <w:p>
      <w:pPr>
        <w:ind w:left="900" w:right="60" w:hanging="356"/>
        <w:spacing w:after="0" w:line="238" w:lineRule="auto"/>
        <w:tabs>
          <w:tab w:leader="none" w:pos="9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3"/>
          <w:szCs w:val="13"/>
          <w:color w:val="auto"/>
        </w:rPr>
        <w:t>Many middle-market companies look to raise funds by issuing high-yield bonds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00" w:lineRule="exact"/>
        <w:rPr>
          <w:rFonts w:ascii="Times New Roman" w:cs="Times New Roman" w:eastAsia="Times New Roman" w:hAnsi="Times New Roman"/>
          <w:sz w:val="13"/>
          <w:szCs w:val="13"/>
          <w:color w:val="auto"/>
        </w:rPr>
      </w:pPr>
    </w:p>
    <w:p>
      <w:pPr>
        <w:ind w:left="900" w:right="240" w:hanging="356"/>
        <w:spacing w:after="0" w:line="257" w:lineRule="auto"/>
        <w:tabs>
          <w:tab w:leader="none" w:pos="9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3"/>
          <w:szCs w:val="13"/>
          <w:color w:val="auto"/>
        </w:rPr>
        <w:t>From time to time, market participants have reduced lending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middle-market and non-investment grade borrowers. As a result, we believe there is less competition in our market, more conservative capital structures, higher yields and stronger covenants.</w:t>
      </w:r>
    </w:p>
    <w:p>
      <w:pPr>
        <w:spacing w:after="0" w:line="88" w:lineRule="exact"/>
        <w:rPr>
          <w:rFonts w:ascii="Times New Roman" w:cs="Times New Roman" w:eastAsia="Times New Roman" w:hAnsi="Times New Roman"/>
          <w:sz w:val="13"/>
          <w:szCs w:val="13"/>
          <w:color w:val="auto"/>
        </w:rPr>
      </w:pPr>
    </w:p>
    <w:p>
      <w:pPr>
        <w:ind w:left="900" w:right="40" w:hanging="356"/>
        <w:spacing w:after="0" w:line="238" w:lineRule="auto"/>
        <w:tabs>
          <w:tab w:leader="none" w:pos="9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3"/>
          <w:szCs w:val="13"/>
          <w:color w:val="auto"/>
        </w:rPr>
        <w:t>We expect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100" w:lineRule="exact"/>
        <w:rPr>
          <w:rFonts w:ascii="Times New Roman" w:cs="Times New Roman" w:eastAsia="Times New Roman" w:hAnsi="Times New Roman"/>
          <w:sz w:val="13"/>
          <w:szCs w:val="13"/>
          <w:color w:val="auto"/>
        </w:rPr>
      </w:pPr>
    </w:p>
    <w:p>
      <w:pPr>
        <w:ind w:left="900" w:right="60" w:hanging="356"/>
        <w:spacing w:after="0" w:line="233" w:lineRule="auto"/>
        <w:tabs>
          <w:tab w:leader="none" w:pos="9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3"/>
          <w:szCs w:val="13"/>
          <w:color w:val="auto"/>
        </w:rPr>
        <w:t>A high volume of financings will come due in the next few years. Additionally,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Competitive Advantages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believe that we have the following competitive advantages over other capital providers to middle-market companies:</w:t>
      </w:r>
    </w:p>
    <w:p>
      <w:pPr>
        <w:spacing w:after="0" w:line="107" w:lineRule="exact"/>
        <w:rPr>
          <w:sz w:val="20"/>
          <w:szCs w:val="20"/>
          <w:color w:val="auto"/>
        </w:rPr>
      </w:pPr>
    </w:p>
    <w:p>
      <w:pPr>
        <w:ind w:left="900" w:hanging="356"/>
        <w:spacing w:after="0"/>
        <w:tabs>
          <w:tab w:leader="none" w:pos="900" w:val="left"/>
        </w:tabs>
        <w:numPr>
          <w:ilvl w:val="0"/>
          <w:numId w:val="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Experienced Management Team</w:t>
      </w:r>
    </w:p>
    <w:p>
      <w:pPr>
        <w:spacing w:after="0" w:line="127" w:lineRule="exact"/>
        <w:rPr>
          <w:sz w:val="20"/>
          <w:szCs w:val="20"/>
          <w:color w:val="auto"/>
        </w:rPr>
      </w:pPr>
    </w:p>
    <w:p>
      <w:pPr>
        <w:ind w:right="140" w:firstLine="439"/>
        <w:spacing w:after="0" w:line="237" w:lineRule="auto"/>
        <w:rPr>
          <w:sz w:val="20"/>
          <w:szCs w:val="20"/>
          <w:color w:val="auto"/>
        </w:rPr>
      </w:pPr>
      <w:r>
        <w:rPr>
          <w:rFonts w:ascii="Times New Roman" w:cs="Times New Roman" w:eastAsia="Times New Roman" w:hAnsi="Times New Roman"/>
          <w:sz w:val="13"/>
          <w:szCs w:val="13"/>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have resulted in a strong reputation across the capital markets.</w:t>
      </w:r>
    </w:p>
    <w:p>
      <w:pPr>
        <w:spacing w:after="0" w:line="102" w:lineRule="exact"/>
        <w:rPr>
          <w:sz w:val="20"/>
          <w:szCs w:val="20"/>
          <w:color w:val="auto"/>
        </w:rPr>
      </w:pPr>
    </w:p>
    <w:p>
      <w:pPr>
        <w:ind w:right="100" w:firstLine="439"/>
        <w:spacing w:after="0" w:line="233" w:lineRule="auto"/>
        <w:rPr>
          <w:sz w:val="20"/>
          <w:szCs w:val="20"/>
          <w:color w:val="auto"/>
        </w:rPr>
      </w:pPr>
      <w:r>
        <w:rPr>
          <w:rFonts w:ascii="Times New Roman" w:cs="Times New Roman" w:eastAsia="Times New Roman" w:hAnsi="Times New Roman"/>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97" w:lineRule="exact"/>
        <w:rPr>
          <w:sz w:val="20"/>
          <w:szCs w:val="20"/>
          <w:color w:val="auto"/>
        </w:rPr>
      </w:pPr>
    </w:p>
    <w:p>
      <w:pPr>
        <w:ind w:left="900" w:hanging="356"/>
        <w:spacing w:after="0"/>
        <w:tabs>
          <w:tab w:leader="none" w:pos="900" w:val="left"/>
        </w:tabs>
        <w:numPr>
          <w:ilvl w:val="0"/>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Disciplined Investment Approach with Strong Value Orientation</w:t>
      </w:r>
    </w:p>
    <w:p>
      <w:pPr>
        <w:spacing w:after="0" w:line="127" w:lineRule="exact"/>
        <w:rPr>
          <w:sz w:val="20"/>
          <w:szCs w:val="20"/>
          <w:color w:val="auto"/>
        </w:rPr>
      </w:pPr>
    </w:p>
    <w:p>
      <w:pPr>
        <w:ind w:right="120" w:firstLine="439"/>
        <w:spacing w:after="0" w:line="237" w:lineRule="auto"/>
        <w:rPr>
          <w:sz w:val="20"/>
          <w:szCs w:val="20"/>
          <w:color w:val="auto"/>
        </w:rPr>
      </w:pPr>
      <w:r>
        <w:rPr>
          <w:rFonts w:ascii="Times New Roman" w:cs="Times New Roman" w:eastAsia="Times New Roman" w:hAnsi="Times New Roman"/>
          <w:sz w:val="13"/>
          <w:szCs w:val="13"/>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0"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00" w:hanging="356"/>
        <w:spacing w:after="0"/>
        <w:tabs>
          <w:tab w:leader="none" w:pos="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strong competitive positions;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positive cash flow that is steady and stable;</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experienced management teams with strong track records;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for growth and viable exit strategies;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structures offering appropriate risk-adjusted terms and covenants.</w:t>
      </w:r>
    </w:p>
    <w:p>
      <w:pPr>
        <w:spacing w:after="0" w:line="119" w:lineRule="exact"/>
        <w:rPr>
          <w:sz w:val="20"/>
          <w:szCs w:val="20"/>
          <w:color w:val="auto"/>
        </w:rPr>
      </w:pPr>
    </w:p>
    <w:p>
      <w:pPr>
        <w:ind w:left="900" w:hanging="356"/>
        <w:spacing w:after="0"/>
        <w:tabs>
          <w:tab w:leader="none" w:pos="900" w:val="left"/>
        </w:tabs>
        <w:numPr>
          <w:ilvl w:val="0"/>
          <w:numId w:val="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Ability to Source and Evaluate Transactions through our Investment Adviser’s Proactive Research Capability and Established Network</w:t>
      </w:r>
    </w:p>
    <w:p>
      <w:pPr>
        <w:spacing w:after="0" w:line="127" w:lineRule="exact"/>
        <w:rPr>
          <w:sz w:val="20"/>
          <w:szCs w:val="20"/>
          <w:color w:val="auto"/>
        </w:rPr>
      </w:pPr>
    </w:p>
    <w:p>
      <w:pPr>
        <w:ind w:right="80" w:firstLine="439"/>
        <w:spacing w:after="0" w:line="237" w:lineRule="auto"/>
        <w:rPr>
          <w:sz w:val="20"/>
          <w:szCs w:val="20"/>
          <w:color w:val="auto"/>
        </w:rPr>
      </w:pPr>
      <w:r>
        <w:rPr>
          <w:rFonts w:ascii="Times New Roman" w:cs="Times New Roman" w:eastAsia="Times New Roman" w:hAnsi="Times New Roman"/>
          <w:sz w:val="13"/>
          <w:szCs w:val="13"/>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6" w:lineRule="exact"/>
        <w:rPr>
          <w:sz w:val="20"/>
          <w:szCs w:val="20"/>
          <w:color w:val="auto"/>
        </w:rPr>
      </w:pPr>
    </w:p>
    <w:p>
      <w:pPr>
        <w:ind w:left="900" w:hanging="356"/>
        <w:spacing w:after="0"/>
        <w:tabs>
          <w:tab w:leader="none" w:pos="900"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Flexible Transaction Structuring</w:t>
      </w:r>
    </w:p>
    <w:p>
      <w:pPr>
        <w:spacing w:after="0" w:line="127" w:lineRule="exact"/>
        <w:rPr>
          <w:sz w:val="20"/>
          <w:szCs w:val="20"/>
          <w:color w:val="auto"/>
        </w:rPr>
      </w:pPr>
    </w:p>
    <w:p>
      <w:pPr>
        <w:ind w:right="360" w:firstLine="439"/>
        <w:spacing w:after="0" w:line="254" w:lineRule="auto"/>
        <w:rPr>
          <w:sz w:val="20"/>
          <w:szCs w:val="20"/>
          <w:color w:val="auto"/>
        </w:rPr>
      </w:pPr>
      <w:r>
        <w:rPr>
          <w:rFonts w:ascii="Times New Roman" w:cs="Times New Roman" w:eastAsia="Times New Roman" w:hAnsi="Times New Roman"/>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2" w:right="359" w:bottom="1440" w:gutter="0" w:footer="0" w:header="0"/>
        </w:sectPr>
      </w:pPr>
    </w:p>
    <w:bookmarkStart w:id="5" w:name="page6"/>
    <w:bookmarkEnd w:id="5"/>
    <w:p>
      <w:pPr>
        <w:ind w:right="120" w:firstLine="439"/>
        <w:spacing w:after="0" w:line="254" w:lineRule="auto"/>
        <w:rPr>
          <w:sz w:val="20"/>
          <w:szCs w:val="20"/>
          <w:color w:val="auto"/>
        </w:rPr>
      </w:pPr>
      <w:r>
        <w:rPr>
          <w:rFonts w:ascii="Times New Roman" w:cs="Times New Roman" w:eastAsia="Times New Roman" w:hAnsi="Times New Roman"/>
          <w:sz w:val="13"/>
          <w:szCs w:val="13"/>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80"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3"/>
          <w:szCs w:val="13"/>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127"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89"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Leverage</w:t>
      </w:r>
    </w:p>
    <w:p>
      <w:pPr>
        <w:spacing w:after="0" w:line="127" w:lineRule="exact"/>
        <w:rPr>
          <w:sz w:val="20"/>
          <w:szCs w:val="20"/>
          <w:color w:val="auto"/>
        </w:rPr>
      </w:pPr>
    </w:p>
    <w:p>
      <w:pPr>
        <w:ind w:firstLine="439"/>
        <w:spacing w:after="0" w:line="226" w:lineRule="auto"/>
        <w:rPr>
          <w:sz w:val="20"/>
          <w:szCs w:val="20"/>
          <w:color w:val="auto"/>
        </w:rPr>
      </w:pPr>
      <w:r>
        <w:rPr>
          <w:rFonts w:ascii="Times New Roman" w:cs="Times New Roman" w:eastAsia="Times New Roman" w:hAnsi="Times New Roman"/>
          <w:sz w:val="13"/>
          <w:szCs w:val="13"/>
          <w:color w:val="auto"/>
        </w:rPr>
        <w:t>As of September 30, 2020, we maintained a $520 million Credit Facility, which matures in October 2023, with the Lenders.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The Credit Facility is secured by all of the assets held by Funding I, under which we had $308.6 million outstanding as of September 30, 2020. The Credit Facility had a weighted average interest rate of 2.2% and 4.1%, exclusive of the fee on undrawn commitments as of September 30, 2020 and 2019, respectively. As of September 30, 2020 and 2019, we had $211.4 million and $254.7 million, respectively, of unused borrowing capacity under our Credit Facility,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140% and 170% of our net assets, or approximately 60% to 65% of our managed assets. We cannot assure investors that our leverage will remain within the range. The amount of leverage that we employ will depend on our assessment of the market and other factors at the time of any proposed borrowing.</w:t>
      </w:r>
    </w:p>
    <w:p>
      <w:pPr>
        <w:spacing w:after="0" w:line="105"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As of September 30, 2020 we had $138.6 million in aggregate principal amount of 2023 Notes outstanding. The 2023 Notes were issued pursuant to a deed of trust between the Company and Mishmeret Trust Company, Ltd. as trustee. 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60" w:firstLine="439"/>
        <w:spacing w:after="0" w:line="228"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As of both September 30, 2020 and 2019, the Company had $228.0 million of 2031 Asset-Backed Debt outstanding with a weighted average interest rate of 2.7% and 4.2%, respectively. See “Management’s Discussion and Analysis of Financial Condition and Results of Operations—Liquidity and Capital Resources” for more information.</w:t>
      </w:r>
    </w:p>
    <w:p>
      <w:pPr>
        <w:spacing w:after="0" w:line="102"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See “Management’s Discussion and Analysis of Financial Condition and Results of Operations” for more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Policy Overview</w:t>
      </w:r>
    </w:p>
    <w:p>
      <w:pPr>
        <w:spacing w:after="0" w:line="115" w:lineRule="exact"/>
        <w:rPr>
          <w:sz w:val="20"/>
          <w:szCs w:val="20"/>
          <w:color w:val="auto"/>
        </w:rPr>
      </w:pPr>
    </w:p>
    <w:p>
      <w:pPr>
        <w:ind w:right="80" w:firstLine="439"/>
        <w:spacing w:after="0" w:line="226" w:lineRule="auto"/>
        <w:rPr>
          <w:sz w:val="20"/>
          <w:szCs w:val="20"/>
          <w:color w:val="auto"/>
        </w:rPr>
      </w:pPr>
      <w:r>
        <w:rPr>
          <w:rFonts w:ascii="Times New Roman" w:cs="Times New Roman" w:eastAsia="Times New Roman" w:hAnsi="Times New Roman"/>
          <w:sz w:val="13"/>
          <w:szCs w:val="13"/>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05"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01" w:lineRule="exact"/>
        <w:rPr>
          <w:sz w:val="20"/>
          <w:szCs w:val="20"/>
          <w:color w:val="auto"/>
        </w:rPr>
      </w:pPr>
    </w:p>
    <w:p>
      <w:pPr>
        <w:ind w:right="140" w:firstLine="439"/>
        <w:spacing w:after="0" w:line="233"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i w:val="1"/>
          <w:iCs w:val="1"/>
          <w:color w:val="auto"/>
        </w:rPr>
        <w:t>First Lien Secured Debt</w:t>
      </w:r>
    </w:p>
    <w:p>
      <w:pPr>
        <w:spacing w:after="0" w:line="127"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Lien Secured Debt</w:t>
      </w:r>
    </w:p>
    <w:p>
      <w:pPr>
        <w:spacing w:after="0" w:line="127"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Subordinated Debt</w:t>
      </w:r>
    </w:p>
    <w:p>
      <w:pPr>
        <w:spacing w:after="0" w:line="127" w:lineRule="exact"/>
        <w:rPr>
          <w:sz w:val="20"/>
          <w:szCs w:val="20"/>
          <w:color w:val="auto"/>
        </w:rPr>
      </w:pPr>
    </w:p>
    <w:p>
      <w:pPr>
        <w:ind w:right="140" w:firstLine="439"/>
        <w:spacing w:after="0" w:line="230" w:lineRule="auto"/>
        <w:rPr>
          <w:sz w:val="20"/>
          <w:szCs w:val="20"/>
          <w:color w:val="auto"/>
        </w:rPr>
      </w:pPr>
      <w:r>
        <w:rPr>
          <w:rFonts w:ascii="Times New Roman" w:cs="Times New Roman" w:eastAsia="Times New Roman" w:hAnsi="Times New Roman"/>
          <w:sz w:val="13"/>
          <w:szCs w:val="13"/>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Selection Criteria</w:t>
      </w:r>
    </w:p>
    <w:p>
      <w:pPr>
        <w:spacing w:after="0" w:line="115"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92" w:lineRule="exact"/>
        <w:rPr>
          <w:sz w:val="20"/>
          <w:szCs w:val="20"/>
          <w:color w:val="auto"/>
        </w:rPr>
      </w:pPr>
    </w:p>
    <w:p>
      <w:pPr>
        <w:ind w:right="260" w:firstLine="439"/>
        <w:spacing w:after="0" w:line="237" w:lineRule="auto"/>
        <w:rPr>
          <w:sz w:val="20"/>
          <w:szCs w:val="20"/>
          <w:color w:val="auto"/>
        </w:rPr>
      </w:pPr>
      <w:r>
        <w:rPr>
          <w:rFonts w:ascii="Times New Roman" w:cs="Times New Roman" w:eastAsia="Times New Roman" w:hAnsi="Times New Roman"/>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98" w:lineRule="exact"/>
        <w:rPr>
          <w:sz w:val="20"/>
          <w:szCs w:val="20"/>
          <w:color w:val="auto"/>
        </w:rPr>
      </w:pPr>
    </w:p>
    <w:p>
      <w:pPr>
        <w:ind w:left="900" w:hanging="356"/>
        <w:spacing w:after="0"/>
        <w:tabs>
          <w:tab w:leader="none" w:pos="900" w:val="left"/>
        </w:tabs>
        <w:numPr>
          <w:ilvl w:val="0"/>
          <w:numId w:val="1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Leading and defensible competitive market positions</w:t>
      </w:r>
    </w:p>
    <w:p>
      <w:pPr>
        <w:spacing w:after="0" w:line="127" w:lineRule="exact"/>
        <w:rPr>
          <w:sz w:val="20"/>
          <w:szCs w:val="20"/>
          <w:color w:val="auto"/>
        </w:rPr>
      </w:pPr>
    </w:p>
    <w:p>
      <w:pPr>
        <w:ind w:right="320" w:firstLine="439"/>
        <w:spacing w:after="0" w:line="254" w:lineRule="auto"/>
        <w:rPr>
          <w:sz w:val="20"/>
          <w:szCs w:val="20"/>
          <w:color w:val="auto"/>
        </w:rPr>
      </w:pPr>
      <w:r>
        <w:rPr>
          <w:rFonts w:ascii="Times New Roman" w:cs="Times New Roman" w:eastAsia="Times New Roman" w:hAnsi="Times New Roman"/>
          <w:sz w:val="13"/>
          <w:szCs w:val="13"/>
          <w:color w:val="auto"/>
        </w:rPr>
        <w:t>The Investment Adviser invests in portfolio companies that it believes have developed strong positions within their markets. The Investment Adviser also seeks to invest in portfolio companies that it believes possess competitive advantages in, for example, scale, scope, customer loyalty, product pricing or product quality as compared to their competitors to protect their market position.</w:t>
      </w:r>
    </w:p>
    <w:p>
      <w:pPr>
        <w:spacing w:after="0" w:line="76" w:lineRule="exact"/>
        <w:rPr>
          <w:sz w:val="20"/>
          <w:szCs w:val="20"/>
          <w:color w:val="auto"/>
        </w:rPr>
      </w:pPr>
    </w:p>
    <w:p>
      <w:pPr>
        <w:ind w:left="900" w:hanging="356"/>
        <w:spacing w:after="0"/>
        <w:tabs>
          <w:tab w:leader="none" w:pos="900" w:val="left"/>
        </w:tabs>
        <w:numPr>
          <w:ilvl w:val="0"/>
          <w:numId w:val="1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Investing in stable borrowers with positive cash flow</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7" w:lineRule="exact"/>
        <w:rPr>
          <w:sz w:val="20"/>
          <w:szCs w:val="20"/>
          <w:color w:val="auto"/>
        </w:rPr>
      </w:pPr>
    </w:p>
    <w:p>
      <w:pPr>
        <w:ind w:left="900" w:hanging="356"/>
        <w:spacing w:after="0"/>
        <w:tabs>
          <w:tab w:leader="none" w:pos="900" w:val="left"/>
        </w:tabs>
        <w:numPr>
          <w:ilvl w:val="0"/>
          <w:numId w:val="1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Proven management teams</w:t>
      </w:r>
    </w:p>
    <w:p>
      <w:pPr>
        <w:spacing w:after="0" w:line="127" w:lineRule="exact"/>
        <w:rPr>
          <w:sz w:val="20"/>
          <w:szCs w:val="20"/>
          <w:color w:val="auto"/>
        </w:rPr>
      </w:pPr>
    </w:p>
    <w:p>
      <w:pPr>
        <w:ind w:right="420" w:firstLine="439"/>
        <w:spacing w:after="0" w:line="254" w:lineRule="auto"/>
        <w:rPr>
          <w:sz w:val="20"/>
          <w:szCs w:val="20"/>
          <w:color w:val="auto"/>
        </w:rPr>
      </w:pPr>
      <w:r>
        <w:rPr>
          <w:rFonts w:ascii="Times New Roman" w:cs="Times New Roman" w:eastAsia="Times New Roman" w:hAnsi="Times New Roman"/>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88" w:lineRule="exact"/>
        <w:rPr>
          <w:sz w:val="20"/>
          <w:szCs w:val="20"/>
          <w:color w:val="auto"/>
        </w:rPr>
      </w:pPr>
    </w:p>
    <w:p>
      <w:pPr>
        <w:ind w:left="900" w:hanging="356"/>
        <w:spacing w:after="0"/>
        <w:tabs>
          <w:tab w:leader="none" w:pos="900" w:val="left"/>
        </w:tabs>
        <w:numPr>
          <w:ilvl w:val="0"/>
          <w:numId w:val="1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Financial sponsorship</w:t>
      </w:r>
    </w:p>
    <w:p>
      <w:pPr>
        <w:spacing w:after="0" w:line="127" w:lineRule="exact"/>
        <w:rPr>
          <w:sz w:val="20"/>
          <w:szCs w:val="20"/>
          <w:color w:val="auto"/>
        </w:rPr>
      </w:pPr>
    </w:p>
    <w:p>
      <w:pPr>
        <w:ind w:right="240" w:firstLine="439"/>
        <w:spacing w:after="0" w:line="237" w:lineRule="auto"/>
        <w:rPr>
          <w:sz w:val="20"/>
          <w:szCs w:val="20"/>
          <w:color w:val="auto"/>
        </w:rPr>
      </w:pPr>
      <w:r>
        <w:rPr>
          <w:rFonts w:ascii="Times New Roman" w:cs="Times New Roman" w:eastAsia="Times New Roman" w:hAnsi="Times New Roman"/>
          <w:sz w:val="13"/>
          <w:szCs w:val="13"/>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86" w:lineRule="exact"/>
        <w:rPr>
          <w:sz w:val="20"/>
          <w:szCs w:val="20"/>
          <w:color w:val="auto"/>
        </w:rPr>
      </w:pPr>
    </w:p>
    <w:p>
      <w:pPr>
        <w:ind w:left="900" w:hanging="356"/>
        <w:spacing w:after="0"/>
        <w:tabs>
          <w:tab w:leader="none" w:pos="900" w:val="left"/>
        </w:tabs>
        <w:numPr>
          <w:ilvl w:val="0"/>
          <w:numId w:val="1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Investments in different borrowers, industries and geographies</w:t>
      </w:r>
    </w:p>
    <w:p>
      <w:pPr>
        <w:spacing w:after="0" w:line="12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88" w:lineRule="exact"/>
        <w:rPr>
          <w:sz w:val="20"/>
          <w:szCs w:val="20"/>
          <w:color w:val="auto"/>
        </w:rPr>
      </w:pPr>
    </w:p>
    <w:p>
      <w:pPr>
        <w:ind w:left="900" w:hanging="356"/>
        <w:spacing w:after="0"/>
        <w:tabs>
          <w:tab w:leader="none" w:pos="900" w:val="left"/>
        </w:tabs>
        <w:numPr>
          <w:ilvl w:val="0"/>
          <w:numId w:val="1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Viable exit strategy</w:t>
      </w:r>
    </w:p>
    <w:p>
      <w:pPr>
        <w:spacing w:after="0" w:line="127" w:lineRule="exact"/>
        <w:rPr>
          <w:sz w:val="20"/>
          <w:szCs w:val="20"/>
          <w:color w:val="auto"/>
        </w:rPr>
      </w:pPr>
    </w:p>
    <w:p>
      <w:pPr>
        <w:ind w:right="340" w:firstLine="439"/>
        <w:spacing w:after="0" w:line="230" w:lineRule="auto"/>
        <w:rPr>
          <w:sz w:val="20"/>
          <w:szCs w:val="20"/>
          <w:color w:val="auto"/>
        </w:rPr>
      </w:pPr>
      <w:r>
        <w:rPr>
          <w:rFonts w:ascii="Times New Roman" w:cs="Times New Roman" w:eastAsia="Times New Roman" w:hAnsi="Times New Roman"/>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Due Diligence</w:t>
      </w:r>
    </w:p>
    <w:p>
      <w:pPr>
        <w:spacing w:after="0" w:line="115" w:lineRule="exact"/>
        <w:rPr>
          <w:sz w:val="20"/>
          <w:szCs w:val="20"/>
          <w:color w:val="auto"/>
        </w:rPr>
      </w:pPr>
    </w:p>
    <w:p>
      <w:pPr>
        <w:ind w:right="140" w:firstLine="439"/>
        <w:spacing w:after="0" w:line="237"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3"/>
          <w:szCs w:val="13"/>
          <w:color w:val="auto"/>
        </w:rPr>
        <w:t>Our due diligence may include:</w:t>
      </w:r>
    </w:p>
    <w:p>
      <w:pPr>
        <w:spacing w:after="0" w:line="111" w:lineRule="exact"/>
        <w:rPr>
          <w:sz w:val="20"/>
          <w:szCs w:val="20"/>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of historical and prospective financial information;</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relating to the portfolio company’s management, industry, markets, products and services and competitors;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interviews with management, employees, customers and vendors of the potential portfolio company;</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on-site visits;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of loan documents;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background checks.</w:t>
      </w:r>
    </w:p>
    <w:p>
      <w:pPr>
        <w:spacing w:after="0" w:line="123" w:lineRule="exact"/>
        <w:rPr>
          <w:sz w:val="20"/>
          <w:szCs w:val="20"/>
          <w:color w:val="auto"/>
        </w:rPr>
      </w:pPr>
    </w:p>
    <w:p>
      <w:pPr>
        <w:ind w:right="640" w:firstLine="439"/>
        <w:spacing w:after="0" w:line="254" w:lineRule="auto"/>
        <w:rPr>
          <w:sz w:val="20"/>
          <w:szCs w:val="20"/>
          <w:color w:val="auto"/>
        </w:rPr>
      </w:pPr>
      <w:r>
        <w:rPr>
          <w:rFonts w:ascii="Times New Roman" w:cs="Times New Roman" w:eastAsia="Times New Roman" w:hAnsi="Times New Roman"/>
          <w:sz w:val="13"/>
          <w:szCs w:val="13"/>
          <w:color w:val="auto"/>
        </w:rPr>
        <w:t>Additional due diligence with respect to any investment may be conducted on our behalf by attorneys and accountants prior to the closing of the investment, as well as other outside advisers, as appropriate.</w:t>
      </w:r>
    </w:p>
    <w:p>
      <w:pPr>
        <w:spacing w:after="0" w:line="92"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Structure</w:t>
      </w:r>
    </w:p>
    <w:p>
      <w:pPr>
        <w:spacing w:after="0" w:line="115"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92"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2"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89" w:lineRule="exact"/>
        <w:rPr>
          <w:sz w:val="20"/>
          <w:szCs w:val="20"/>
          <w:color w:val="auto"/>
        </w:rPr>
      </w:pPr>
    </w:p>
    <w:p>
      <w:pPr>
        <w:ind w:right="20" w:firstLine="439"/>
        <w:spacing w:after="0" w:line="237" w:lineRule="auto"/>
        <w:rPr>
          <w:sz w:val="20"/>
          <w:szCs w:val="20"/>
          <w:color w:val="auto"/>
        </w:rPr>
      </w:pPr>
      <w:r>
        <w:rPr>
          <w:rFonts w:ascii="Times New Roman" w:cs="Times New Roman" w:eastAsia="Times New Roman" w:hAnsi="Times New Roman"/>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02" w:lineRule="exact"/>
        <w:rPr>
          <w:sz w:val="20"/>
          <w:szCs w:val="20"/>
          <w:color w:val="auto"/>
        </w:rPr>
      </w:pPr>
    </w:p>
    <w:p>
      <w:pPr>
        <w:ind w:left="900" w:hanging="356"/>
        <w:spacing w:after="0"/>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a total return on our investments (including both interest in the form of a floor and potential equity appreciation) that compensates us for credit risk;</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incorporating “put” rights and call protection into the investment structure; and</w:t>
      </w:r>
    </w:p>
    <w:p>
      <w:pPr>
        <w:spacing w:after="0" w:line="123" w:lineRule="exact"/>
        <w:rPr>
          <w:rFonts w:ascii="Times New Roman" w:cs="Times New Roman" w:eastAsia="Times New Roman" w:hAnsi="Times New Roman"/>
          <w:sz w:val="13"/>
          <w:szCs w:val="13"/>
          <w:color w:val="auto"/>
        </w:rPr>
      </w:pPr>
    </w:p>
    <w:p>
      <w:pPr>
        <w:ind w:left="900" w:right="100" w:hanging="356"/>
        <w:spacing w:after="0" w:line="237"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02"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expect to hold most of our investments to maturity or repayment, but we may exit certain investments earlier when a liquidity event, such as the sale or refinancing of a portfolio company, takes place.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also may turn over investments to better position the portfolio in light of market conditions.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Ongoing Relationships with Portfolio Companies</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Monitoring</w:t>
      </w:r>
    </w:p>
    <w:p>
      <w:pPr>
        <w:spacing w:after="0" w:line="127" w:lineRule="exact"/>
        <w:rPr>
          <w:sz w:val="20"/>
          <w:szCs w:val="20"/>
          <w:color w:val="auto"/>
        </w:rPr>
      </w:pPr>
    </w:p>
    <w:p>
      <w:pPr>
        <w:ind w:right="420" w:firstLine="439"/>
        <w:spacing w:after="0" w:line="254" w:lineRule="auto"/>
        <w:rPr>
          <w:sz w:val="20"/>
          <w:szCs w:val="20"/>
          <w:color w:val="auto"/>
        </w:rPr>
      </w:pPr>
      <w:r>
        <w:rPr>
          <w:rFonts w:ascii="Times New Roman" w:cs="Times New Roman" w:eastAsia="Times New Roman" w:hAnsi="Times New Roman"/>
          <w:sz w:val="13"/>
          <w:szCs w:val="13"/>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00" w:hanging="356"/>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assessment of success in adhering to a portfolio company’s business plan and compliance with covenants;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periodic or regular contact with portfolio company management and, if appropriate, the financial or strategic sponsor, to discuss financial position, requirements and accomplishments;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comparisons to other portfolio companies in the industry, if any;</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attendance at and participation in board meetings or presentations by portfolio companies;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of periodic financial statements and financial projections for portfolio companies.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ind w:left="1" w:right="80" w:firstLine="439"/>
        <w:spacing w:after="0" w:line="226" w:lineRule="auto"/>
        <w:rPr>
          <w:sz w:val="20"/>
          <w:szCs w:val="20"/>
          <w:color w:val="auto"/>
        </w:rPr>
      </w:pPr>
      <w:r>
        <w:rPr>
          <w:rFonts w:ascii="Times New Roman" w:cs="Times New Roman" w:eastAsia="Times New Roman" w:hAnsi="Times New Roman"/>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w:t>
      </w:r>
    </w:p>
    <w:p>
      <w:pPr>
        <w:spacing w:after="0" w:line="1" w:lineRule="exact"/>
        <w:rPr>
          <w:sz w:val="20"/>
          <w:szCs w:val="20"/>
          <w:color w:val="auto"/>
        </w:rPr>
      </w:pPr>
    </w:p>
    <w:p>
      <w:pPr>
        <w:ind w:left="1" w:right="60" w:hanging="1"/>
        <w:spacing w:after="0" w:line="235" w:lineRule="auto"/>
        <w:tabs>
          <w:tab w:leader="none" w:pos="18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portfolio company’s debt maturities and capital requirements; (6) a portfolio company’s interest and asset coverage; and (7) the relative value of an investment based on a portfolio company’s anticipated cash flow.</w:t>
      </w:r>
    </w:p>
    <w:p>
      <w:pPr>
        <w:spacing w:after="0" w:line="86"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w:t>
      </w:r>
    </w:p>
    <w:p>
      <w:pPr>
        <w:spacing w:after="0" w:line="127" w:lineRule="exact"/>
        <w:rPr>
          <w:sz w:val="20"/>
          <w:szCs w:val="20"/>
          <w:color w:val="auto"/>
        </w:rPr>
      </w:pPr>
    </w:p>
    <w:p>
      <w:pPr>
        <w:ind w:left="1" w:right="240" w:firstLine="439"/>
        <w:spacing w:after="0" w:line="254" w:lineRule="auto"/>
        <w:rPr>
          <w:sz w:val="20"/>
          <w:szCs w:val="20"/>
          <w:color w:val="auto"/>
        </w:rPr>
      </w:pPr>
      <w:r>
        <w:rPr>
          <w:rFonts w:ascii="Times New Roman" w:cs="Times New Roman" w:eastAsia="Times New Roman" w:hAnsi="Times New Roman"/>
          <w:sz w:val="13"/>
          <w:szCs w:val="13"/>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88"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13"/>
          <w:szCs w:val="13"/>
          <w:b w:val="1"/>
          <w:bCs w:val="1"/>
          <w:i w:val="1"/>
          <w:iCs w:val="1"/>
          <w:color w:val="auto"/>
        </w:rPr>
        <w:t>Staffing</w:t>
      </w:r>
    </w:p>
    <w:p>
      <w:pPr>
        <w:spacing w:after="0" w:line="115" w:lineRule="exact"/>
        <w:rPr>
          <w:sz w:val="20"/>
          <w:szCs w:val="20"/>
          <w:color w:val="auto"/>
        </w:rPr>
      </w:pPr>
    </w:p>
    <w:p>
      <w:pPr>
        <w:ind w:left="1" w:right="640" w:firstLine="439"/>
        <w:spacing w:after="0" w:line="254" w:lineRule="auto"/>
        <w:rPr>
          <w:sz w:val="20"/>
          <w:szCs w:val="20"/>
          <w:color w:val="auto"/>
        </w:rPr>
      </w:pPr>
      <w:r>
        <w:rPr>
          <w:rFonts w:ascii="Times New Roman" w:cs="Times New Roman" w:eastAsia="Times New Roman" w:hAnsi="Times New Roman"/>
          <w:sz w:val="13"/>
          <w:szCs w:val="13"/>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Our Corporate Information</w:t>
      </w:r>
    </w:p>
    <w:p>
      <w:pPr>
        <w:spacing w:after="0" w:line="127" w:lineRule="exact"/>
        <w:rPr>
          <w:sz w:val="20"/>
          <w:szCs w:val="20"/>
          <w:color w:val="auto"/>
        </w:rPr>
      </w:pPr>
    </w:p>
    <w:p>
      <w:pPr>
        <w:ind w:left="1" w:right="40" w:firstLine="439"/>
        <w:spacing w:after="0" w:line="230" w:lineRule="auto"/>
        <w:rPr>
          <w:sz w:val="20"/>
          <w:szCs w:val="20"/>
          <w:color w:val="auto"/>
        </w:rPr>
      </w:pPr>
      <w:r>
        <w:rPr>
          <w:rFonts w:ascii="Times New Roman" w:cs="Times New Roman" w:eastAsia="Times New Roman" w:hAnsi="Times New Roman"/>
          <w:sz w:val="13"/>
          <w:szCs w:val="13"/>
          <w:color w:val="auto"/>
        </w:rPr>
        <w:t xml:space="preserve">Our administrative and principal executive offices are located at 590 Madison Avenue, 15th Floor, New York, NY 10022. Our common stock is quoted on The Nasdaq Global Select Market and the Tel Aviv Stock Exchange, or TASE, under the symbol “PFLT.” Our phone number is (212) 905-1000, and our Internet website address is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material that we file with the SEC on the Electronic Data Gathering, Analysis and Retrieval, or EDGAR, Database.</w:t>
      </w:r>
    </w:p>
    <w:p>
      <w:pPr>
        <w:spacing w:after="0" w:line="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Our Portfolio</w:t>
      </w:r>
    </w:p>
    <w:p>
      <w:pPr>
        <w:spacing w:after="0" w:line="127" w:lineRule="exact"/>
        <w:rPr>
          <w:sz w:val="20"/>
          <w:szCs w:val="20"/>
          <w:color w:val="auto"/>
        </w:rPr>
      </w:pPr>
    </w:p>
    <w:p>
      <w:pPr>
        <w:ind w:left="1" w:right="100" w:firstLine="439"/>
        <w:spacing w:after="0" w:line="254" w:lineRule="auto"/>
        <w:rPr>
          <w:sz w:val="20"/>
          <w:szCs w:val="20"/>
          <w:color w:val="auto"/>
        </w:rPr>
      </w:pPr>
      <w:r>
        <w:rPr>
          <w:rFonts w:ascii="Times New Roman" w:cs="Times New Roman" w:eastAsia="Times New Roman" w:hAnsi="Times New Roman"/>
          <w:sz w:val="13"/>
          <w:szCs w:val="13"/>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79" w:lineRule="exact"/>
        <w:rPr>
          <w:sz w:val="20"/>
          <w:szCs w:val="20"/>
          <w:color w:val="auto"/>
        </w:rPr>
      </w:pPr>
    </w:p>
    <w:tbl>
      <w:tblPr>
        <w:tblLayout w:type="fixed"/>
        <w:tblInd w:w="161"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Aerospace and Defense</w:t>
            </w:r>
          </w:p>
        </w:tc>
        <w:tc>
          <w:tcPr>
            <w:tcW w:w="12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Energy/Utilities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Auto Sector</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Environmental Services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Beverage, Food and Tobacco</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Financial Services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Broadcasting and Entertainment</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Grocery</w:t>
            </w:r>
          </w:p>
        </w:tc>
      </w:t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512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  Healthcare, Education and Childcare</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Building Materials</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High Tech Industries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Business Services</w:t>
            </w:r>
          </w:p>
        </w:tc>
        <w:tc>
          <w:tcPr>
            <w:tcW w:w="5120" w:type="dxa"/>
            <w:vAlign w:val="bottom"/>
            <w:gridSpan w:val="2"/>
          </w:tcPr>
          <w:p>
            <w:pPr>
              <w:ind w:left="1080"/>
              <w:spacing w:after="0" w:line="136" w:lineRule="exact"/>
              <w:rPr>
                <w:sz w:val="20"/>
                <w:szCs w:val="20"/>
                <w:color w:val="auto"/>
              </w:rPr>
            </w:pPr>
            <w:r>
              <w:rPr>
                <w:rFonts w:ascii="Times New Roman" w:cs="Times New Roman" w:eastAsia="Times New Roman" w:hAnsi="Times New Roman"/>
                <w:sz w:val="13"/>
                <w:szCs w:val="13"/>
                <w:color w:val="auto"/>
              </w:rPr>
              <w:t>•  Home &amp; Office Furnishings, Housewares &amp; Durable Consumer Products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Cable Television</w:t>
            </w:r>
          </w:p>
        </w:tc>
        <w:tc>
          <w:tcPr>
            <w:tcW w:w="5120" w:type="dxa"/>
            <w:vAlign w:val="bottom"/>
            <w:gridSpan w:val="2"/>
          </w:tcPr>
          <w:p>
            <w:pPr>
              <w:ind w:left="1080"/>
              <w:spacing w:after="0" w:line="136" w:lineRule="exact"/>
              <w:rPr>
                <w:sz w:val="20"/>
                <w:szCs w:val="20"/>
                <w:color w:val="auto"/>
              </w:rPr>
            </w:pPr>
            <w:r>
              <w:rPr>
                <w:rFonts w:ascii="Times New Roman" w:cs="Times New Roman" w:eastAsia="Times New Roman" w:hAnsi="Times New Roman"/>
                <w:sz w:val="13"/>
                <w:szCs w:val="13"/>
                <w:color w:val="auto"/>
              </w:rPr>
              <w:t>•  Hotels, Motels, Inns and Gaming</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Capital Equipment</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Insurance</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Cargo Transportation</w:t>
            </w:r>
          </w:p>
        </w:tc>
        <w:tc>
          <w:tcPr>
            <w:tcW w:w="5120" w:type="dxa"/>
            <w:vAlign w:val="bottom"/>
            <w:gridSpan w:val="2"/>
          </w:tcPr>
          <w:p>
            <w:pPr>
              <w:ind w:left="1080"/>
              <w:spacing w:after="0" w:line="136" w:lineRule="exact"/>
              <w:rPr>
                <w:sz w:val="20"/>
                <w:szCs w:val="20"/>
                <w:color w:val="auto"/>
              </w:rPr>
            </w:pPr>
            <w:r>
              <w:rPr>
                <w:rFonts w:ascii="Times New Roman" w:cs="Times New Roman" w:eastAsia="Times New Roman" w:hAnsi="Times New Roman"/>
                <w:sz w:val="13"/>
                <w:szCs w:val="13"/>
                <w:color w:val="auto"/>
              </w:rPr>
              <w:t>•  Leisure, Amusement, Motion Picture, Entertainment</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Chemicals, Plastics and Rubber</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Logistics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Communications</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Manufacturing/Basic Industries</w:t>
            </w:r>
          </w:p>
        </w:tc>
      </w:t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Consumer Products</w:t>
            </w:r>
          </w:p>
        </w:tc>
        <w:tc>
          <w:tcPr>
            <w:tcW w:w="12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Media</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Consumer Services</w:t>
            </w:r>
          </w:p>
        </w:tc>
        <w:tc>
          <w:tcPr>
            <w:tcW w:w="5120" w:type="dxa"/>
            <w:vAlign w:val="bottom"/>
            <w:gridSpan w:val="2"/>
          </w:tcPr>
          <w:p>
            <w:pPr>
              <w:ind w:left="1080"/>
              <w:spacing w:after="0" w:line="136" w:lineRule="exact"/>
              <w:rPr>
                <w:sz w:val="20"/>
                <w:szCs w:val="20"/>
                <w:color w:val="auto"/>
              </w:rPr>
            </w:pPr>
            <w:r>
              <w:rPr>
                <w:rFonts w:ascii="Times New Roman" w:cs="Times New Roman" w:eastAsia="Times New Roman" w:hAnsi="Times New Roman"/>
                <w:sz w:val="13"/>
                <w:szCs w:val="13"/>
                <w:color w:val="auto"/>
              </w:rPr>
              <w:t>•  Mining, Steel, Iron and Non-Precious Metals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Containers Packaging &amp; Glass</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Oil and Gas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Distribution</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Other Media</w:t>
            </w:r>
          </w:p>
        </w:tc>
      </w:tr>
      <w:tr>
        <w:trPr>
          <w:trHeight w:val="161"/>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Diversified/Conglomerate Manufacturing</w:t>
            </w:r>
          </w:p>
        </w:tc>
        <w:tc>
          <w:tcPr>
            <w:tcW w:w="512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  Personal, Food and Miscellaneous Services</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Diversified/Conglomerate Services</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Printing and Publishing</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Diversified Natural Resources, Precious Metals and Minerals</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Retail</w:t>
            </w:r>
          </w:p>
        </w:tc>
      </w:tr>
      <w:tr>
        <w:trPr>
          <w:trHeight w:val="136"/>
        </w:trPr>
        <w:tc>
          <w:tcPr>
            <w:tcW w:w="1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color w:val="auto"/>
              </w:rPr>
              <w:t>Education</w:t>
            </w:r>
          </w:p>
        </w:tc>
        <w:tc>
          <w:tcPr>
            <w:tcW w:w="1200" w:type="dxa"/>
            <w:vAlign w:val="bottom"/>
          </w:tcPr>
          <w:p>
            <w:pPr>
              <w:ind w:left="10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9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Wholesale</w:t>
            </w:r>
          </w:p>
        </w:tc>
      </w:tr>
      <w:tr>
        <w:trPr>
          <w:trHeight w:val="172"/>
        </w:trPr>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Electronics</w:t>
            </w:r>
          </w:p>
        </w:tc>
        <w:tc>
          <w:tcPr>
            <w:tcW w:w="1200" w:type="dxa"/>
            <w:vAlign w:val="bottom"/>
          </w:tcPr>
          <w:p>
            <w:pPr>
              <w:spacing w:after="0"/>
              <w:rPr>
                <w:sz w:val="14"/>
                <w:szCs w:val="14"/>
                <w:color w:val="auto"/>
              </w:rPr>
            </w:pPr>
          </w:p>
        </w:tc>
        <w:tc>
          <w:tcPr>
            <w:tcW w:w="3920" w:type="dxa"/>
            <w:vAlign w:val="bottom"/>
          </w:tcPr>
          <w:p>
            <w:pPr>
              <w:spacing w:after="0"/>
              <w:rPr>
                <w:sz w:val="14"/>
                <w:szCs w:val="14"/>
                <w:color w:val="auto"/>
              </w:rPr>
            </w:pPr>
          </w:p>
        </w:tc>
      </w:tr>
    </w:tbl>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Listed below are our top ten portfolio companies and industries represented as a percentage of our consolidated portfolio assets (excluding cash and cash equivalents) as of September 30:</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8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11"/>
                <w:szCs w:val="11"/>
                <w:b w:val="1"/>
                <w:bCs w:val="1"/>
                <w:color w:val="auto"/>
              </w:rPr>
              <w:t>(1)</w:t>
            </w:r>
          </w:p>
        </w:tc>
        <w:tc>
          <w:tcPr>
            <w:tcW w:w="300" w:type="dxa"/>
            <w:vAlign w:val="bottom"/>
            <w:tcBorders>
              <w:bottom w:val="single" w:sz="8" w:color="CCECFF"/>
            </w:tcBorders>
          </w:tcPr>
          <w:p>
            <w:pPr>
              <w:spacing w:after="0"/>
              <w:rPr>
                <w:sz w:val="13"/>
                <w:szCs w:val="13"/>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8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2019 </w:t>
            </w:r>
            <w:r>
              <w:rPr>
                <w:rFonts w:ascii="Times New Roman" w:cs="Times New Roman" w:eastAsia="Times New Roman" w:hAnsi="Times New Roman"/>
                <w:sz w:val="11"/>
                <w:szCs w:val="11"/>
                <w:b w:val="1"/>
                <w:bCs w:val="1"/>
                <w:color w:val="auto"/>
              </w:rPr>
              <w:t>(1)</w:t>
            </w:r>
          </w:p>
        </w:tc>
        <w:tc>
          <w:tcPr>
            <w:tcW w:w="120" w:type="dxa"/>
            <w:vAlign w:val="bottom"/>
            <w:tcBorders>
              <w:bottom w:val="single" w:sz="8" w:color="CCECFF"/>
            </w:tcBorders>
          </w:tcPr>
          <w:p>
            <w:pPr>
              <w:spacing w:after="0"/>
              <w:rPr>
                <w:sz w:val="13"/>
                <w:szCs w:val="13"/>
                <w:color w:val="auto"/>
              </w:rPr>
            </w:pPr>
          </w:p>
        </w:tc>
        <w:tc>
          <w:tcPr>
            <w:tcW w:w="40" w:type="dxa"/>
            <w:vAlign w:val="bottom"/>
          </w:tcPr>
          <w:p>
            <w:pPr>
              <w:spacing w:after="0"/>
              <w:rPr>
                <w:sz w:val="13"/>
                <w:szCs w:val="13"/>
                <w:color w:val="auto"/>
              </w:rPr>
            </w:pPr>
          </w:p>
        </w:tc>
      </w:tr>
      <w:tr>
        <w:trPr>
          <w:trHeight w:val="141"/>
        </w:trPr>
        <w:tc>
          <w:tcPr>
            <w:tcW w:w="450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By Light Professional IT Services, LLC</w:t>
            </w:r>
          </w:p>
        </w:tc>
        <w:tc>
          <w:tcPr>
            <w:tcW w:w="180" w:type="dxa"/>
            <w:vAlign w:val="bottom"/>
            <w:shd w:val="clear" w:color="auto" w:fill="CCECFF"/>
          </w:tcPr>
          <w:p>
            <w:pPr>
              <w:spacing w:after="0"/>
              <w:rPr>
                <w:sz w:val="12"/>
                <w:szCs w:val="12"/>
                <w:color w:val="auto"/>
              </w:rPr>
            </w:pPr>
          </w:p>
        </w:tc>
        <w:tc>
          <w:tcPr>
            <w:tcW w:w="1300" w:type="dxa"/>
            <w:vAlign w:val="bottom"/>
            <w:gridSpan w:val="2"/>
            <w:shd w:val="clear" w:color="auto" w:fill="CCECFF"/>
          </w:tcPr>
          <w:p>
            <w:pPr>
              <w:ind w:left="920"/>
              <w:spacing w:after="0" w:line="141" w:lineRule="exact"/>
              <w:rPr>
                <w:sz w:val="20"/>
                <w:szCs w:val="20"/>
                <w:color w:val="auto"/>
              </w:rPr>
            </w:pPr>
            <w:r>
              <w:rPr>
                <w:rFonts w:ascii="Times New Roman" w:cs="Times New Roman" w:eastAsia="Times New Roman" w:hAnsi="Times New Roman"/>
                <w:sz w:val="13"/>
                <w:szCs w:val="13"/>
                <w:color w:val="auto"/>
              </w:rPr>
              <w:t>4%</w:t>
            </w:r>
          </w:p>
        </w:tc>
        <w:tc>
          <w:tcPr>
            <w:tcW w:w="398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MeritDirect, LLC</w:t>
            </w:r>
          </w:p>
        </w:tc>
        <w:tc>
          <w:tcPr>
            <w:tcW w:w="1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ind w:left="900"/>
              <w:spacing w:after="0" w:line="141"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Lightspeed Buyer Inc.</w:t>
            </w: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Cano Health, LLC</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MeritDirect, LLC</w:t>
            </w:r>
          </w:p>
        </w:tc>
        <w:tc>
          <w:tcPr>
            <w:tcW w:w="1180" w:type="dxa"/>
            <w:vAlign w:val="bottom"/>
            <w:gridSpan w:val="2"/>
            <w:shd w:val="clear" w:color="auto" w:fill="CCECFF"/>
          </w:tcPr>
          <w:p>
            <w:pPr>
              <w:ind w:left="1100"/>
              <w:spacing w:after="0"/>
              <w:rPr>
                <w:sz w:val="20"/>
                <w:szCs w:val="20"/>
                <w:color w:val="auto"/>
              </w:rPr>
            </w:pPr>
            <w:r>
              <w:rPr>
                <w:rFonts w:ascii="Times New Roman" w:cs="Times New Roman" w:eastAsia="Times New Roman" w:hAnsi="Times New Roman"/>
                <w:sz w:val="13"/>
                <w:szCs w:val="13"/>
                <w:color w:val="auto"/>
                <w:w w:val="91"/>
              </w:rPr>
              <w:t>3</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Douglas Products</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GSM Holdings, Inc.</w:t>
            </w: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3</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GSM Holdings, Inc.</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Integrative Nutrition, LLC</w:t>
            </w:r>
          </w:p>
        </w:tc>
        <w:tc>
          <w:tcPr>
            <w:tcW w:w="1180" w:type="dxa"/>
            <w:vAlign w:val="bottom"/>
            <w:gridSpan w:val="2"/>
            <w:shd w:val="clear" w:color="auto" w:fill="CCECFF"/>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Integrative Nutrition, LLC</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Tensar Corporation</w:t>
            </w: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Montreign Operating Company, LLC</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Research Now Group, Inc. and Survey</w:t>
            </w:r>
          </w:p>
        </w:tc>
        <w:tc>
          <w:tcPr>
            <w:tcW w:w="1180" w:type="dxa"/>
            <w:vAlign w:val="bottom"/>
            <w:gridSpan w:val="2"/>
            <w:shd w:val="clear" w:color="auto" w:fill="CCECFF"/>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Research Now Group, Inc. and Survey</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Sampling International LLC</w:t>
            </w:r>
          </w:p>
        </w:tc>
        <w:tc>
          <w:tcPr>
            <w:tcW w:w="1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Sampling International LLC</w:t>
            </w: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Datalot Inc.</w:t>
            </w: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 Light Professional IT Services, LLC</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5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The Infosoft Group, LLC</w:t>
            </w:r>
          </w:p>
        </w:tc>
        <w:tc>
          <w:tcPr>
            <w:tcW w:w="1180" w:type="dxa"/>
            <w:vAlign w:val="bottom"/>
            <w:gridSpan w:val="2"/>
            <w:shd w:val="clear" w:color="auto" w:fill="CCECFF"/>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eCommission Financial Services, Inc.</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GCOM Software LLC</w:t>
            </w: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2</w:t>
            </w:r>
          </w:p>
        </w:tc>
        <w:tc>
          <w:tcPr>
            <w:tcW w:w="30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Tyto Athene, LLC</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27"/>
        </w:trPr>
        <w:tc>
          <w:tcPr>
            <w:tcW w:w="4500" w:type="dxa"/>
            <w:vAlign w:val="bottom"/>
          </w:tcPr>
          <w:p>
            <w:pPr>
              <w:spacing w:after="0"/>
              <w:rPr>
                <w:sz w:val="24"/>
                <w:szCs w:val="24"/>
                <w:color w:val="auto"/>
              </w:rPr>
            </w:pPr>
          </w:p>
        </w:tc>
        <w:tc>
          <w:tcPr>
            <w:tcW w:w="118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w w:val="91"/>
              </w:rPr>
              <w:t>7</w:t>
            </w:r>
          </w:p>
        </w:tc>
        <w:tc>
          <w:tcPr>
            <w:tcW w:w="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9"/>
        </w:trPr>
        <w:tc>
          <w:tcPr>
            <w:tcW w:w="4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1"/>
          </w:cols>
          <w:pgMar w:left="319" w:top="256" w:right="299" w:bottom="1440" w:gutter="0" w:footer="0" w:header="0"/>
        </w:sectPr>
      </w:pPr>
    </w:p>
    <w:bookmarkStart w:id="9" w:name="page10"/>
    <w:bookmarkEnd w:id="9"/>
    <w:tbl>
      <w:tblPr>
        <w:tblLayout w:type="fixed"/>
        <w:tblInd w:w="1" w:type="dxa"/>
        <w:tblCellMar>
          <w:top w:w="0" w:type="dxa"/>
          <w:left w:w="0" w:type="dxa"/>
          <w:bottom w:w="0" w:type="dxa"/>
          <w:right w:w="0" w:type="dxa"/>
        </w:tblCellMar>
      </w:tblPr>
      <w:tr>
        <w:trPr>
          <w:trHeight w:val="15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8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11"/>
                <w:szCs w:val="11"/>
                <w:b w:val="1"/>
                <w:bCs w:val="1"/>
                <w:color w:val="auto"/>
              </w:rPr>
              <w:t>(1)</w:t>
            </w:r>
          </w:p>
        </w:tc>
        <w:tc>
          <w:tcPr>
            <w:tcW w:w="300" w:type="dxa"/>
            <w:vAlign w:val="bottom"/>
            <w:tcBorders>
              <w:bottom w:val="single" w:sz="8" w:color="CCECFF"/>
            </w:tcBorders>
          </w:tcPr>
          <w:p>
            <w:pPr>
              <w:spacing w:after="0"/>
              <w:rPr>
                <w:sz w:val="13"/>
                <w:szCs w:val="13"/>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8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2019 </w:t>
            </w:r>
            <w:r>
              <w:rPr>
                <w:rFonts w:ascii="Times New Roman" w:cs="Times New Roman" w:eastAsia="Times New Roman" w:hAnsi="Times New Roman"/>
                <w:sz w:val="11"/>
                <w:szCs w:val="11"/>
                <w:b w:val="1"/>
                <w:bCs w:val="1"/>
                <w:color w:val="auto"/>
              </w:rPr>
              <w:t>(1)</w:t>
            </w:r>
          </w:p>
        </w:tc>
        <w:tc>
          <w:tcPr>
            <w:tcW w:w="120" w:type="dxa"/>
            <w:vAlign w:val="bottom"/>
            <w:tcBorders>
              <w:bottom w:val="single" w:sz="8" w:color="CCECFF"/>
            </w:tcBorders>
          </w:tcPr>
          <w:p>
            <w:pPr>
              <w:spacing w:after="0"/>
              <w:rPr>
                <w:sz w:val="13"/>
                <w:szCs w:val="13"/>
                <w:color w:val="auto"/>
              </w:rPr>
            </w:pPr>
          </w:p>
        </w:tc>
      </w:tr>
      <w:tr>
        <w:trPr>
          <w:trHeight w:val="141"/>
        </w:trPr>
        <w:tc>
          <w:tcPr>
            <w:tcW w:w="450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Professional Services</w:t>
            </w:r>
          </w:p>
        </w:tc>
        <w:tc>
          <w:tcPr>
            <w:tcW w:w="180" w:type="dxa"/>
            <w:vAlign w:val="bottom"/>
            <w:shd w:val="clear" w:color="auto" w:fill="CCECFF"/>
          </w:tcPr>
          <w:p>
            <w:pPr>
              <w:spacing w:after="0"/>
              <w:rPr>
                <w:sz w:val="12"/>
                <w:szCs w:val="12"/>
                <w:color w:val="auto"/>
              </w:rPr>
            </w:pPr>
          </w:p>
        </w:tc>
        <w:tc>
          <w:tcPr>
            <w:tcW w:w="1300" w:type="dxa"/>
            <w:vAlign w:val="bottom"/>
            <w:gridSpan w:val="2"/>
            <w:shd w:val="clear" w:color="auto" w:fill="CCECFF"/>
          </w:tcPr>
          <w:p>
            <w:pPr>
              <w:ind w:left="920"/>
              <w:spacing w:after="0" w:line="141" w:lineRule="exact"/>
              <w:rPr>
                <w:sz w:val="20"/>
                <w:szCs w:val="20"/>
                <w:color w:val="auto"/>
              </w:rPr>
            </w:pPr>
            <w:r>
              <w:rPr>
                <w:rFonts w:ascii="Times New Roman" w:cs="Times New Roman" w:eastAsia="Times New Roman" w:hAnsi="Times New Roman"/>
                <w:sz w:val="13"/>
                <w:szCs w:val="13"/>
                <w:color w:val="auto"/>
              </w:rPr>
              <w:t>8%</w:t>
            </w:r>
          </w:p>
        </w:tc>
        <w:tc>
          <w:tcPr>
            <w:tcW w:w="398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Aerospace and Defense</w:t>
            </w:r>
          </w:p>
        </w:tc>
        <w:tc>
          <w:tcPr>
            <w:tcW w:w="1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ind w:left="900"/>
              <w:spacing w:after="0" w:line="141" w:lineRule="exact"/>
              <w:rPr>
                <w:sz w:val="20"/>
                <w:szCs w:val="20"/>
                <w:color w:val="auto"/>
              </w:rPr>
            </w:pPr>
            <w:r>
              <w:rPr>
                <w:rFonts w:ascii="Times New Roman" w:cs="Times New Roman" w:eastAsia="Times New Roman" w:hAnsi="Times New Roman"/>
                <w:sz w:val="13"/>
                <w:szCs w:val="13"/>
                <w:color w:val="auto"/>
              </w:rPr>
              <w:t>7%</w:t>
            </w:r>
          </w:p>
        </w:tc>
      </w:tr>
      <w:tr>
        <w:trPr>
          <w:trHeight w:val="149"/>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High Tech Industries</w:t>
            </w:r>
          </w:p>
        </w:tc>
        <w:tc>
          <w:tcPr>
            <w:tcW w:w="100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6</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Hotel, Gaming and Leisure</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7</w:t>
            </w:r>
          </w:p>
        </w:tc>
        <w:tc>
          <w:tcPr>
            <w:tcW w:w="120" w:type="dxa"/>
            <w:vAlign w:val="bottom"/>
          </w:tcPr>
          <w:p>
            <w:pPr>
              <w:spacing w:after="0"/>
              <w:rPr>
                <w:sz w:val="12"/>
                <w:szCs w:val="12"/>
                <w:color w:val="auto"/>
              </w:rPr>
            </w:pPr>
          </w:p>
        </w:tc>
      </w:tr>
      <w:tr>
        <w:trPr>
          <w:trHeight w:val="149"/>
        </w:trPr>
        <w:tc>
          <w:tcPr>
            <w:tcW w:w="4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Aerospace and Defense</w:t>
            </w:r>
          </w:p>
        </w:tc>
        <w:tc>
          <w:tcPr>
            <w:tcW w:w="10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3"/>
                <w:szCs w:val="13"/>
                <w:color w:val="auto"/>
                <w:w w:val="91"/>
              </w:rPr>
              <w:t>5</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Beverage, Food and Tobacco</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6</w:t>
            </w:r>
          </w:p>
        </w:tc>
        <w:tc>
          <w:tcPr>
            <w:tcW w:w="120" w:type="dxa"/>
            <w:vAlign w:val="bottom"/>
            <w:shd w:val="clear" w:color="auto" w:fill="CCECFF"/>
          </w:tcPr>
          <w:p>
            <w:pPr>
              <w:spacing w:after="0"/>
              <w:rPr>
                <w:sz w:val="12"/>
                <w:szCs w:val="12"/>
                <w:color w:val="auto"/>
              </w:rPr>
            </w:pPr>
          </w:p>
        </w:tc>
      </w:tr>
      <w:tr>
        <w:trPr>
          <w:trHeight w:val="149"/>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100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5</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Healthcare and Pharmaceuticals</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6</w:t>
            </w:r>
          </w:p>
        </w:tc>
        <w:tc>
          <w:tcPr>
            <w:tcW w:w="120" w:type="dxa"/>
            <w:vAlign w:val="bottom"/>
          </w:tcPr>
          <w:p>
            <w:pPr>
              <w:spacing w:after="0"/>
              <w:rPr>
                <w:sz w:val="12"/>
                <w:szCs w:val="12"/>
                <w:color w:val="auto"/>
              </w:rPr>
            </w:pPr>
          </w:p>
        </w:tc>
      </w:tr>
      <w:tr>
        <w:trPr>
          <w:trHeight w:val="149"/>
        </w:trPr>
        <w:tc>
          <w:tcPr>
            <w:tcW w:w="4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Capital Equipment</w:t>
            </w:r>
          </w:p>
        </w:tc>
        <w:tc>
          <w:tcPr>
            <w:tcW w:w="10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3"/>
                <w:szCs w:val="13"/>
                <w:color w:val="auto"/>
                <w:w w:val="91"/>
              </w:rPr>
              <w:t>5</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shd w:val="clear" w:color="auto" w:fill="CCECFF"/>
          </w:tcPr>
          <w:p>
            <w:pPr>
              <w:spacing w:after="0"/>
              <w:rPr>
                <w:sz w:val="12"/>
                <w:szCs w:val="12"/>
                <w:color w:val="auto"/>
              </w:rPr>
            </w:pPr>
          </w:p>
        </w:tc>
      </w:tr>
      <w:tr>
        <w:trPr>
          <w:trHeight w:val="149"/>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Media</w:t>
            </w:r>
          </w:p>
        </w:tc>
        <w:tc>
          <w:tcPr>
            <w:tcW w:w="100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5</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Equipment</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tcPr>
          <w:p>
            <w:pPr>
              <w:spacing w:after="0"/>
              <w:rPr>
                <w:sz w:val="12"/>
                <w:szCs w:val="12"/>
                <w:color w:val="auto"/>
              </w:rPr>
            </w:pPr>
          </w:p>
        </w:tc>
      </w:tr>
      <w:tr>
        <w:trPr>
          <w:trHeight w:val="149"/>
        </w:trPr>
        <w:tc>
          <w:tcPr>
            <w:tcW w:w="4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Construction and Building</w:t>
            </w:r>
          </w:p>
        </w:tc>
        <w:tc>
          <w:tcPr>
            <w:tcW w:w="10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High Tech Industries</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shd w:val="clear" w:color="auto" w:fill="CCECFF"/>
          </w:tcPr>
          <w:p>
            <w:pPr>
              <w:spacing w:after="0"/>
              <w:rPr>
                <w:sz w:val="12"/>
                <w:szCs w:val="12"/>
                <w:color w:val="auto"/>
              </w:rPr>
            </w:pPr>
          </w:p>
        </w:tc>
      </w:tr>
      <w:tr>
        <w:trPr>
          <w:trHeight w:val="149"/>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Healthcare and Pharmaceuticals</w:t>
            </w:r>
          </w:p>
        </w:tc>
        <w:tc>
          <w:tcPr>
            <w:tcW w:w="100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Media</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tcPr>
          <w:p>
            <w:pPr>
              <w:spacing w:after="0"/>
              <w:rPr>
                <w:sz w:val="12"/>
                <w:szCs w:val="12"/>
                <w:color w:val="auto"/>
              </w:rPr>
            </w:pPr>
          </w:p>
        </w:tc>
      </w:tr>
      <w:tr>
        <w:trPr>
          <w:trHeight w:val="149"/>
        </w:trPr>
        <w:tc>
          <w:tcPr>
            <w:tcW w:w="4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Healthcare Technology</w:t>
            </w:r>
          </w:p>
        </w:tc>
        <w:tc>
          <w:tcPr>
            <w:tcW w:w="1000" w:type="dxa"/>
            <w:vAlign w:val="bottom"/>
            <w:shd w:val="clear" w:color="auto" w:fill="CCECFF"/>
          </w:tcPr>
          <w:p>
            <w:pPr>
              <w:ind w:left="920"/>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shd w:val="clear" w:color="auto" w:fill="CCECFF"/>
          </w:tcPr>
          <w:p>
            <w:pPr>
              <w:spacing w:after="0"/>
              <w:rPr>
                <w:sz w:val="12"/>
                <w:szCs w:val="12"/>
                <w:color w:val="auto"/>
              </w:rPr>
            </w:pPr>
          </w:p>
        </w:tc>
        <w:tc>
          <w:tcPr>
            <w:tcW w:w="4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Construction and Building</w:t>
            </w:r>
          </w:p>
        </w:tc>
        <w:tc>
          <w:tcPr>
            <w:tcW w:w="98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shd w:val="clear" w:color="auto" w:fill="CCECFF"/>
          </w:tcPr>
          <w:p>
            <w:pPr>
              <w:spacing w:after="0"/>
              <w:rPr>
                <w:sz w:val="12"/>
                <w:szCs w:val="12"/>
                <w:color w:val="auto"/>
              </w:rPr>
            </w:pPr>
          </w:p>
        </w:tc>
      </w:tr>
      <w:tr>
        <w:trPr>
          <w:trHeight w:val="172"/>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Hotel, Gaming and Leisure</w:t>
            </w:r>
          </w:p>
        </w:tc>
        <w:tc>
          <w:tcPr>
            <w:tcW w:w="100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1"/>
              </w:rPr>
              <w:t>4</w:t>
            </w:r>
          </w:p>
        </w:tc>
        <w:tc>
          <w:tcPr>
            <w:tcW w:w="30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Telecommunications</w:t>
            </w:r>
          </w:p>
        </w:tc>
        <w:tc>
          <w:tcPr>
            <w:tcW w:w="98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3455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48" w:lineRule="exact"/>
        <w:rPr>
          <w:sz w:val="20"/>
          <w:szCs w:val="20"/>
          <w:color w:val="auto"/>
        </w:rPr>
      </w:pPr>
    </w:p>
    <w:p>
      <w:pPr>
        <w:ind w:left="361" w:hanging="361"/>
        <w:spacing w:after="0"/>
        <w:tabs>
          <w:tab w:leader="none" w:pos="361" w:val="left"/>
        </w:tabs>
        <w:numPr>
          <w:ilvl w:val="0"/>
          <w:numId w:val="2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Excludes investments in PSSL.</w:t>
      </w:r>
    </w:p>
    <w:p>
      <w:pPr>
        <w:spacing w:after="0" w:line="122" w:lineRule="exact"/>
        <w:rPr>
          <w:sz w:val="20"/>
          <w:szCs w:val="20"/>
          <w:color w:val="auto"/>
        </w:rPr>
      </w:pPr>
    </w:p>
    <w:p>
      <w:pPr>
        <w:ind w:left="1" w:right="20" w:firstLine="439"/>
        <w:spacing w:after="0" w:line="225" w:lineRule="auto"/>
        <w:rPr>
          <w:sz w:val="20"/>
          <w:szCs w:val="20"/>
          <w:color w:val="auto"/>
        </w:rPr>
      </w:pPr>
      <w:r>
        <w:rPr>
          <w:rFonts w:ascii="Times New Roman" w:cs="Times New Roman" w:eastAsia="Times New Roman" w:hAnsi="Times New Roman"/>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02" w:lineRule="exact"/>
        <w:rPr>
          <w:sz w:val="20"/>
          <w:szCs w:val="20"/>
          <w:color w:val="auto"/>
        </w:rPr>
      </w:pPr>
    </w:p>
    <w:p>
      <w:pPr>
        <w:ind w:left="1" w:right="100" w:firstLine="439"/>
        <w:spacing w:after="0" w:line="237"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15" w:lineRule="exact"/>
        <w:rPr>
          <w:sz w:val="20"/>
          <w:szCs w:val="20"/>
          <w:color w:val="auto"/>
        </w:rPr>
      </w:pPr>
    </w:p>
    <w:p>
      <w:pPr>
        <w:ind w:left="1" w:right="180" w:firstLine="439"/>
        <w:spacing w:after="0" w:line="230" w:lineRule="auto"/>
        <w:rPr>
          <w:sz w:val="20"/>
          <w:szCs w:val="20"/>
          <w:color w:val="auto"/>
        </w:rPr>
      </w:pPr>
      <w:r>
        <w:rPr>
          <w:rFonts w:ascii="Times New Roman" w:cs="Times New Roman" w:eastAsia="Times New Roman" w:hAnsi="Times New Roman"/>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01" w:lineRule="exact"/>
        <w:rPr>
          <w:sz w:val="20"/>
          <w:szCs w:val="20"/>
          <w:color w:val="auto"/>
        </w:rPr>
      </w:pPr>
    </w:p>
    <w:p>
      <w:pPr>
        <w:ind w:left="901" w:hanging="356"/>
        <w:spacing w:after="0"/>
        <w:tabs>
          <w:tab w:leader="none" w:pos="90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determines the composition of our portfolio, the nature and timing of the changes to our portfolio and the manner of implementing such changes;</w:t>
      </w:r>
    </w:p>
    <w:p>
      <w:pPr>
        <w:spacing w:after="0" w:line="123" w:lineRule="exact"/>
        <w:rPr>
          <w:rFonts w:ascii="Times New Roman" w:cs="Times New Roman" w:eastAsia="Times New Roman" w:hAnsi="Times New Roman"/>
          <w:sz w:val="13"/>
          <w:szCs w:val="13"/>
          <w:color w:val="auto"/>
        </w:rPr>
      </w:pPr>
    </w:p>
    <w:p>
      <w:pPr>
        <w:ind w:left="901" w:hanging="356"/>
        <w:spacing w:after="0"/>
        <w:tabs>
          <w:tab w:leader="none" w:pos="90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identifies, evaluates and negotiates the structure of the investments we make (including performing due diligence on our prospective portfolio companies);</w:t>
      </w:r>
    </w:p>
    <w:p>
      <w:pPr>
        <w:spacing w:after="0" w:line="123" w:lineRule="exact"/>
        <w:rPr>
          <w:rFonts w:ascii="Times New Roman" w:cs="Times New Roman" w:eastAsia="Times New Roman" w:hAnsi="Times New Roman"/>
          <w:sz w:val="13"/>
          <w:szCs w:val="13"/>
          <w:color w:val="auto"/>
        </w:rPr>
      </w:pPr>
    </w:p>
    <w:p>
      <w:pPr>
        <w:ind w:left="901" w:hanging="356"/>
        <w:spacing w:after="0"/>
        <w:tabs>
          <w:tab w:leader="none" w:pos="90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closes and monitors the investments we make; and</w:t>
      </w:r>
    </w:p>
    <w:p>
      <w:pPr>
        <w:spacing w:after="0" w:line="123" w:lineRule="exact"/>
        <w:rPr>
          <w:rFonts w:ascii="Times New Roman" w:cs="Times New Roman" w:eastAsia="Times New Roman" w:hAnsi="Times New Roman"/>
          <w:sz w:val="13"/>
          <w:szCs w:val="13"/>
          <w:color w:val="auto"/>
        </w:rPr>
      </w:pPr>
    </w:p>
    <w:p>
      <w:pPr>
        <w:ind w:left="901" w:hanging="356"/>
        <w:spacing w:after="0"/>
        <w:tabs>
          <w:tab w:leader="none" w:pos="90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us with such other investment advisory, research and related services as we may need from time to time.</w:t>
      </w:r>
    </w:p>
    <w:p>
      <w:pPr>
        <w:spacing w:after="0" w:line="123" w:lineRule="exact"/>
        <w:rPr>
          <w:sz w:val="20"/>
          <w:szCs w:val="20"/>
          <w:color w:val="auto"/>
        </w:rPr>
      </w:pPr>
    </w:p>
    <w:p>
      <w:pPr>
        <w:jc w:val="both"/>
        <w:ind w:left="1" w:right="100" w:firstLine="439"/>
        <w:spacing w:after="0" w:line="237" w:lineRule="auto"/>
        <w:rPr>
          <w:sz w:val="20"/>
          <w:szCs w:val="20"/>
          <w:color w:val="auto"/>
        </w:rPr>
      </w:pPr>
      <w:r>
        <w:rPr>
          <w:rFonts w:ascii="Times New Roman" w:cs="Times New Roman" w:eastAsia="Times New Roman" w:hAnsi="Times New Roman"/>
          <w:sz w:val="13"/>
          <w:szCs w:val="13"/>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Investment Advisory Fees</w:t>
      </w:r>
    </w:p>
    <w:p>
      <w:pPr>
        <w:spacing w:after="0" w:line="115" w:lineRule="exact"/>
        <w:rPr>
          <w:sz w:val="20"/>
          <w:szCs w:val="20"/>
          <w:color w:val="auto"/>
        </w:rPr>
      </w:pPr>
    </w:p>
    <w:p>
      <w:pPr>
        <w:ind w:left="1" w:right="20" w:firstLine="439"/>
        <w:spacing w:after="0" w:line="228"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2020, 2019 and 2018, the Investment Adviser earned a base management fee of $11.4 million, $10.2 million and $8.4 million, respectively, from us.</w:t>
      </w:r>
    </w:p>
    <w:p>
      <w:pPr>
        <w:spacing w:after="0" w:line="102"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The following is a hypothetical example of the calculation of average adjusted gross assets:</w:t>
      </w:r>
    </w:p>
    <w:p>
      <w:pPr>
        <w:spacing w:after="0" w:line="123"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Gross assets as of December 31, 20XX = $160 million</w:t>
      </w:r>
    </w:p>
    <w:p>
      <w:pPr>
        <w:spacing w:after="0" w:line="111"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December 31, 20XX = $10 million</w:t>
      </w:r>
    </w:p>
    <w:p>
      <w:pPr>
        <w:spacing w:after="0" w:line="123"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Adjusted gross assets as of December 31, 20XX = $150 million</w:t>
      </w:r>
    </w:p>
    <w:p>
      <w:pPr>
        <w:spacing w:after="0" w:line="123"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Gross assets as of March 31, 20XX = $200 million</w:t>
      </w:r>
    </w:p>
    <w:p>
      <w:pPr>
        <w:spacing w:after="0" w:line="111"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March 31, 20XX = $20 million</w:t>
      </w:r>
    </w:p>
    <w:p>
      <w:pPr>
        <w:spacing w:after="0" w:line="123"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3"/>
          <w:szCs w:val="13"/>
          <w:color w:val="auto"/>
        </w:rPr>
        <w:t>Adjusted gross assets as of March 31, 20XX = $180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0" w:right="339" w:bottom="1440" w:gutter="0" w:footer="0" w:header="0"/>
        </w:sectPr>
      </w:pPr>
    </w:p>
    <w:bookmarkStart w:id="10" w:name="page11"/>
    <w:bookmarkEnd w:id="10"/>
    <w:p>
      <w:pPr>
        <w:ind w:right="60" w:firstLine="439"/>
        <w:spacing w:after="0" w:line="254" w:lineRule="auto"/>
        <w:rPr>
          <w:sz w:val="20"/>
          <w:szCs w:val="20"/>
          <w:color w:val="auto"/>
        </w:rPr>
      </w:pPr>
      <w:r>
        <w:rPr>
          <w:rFonts w:ascii="Times New Roman" w:cs="Times New Roman" w:eastAsia="Times New Roman" w:hAnsi="Times New Roman"/>
          <w:sz w:val="13"/>
          <w:szCs w:val="13"/>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23" w:lineRule="exact"/>
        <w:rPr>
          <w:sz w:val="20"/>
          <w:szCs w:val="20"/>
          <w:color w:val="auto"/>
        </w:rPr>
      </w:pPr>
    </w:p>
    <w:p>
      <w:pPr>
        <w:ind w:firstLine="439"/>
        <w:spacing w:after="0" w:line="22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2020, 2019 and 2018, the Investment Adviser earned $9.3 million, $7.6 million and $3.5 million, respectively, in incentive fees on net investment income from us.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following is a graphical representation of the calculation of quarterly incentive fee based on Pre-Incentive Fee Net Investment Income: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Pre-Incentive Fee Net Investment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271145</wp:posOffset>
            </wp:positionV>
            <wp:extent cx="2068830" cy="346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8830"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Percentage of Pre-Incentive Fee Net Investment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allocated to income-related portion of incentive fee</w:t>
      </w:r>
    </w:p>
    <w:p>
      <w:pPr>
        <w:spacing w:after="0" w:line="233"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2020, 2019 and 2018, we accrued an incentive fee on capital gains of approximately zero, zero and $(0.1) million, respectively, as calculated under the Investment Management Agreement (as described above).</w:t>
      </w:r>
    </w:p>
    <w:p>
      <w:pPr>
        <w:spacing w:after="0" w:line="101" w:lineRule="exact"/>
        <w:rPr>
          <w:sz w:val="20"/>
          <w:szCs w:val="20"/>
          <w:color w:val="auto"/>
        </w:rPr>
      </w:pPr>
    </w:p>
    <w:p>
      <w:pPr>
        <w:ind w:right="20" w:firstLine="439"/>
        <w:spacing w:after="0" w:line="226" w:lineRule="auto"/>
        <w:rPr>
          <w:sz w:val="20"/>
          <w:szCs w:val="20"/>
          <w:color w:val="auto"/>
        </w:rPr>
      </w:pPr>
      <w:r>
        <w:rPr>
          <w:rFonts w:ascii="Times New Roman" w:cs="Times New Roman" w:eastAsia="Times New Roman" w:hAnsi="Times New Roman"/>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2020, 2019 and 2018 was zero, $(1.4) million and $(1.0) million,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Examples of Quarterly Incentive Fee Calculation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1: Income Related Portion of Incentive Fee (*):</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1.25%</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1"/>
          <w:szCs w:val="11"/>
          <w:color w:val="auto"/>
        </w:rPr>
        <w:t>(1)</w:t>
      </w:r>
      <w:r>
        <w:rPr>
          <w:rFonts w:ascii="Times New Roman" w:cs="Times New Roman" w:eastAsia="Times New Roman" w:hAnsi="Times New Roman"/>
          <w:sz w:val="13"/>
          <w:szCs w:val="13"/>
          <w:color w:val="auto"/>
        </w:rPr>
        <w:t xml:space="preserve"> = 1.75%</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1"/>
          <w:szCs w:val="11"/>
          <w:color w:val="auto"/>
        </w:rPr>
        <w:t>(2)</w:t>
      </w:r>
      <w:r>
        <w:rPr>
          <w:rFonts w:ascii="Times New Roman" w:cs="Times New Roman" w:eastAsia="Times New Roman" w:hAnsi="Times New Roman"/>
          <w:sz w:val="13"/>
          <w:szCs w:val="13"/>
          <w:color w:val="auto"/>
        </w:rPr>
        <w:t xml:space="preserve"> = 0.25%</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0.80%</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 does not exceed hurdle; therefore, there is no incentive fee.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ind w:left="1"/>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5"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2.70%</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1"/>
          <w:szCs w:val="11"/>
          <w:color w:val="auto"/>
        </w:rPr>
        <w:t>(1)</w:t>
      </w:r>
      <w:r>
        <w:rPr>
          <w:rFonts w:ascii="Times New Roman" w:cs="Times New Roman" w:eastAsia="Times New Roman" w:hAnsi="Times New Roman"/>
          <w:sz w:val="13"/>
          <w:szCs w:val="13"/>
          <w:color w:val="auto"/>
        </w:rPr>
        <w:t xml:space="preserve"> = 1.75%</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1"/>
          <w:szCs w:val="11"/>
          <w:color w:val="auto"/>
        </w:rPr>
        <w:t>(2)</w:t>
      </w:r>
      <w:r>
        <w:rPr>
          <w:rFonts w:ascii="Times New Roman" w:cs="Times New Roman" w:eastAsia="Times New Roman" w:hAnsi="Times New Roman"/>
          <w:sz w:val="13"/>
          <w:szCs w:val="13"/>
          <w:color w:val="auto"/>
        </w:rPr>
        <w:t xml:space="preserve"> = 0.25%</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(investment income—(base management fee + other expenses)) = 2.25%</w:t>
      </w:r>
    </w:p>
    <w:p>
      <w:pPr>
        <w:spacing w:after="0" w:line="123" w:lineRule="exact"/>
        <w:rPr>
          <w:sz w:val="20"/>
          <w:szCs w:val="20"/>
          <w:color w:val="auto"/>
        </w:rPr>
      </w:pPr>
    </w:p>
    <w:p>
      <w:pPr>
        <w:ind w:left="1121"/>
        <w:spacing w:after="0"/>
        <w:tabs>
          <w:tab w:leader="none" w:pos="2340" w:val="left"/>
        </w:tabs>
        <w:rPr>
          <w:sz w:val="20"/>
          <w:szCs w:val="20"/>
          <w:color w:val="auto"/>
        </w:rPr>
      </w:pPr>
      <w:r>
        <w:rPr>
          <w:rFonts w:ascii="Times New Roman" w:cs="Times New Roman" w:eastAsia="Times New Roman" w:hAnsi="Times New Roman"/>
          <w:sz w:val="13"/>
          <w:szCs w:val="13"/>
          <w:color w:val="auto"/>
        </w:rPr>
        <w:t>Incentive fee</w:t>
      </w:r>
      <w:r>
        <w:rPr>
          <w:sz w:val="20"/>
          <w:szCs w:val="20"/>
          <w:color w:val="auto"/>
        </w:rPr>
        <w:tab/>
      </w:r>
      <w:r>
        <w:rPr>
          <w:rFonts w:ascii="Times New Roman" w:cs="Times New Roman" w:eastAsia="Times New Roman" w:hAnsi="Times New Roman"/>
          <w:sz w:val="13"/>
          <w:szCs w:val="13"/>
          <w:color w:val="auto"/>
        </w:rPr>
        <w:t>= 50% X Pre-Incentive Fee Net Investment Income, subject to “catch-up”</w:t>
      </w:r>
    </w:p>
    <w:p>
      <w:pPr>
        <w:ind w:left="2481" w:hanging="114"/>
        <w:spacing w:after="0" w:line="220" w:lineRule="auto"/>
        <w:tabs>
          <w:tab w:leader="none" w:pos="248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 X (2.25% - 1.75%)</w:t>
      </w:r>
    </w:p>
    <w:p>
      <w:pPr>
        <w:ind w:left="2481" w:hanging="114"/>
        <w:spacing w:after="0"/>
        <w:tabs>
          <w:tab w:leader="none" w:pos="248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0.25%</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Alternative 3:</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5"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4.00%</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1"/>
          <w:szCs w:val="11"/>
          <w:color w:val="auto"/>
        </w:rPr>
        <w:t>(1)</w:t>
      </w:r>
      <w:r>
        <w:rPr>
          <w:rFonts w:ascii="Times New Roman" w:cs="Times New Roman" w:eastAsia="Times New Roman" w:hAnsi="Times New Roman"/>
          <w:sz w:val="13"/>
          <w:szCs w:val="13"/>
          <w:color w:val="auto"/>
        </w:rPr>
        <w:t xml:space="preserve"> = 1.75%</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1"/>
          <w:szCs w:val="11"/>
          <w:color w:val="auto"/>
        </w:rPr>
        <w:t>(2)</w:t>
      </w:r>
      <w:r>
        <w:rPr>
          <w:rFonts w:ascii="Times New Roman" w:cs="Times New Roman" w:eastAsia="Times New Roman" w:hAnsi="Times New Roman"/>
          <w:sz w:val="13"/>
          <w:szCs w:val="13"/>
          <w:color w:val="auto"/>
        </w:rPr>
        <w:t xml:space="preserve"> = 0.25%</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(investment income—(base management fee + other expenses)) = 3.55%</w:t>
      </w:r>
    </w:p>
    <w:p>
      <w:pPr>
        <w:spacing w:after="0" w:line="110" w:lineRule="exact"/>
        <w:rPr>
          <w:sz w:val="20"/>
          <w:szCs w:val="20"/>
          <w:color w:val="auto"/>
        </w:rPr>
      </w:pPr>
    </w:p>
    <w:tbl>
      <w:tblPr>
        <w:tblLayout w:type="fixed"/>
        <w:tblInd w:w="1121"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w:t>
            </w:r>
          </w:p>
        </w:tc>
        <w:tc>
          <w:tcPr>
            <w:tcW w:w="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20%</w:t>
            </w: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X Pre-Incentive Fee Net Investment Income, subject to “catch-up” </w:t>
            </w:r>
            <w:r>
              <w:rPr>
                <w:rFonts w:ascii="Times New Roman" w:cs="Times New Roman" w:eastAsia="Times New Roman" w:hAnsi="Times New Roman"/>
                <w:sz w:val="11"/>
                <w:szCs w:val="11"/>
                <w:color w:val="auto"/>
              </w:rPr>
              <w:t>(3)</w:t>
            </w:r>
          </w:p>
        </w:tc>
      </w:tr>
      <w:tr>
        <w:trPr>
          <w:trHeight w:val="136"/>
        </w:trPr>
        <w:tc>
          <w:tcPr>
            <w:tcW w:w="9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Incentive fee</w:t>
            </w:r>
          </w:p>
        </w:tc>
        <w:tc>
          <w:tcPr>
            <w:tcW w:w="660" w:type="dxa"/>
            <w:vAlign w:val="bottom"/>
          </w:tcPr>
          <w:p>
            <w:pPr>
              <w:ind w:left="280"/>
              <w:spacing w:after="0" w:line="136" w:lineRule="exact"/>
              <w:rPr>
                <w:sz w:val="20"/>
                <w:szCs w:val="20"/>
                <w:color w:val="auto"/>
              </w:rPr>
            </w:pPr>
            <w:r>
              <w:rPr>
                <w:rFonts w:ascii="Times New Roman" w:cs="Times New Roman" w:eastAsia="Times New Roman" w:hAnsi="Times New Roman"/>
                <w:sz w:val="13"/>
                <w:szCs w:val="13"/>
                <w:color w:val="auto"/>
              </w:rPr>
              <w:t>= 50%</w:t>
            </w:r>
          </w:p>
        </w:tc>
        <w:tc>
          <w:tcPr>
            <w:tcW w:w="41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X “catch-up” + (20% x (Pre-Incentive Fee Net Investment Income - 2.9167%))</w:t>
            </w:r>
          </w:p>
        </w:tc>
      </w:tr>
      <w:tr>
        <w:trPr>
          <w:trHeight w:val="150"/>
        </w:trPr>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rPr>
              <w:t>Catch-up</w:t>
            </w:r>
          </w:p>
        </w:tc>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2.9167% - 1.75%</w:t>
            </w:r>
          </w:p>
        </w:tc>
      </w:tr>
    </w:tbl>
    <w:p>
      <w:pPr>
        <w:ind w:left="2481" w:hanging="114"/>
        <w:spacing w:after="0" w:line="218" w:lineRule="auto"/>
        <w:tabs>
          <w:tab w:leader="none" w:pos="2481"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1.1667%</w:t>
      </w:r>
    </w:p>
    <w:p>
      <w:pPr>
        <w:ind w:left="2481" w:hanging="114"/>
        <w:spacing w:after="0" w:line="218" w:lineRule="auto"/>
        <w:tabs>
          <w:tab w:leader="none" w:pos="2481"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 X 1.1667%) + (20% X (3.55% - 2.9167%))</w:t>
      </w:r>
    </w:p>
    <w:p>
      <w:pPr>
        <w:ind w:left="2481" w:hanging="114"/>
        <w:spacing w:after="0" w:line="218" w:lineRule="auto"/>
        <w:tabs>
          <w:tab w:leader="none" w:pos="2481"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0.5833% + (20% X 0.6333%)</w:t>
      </w:r>
    </w:p>
    <w:p>
      <w:pPr>
        <w:ind w:left="2481" w:hanging="114"/>
        <w:spacing w:after="0" w:line="218" w:lineRule="auto"/>
        <w:tabs>
          <w:tab w:leader="none" w:pos="2481"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0.5833% + 0.1267%</w:t>
      </w:r>
    </w:p>
    <w:p>
      <w:pPr>
        <w:ind w:left="2481" w:hanging="114"/>
        <w:spacing w:after="0"/>
        <w:tabs>
          <w:tab w:leader="none" w:pos="2481"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0.71%</w:t>
      </w:r>
    </w:p>
    <w:p>
      <w:pPr>
        <w:spacing w:after="0" w:line="146" w:lineRule="exact"/>
        <w:rPr>
          <w:rFonts w:ascii="Times New Roman" w:cs="Times New Roman" w:eastAsia="Times New Roman" w:hAnsi="Times New Roman"/>
          <w:sz w:val="13"/>
          <w:szCs w:val="13"/>
          <w:color w:val="auto"/>
        </w:rPr>
      </w:pP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3455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361" w:hanging="361"/>
        <w:spacing w:after="0" w:line="220" w:lineRule="auto"/>
        <w:tabs>
          <w:tab w:leader="none" w:pos="361"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Represents 7.0% annualized hurdle.</w:t>
      </w:r>
    </w:p>
    <w:p>
      <w:pPr>
        <w:ind w:left="361" w:hanging="361"/>
        <w:spacing w:after="0" w:line="218" w:lineRule="auto"/>
        <w:tabs>
          <w:tab w:leader="none" w:pos="361"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Represents 1.0% annualized base management fee.</w:t>
      </w:r>
    </w:p>
    <w:p>
      <w:pPr>
        <w:ind w:left="361" w:hanging="361"/>
        <w:spacing w:after="0" w:line="235" w:lineRule="auto"/>
        <w:tabs>
          <w:tab w:leader="none" w:pos="361"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Example 2: Capital Gains Portion of Incentive Fee:</w:t>
      </w:r>
    </w:p>
    <w:p>
      <w:pPr>
        <w:spacing w:after="0" w:line="1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5"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1: $20 million investment made in Company A (“Investment A”), and $30 million investment made in Company B (“Investment B”)</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2: Investment A sold for $50 million and fair market value (“FMV”) of Investment B determined to be $32 million</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3: FMV of Investment B determined to be $25 million</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4: Investment B sold for $31 million</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The capital gains portion of the incentive fee, if any, would be: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1: None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2: $6 million capital gains incentive fee</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$30 million realized capital gains on sale of Investment A multiplied by 20%</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3: None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$5 million cumulative fee (20% multiplied by $25 million ($30 million cumulative capital gains less $5 million cumulative capital depreciation)) less $6 million (previous capital gains fee paid in Year 2)</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4: $200,000 capital gains incentive fee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$6.2 million cumulative fee ($31 million cumulative realized capital gains multiplied by 20%) less $6 million (previous capital gains fee paid in Year 2).</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01"/>
          </w:cols>
          <w:pgMar w:left="319" w:top="254" w:right="479" w:bottom="1440" w:gutter="0" w:footer="0" w:header="0"/>
        </w:sectPr>
      </w:pPr>
    </w:p>
    <w:bookmarkStart w:id="12" w:name="page13"/>
    <w:bookmarkEnd w:id="12"/>
    <w:p>
      <w:pPr>
        <w:ind w:left="1"/>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5"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1: $20 million investment made in Company A (“Investment A”), $30 million investment made in Company B (“Investment B”) and $25 million investment made in Company C (“Investment C”)</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2: Investment A sold for $50 million, FMV of Investment B determined to be $25 million and FMV of Investment C determined to be $25 million</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3: FMV of Investment B determined to be $27 million and Investment C sold for $30 million</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4: FMV of Investment B determined to be $35 million</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5: Investment B sold for $20 million</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The capital gains portion of the incentive fee, if any, would be: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1: None</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2: $5 million capital gains incentive fee</w:t>
      </w:r>
    </w:p>
    <w:p>
      <w:pPr>
        <w:spacing w:after="0" w:line="111"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20% multiplied by $25 million ($30 million realized capital gains on sale of Investment A less $5 million unrealized capital depreciation on Investment B)</w:t>
      </w:r>
    </w:p>
    <w:p>
      <w:pPr>
        <w:spacing w:after="0" w:line="12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 xml:space="preserve">Year 3: $1.4 million capital gains incentive fee </w:t>
      </w:r>
      <w:r>
        <w:rPr>
          <w:rFonts w:ascii="Times New Roman" w:cs="Times New Roman" w:eastAsia="Times New Roman" w:hAnsi="Times New Roman"/>
          <w:sz w:val="11"/>
          <w:szCs w:val="11"/>
          <w:color w:val="auto"/>
        </w:rPr>
        <w:t>(1)</w:t>
      </w:r>
    </w:p>
    <w:p>
      <w:pPr>
        <w:spacing w:after="0" w:line="123" w:lineRule="exact"/>
        <w:rPr>
          <w:sz w:val="20"/>
          <w:szCs w:val="20"/>
          <w:color w:val="auto"/>
        </w:rPr>
      </w:pPr>
    </w:p>
    <w:p>
      <w:pPr>
        <w:ind w:left="141" w:right="20"/>
        <w:spacing w:after="0" w:line="247" w:lineRule="auto"/>
        <w:rPr>
          <w:sz w:val="20"/>
          <w:szCs w:val="20"/>
          <w:color w:val="auto"/>
        </w:rPr>
      </w:pPr>
      <w:r>
        <w:rPr>
          <w:rFonts w:ascii="Times New Roman" w:cs="Times New Roman" w:eastAsia="Times New Roman" w:hAnsi="Times New Roman"/>
          <w:sz w:val="13"/>
          <w:szCs w:val="13"/>
          <w:color w:val="auto"/>
        </w:rPr>
        <w:t>$6.4 million cumulative fee (20% multiplied by $32 million ($35 million cumulative realized capital gains less $3 million unrealized capital depreciation)) less $5 million (previous capital gains fee paid in Year 2)</w:t>
      </w:r>
    </w:p>
    <w:p>
      <w:pPr>
        <w:spacing w:after="0" w:line="243"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4: $0.6 million capital gains incentive fee</w:t>
      </w:r>
    </w:p>
    <w:p>
      <w:pPr>
        <w:spacing w:after="0" w:line="123" w:lineRule="exact"/>
        <w:rPr>
          <w:sz w:val="20"/>
          <w:szCs w:val="20"/>
          <w:color w:val="auto"/>
        </w:rPr>
      </w:pPr>
    </w:p>
    <w:p>
      <w:pPr>
        <w:ind w:left="141" w:right="100"/>
        <w:spacing w:after="0" w:line="254" w:lineRule="auto"/>
        <w:rPr>
          <w:sz w:val="20"/>
          <w:szCs w:val="20"/>
          <w:color w:val="auto"/>
        </w:rPr>
      </w:pPr>
      <w:r>
        <w:rPr>
          <w:rFonts w:ascii="Times New Roman" w:cs="Times New Roman" w:eastAsia="Times New Roman" w:hAnsi="Times New Roman"/>
          <w:sz w:val="13"/>
          <w:szCs w:val="13"/>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92"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3"/>
          <w:szCs w:val="13"/>
          <w:color w:val="auto"/>
        </w:rPr>
        <w:t>Year 5: None</w:t>
      </w:r>
    </w:p>
    <w:p>
      <w:pPr>
        <w:spacing w:after="0" w:line="111" w:lineRule="exact"/>
        <w:rPr>
          <w:sz w:val="20"/>
          <w:szCs w:val="20"/>
          <w:color w:val="auto"/>
        </w:rPr>
      </w:pPr>
    </w:p>
    <w:p>
      <w:pPr>
        <w:ind w:left="141" w:right="360"/>
        <w:spacing w:after="0" w:line="254" w:lineRule="auto"/>
        <w:rPr>
          <w:sz w:val="20"/>
          <w:szCs w:val="20"/>
          <w:color w:val="auto"/>
        </w:rPr>
      </w:pPr>
      <w:r>
        <w:rPr>
          <w:rFonts w:ascii="Times New Roman" w:cs="Times New Roman" w:eastAsia="Times New Roman" w:hAnsi="Times New Roman"/>
          <w:sz w:val="13"/>
          <w:szCs w:val="13"/>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13455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22" w:lineRule="exact"/>
        <w:rPr>
          <w:sz w:val="20"/>
          <w:szCs w:val="20"/>
          <w:color w:val="auto"/>
        </w:rPr>
      </w:pPr>
    </w:p>
    <w:p>
      <w:pPr>
        <w:ind w:left="361" w:right="200" w:hanging="361"/>
        <w:spacing w:after="0" w:line="254" w:lineRule="auto"/>
        <w:tabs>
          <w:tab w:leader="none" w:pos="361"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Organization of the Investment Adviser</w:t>
      </w:r>
    </w:p>
    <w:p>
      <w:pPr>
        <w:spacing w:after="0" w:line="127" w:lineRule="exact"/>
        <w:rPr>
          <w:sz w:val="20"/>
          <w:szCs w:val="20"/>
          <w:color w:val="auto"/>
        </w:rPr>
      </w:pPr>
    </w:p>
    <w:p>
      <w:pPr>
        <w:ind w:left="1" w:right="200" w:firstLine="439"/>
        <w:spacing w:after="0" w:line="254" w:lineRule="auto"/>
        <w:rPr>
          <w:sz w:val="20"/>
          <w:szCs w:val="20"/>
          <w:color w:val="auto"/>
        </w:rPr>
      </w:pPr>
      <w:r>
        <w:rPr>
          <w:rFonts w:ascii="Times New Roman" w:cs="Times New Roman" w:eastAsia="Times New Roman" w:hAnsi="Times New Roman"/>
          <w:sz w:val="13"/>
          <w:szCs w:val="13"/>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Investment Management Agreement</w:t>
      </w:r>
    </w:p>
    <w:p>
      <w:pPr>
        <w:spacing w:after="0" w:line="127" w:lineRule="exact"/>
        <w:rPr>
          <w:sz w:val="20"/>
          <w:szCs w:val="20"/>
          <w:color w:val="auto"/>
        </w:rPr>
      </w:pPr>
    </w:p>
    <w:p>
      <w:pPr>
        <w:ind w:left="1" w:firstLine="439"/>
        <w:spacing w:after="0" w:line="225" w:lineRule="auto"/>
        <w:rPr>
          <w:sz w:val="20"/>
          <w:szCs w:val="20"/>
          <w:color w:val="auto"/>
        </w:rPr>
      </w:pPr>
      <w:r>
        <w:rPr>
          <w:rFonts w:ascii="Times New Roman" w:cs="Times New Roman" w:eastAsia="Times New Roman" w:hAnsi="Times New Roman"/>
          <w:sz w:val="13"/>
          <w:szCs w:val="13"/>
          <w:color w:val="auto"/>
        </w:rPr>
        <w:t>The Investment Management Agreement was reapproved by our board of directors, including a majority of our directors who are not interested persons of us or the Investment Adviser, in February 2020. Unless terminated earlier as described below, the Investment Management Agreement will continue in effect for a period of one year through February 2021.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2" w:lineRule="exact"/>
        <w:rPr>
          <w:sz w:val="20"/>
          <w:szCs w:val="20"/>
          <w:color w:val="auto"/>
        </w:rPr>
      </w:pPr>
    </w:p>
    <w:p>
      <w:pPr>
        <w:ind w:left="1" w:right="100" w:firstLine="439"/>
        <w:spacing w:after="0" w:line="233" w:lineRule="auto"/>
        <w:rPr>
          <w:sz w:val="20"/>
          <w:szCs w:val="20"/>
          <w:color w:val="auto"/>
        </w:rPr>
      </w:pPr>
      <w:r>
        <w:rPr>
          <w:rFonts w:ascii="Times New Roman" w:cs="Times New Roman" w:eastAsia="Times New Roman" w:hAnsi="Times New Roman"/>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Administration Agreement</w:t>
      </w:r>
    </w:p>
    <w:p>
      <w:pPr>
        <w:spacing w:after="0" w:line="127" w:lineRule="exact"/>
        <w:rPr>
          <w:sz w:val="20"/>
          <w:szCs w:val="20"/>
          <w:color w:val="auto"/>
        </w:rPr>
      </w:pPr>
    </w:p>
    <w:p>
      <w:pPr>
        <w:ind w:left="1" w:right="20" w:firstLine="439"/>
        <w:spacing w:after="0" w:line="224" w:lineRule="auto"/>
        <w:rPr>
          <w:sz w:val="20"/>
          <w:szCs w:val="20"/>
          <w:color w:val="auto"/>
        </w:rPr>
      </w:pPr>
      <w:r>
        <w:rPr>
          <w:rFonts w:ascii="Times New Roman" w:cs="Times New Roman" w:eastAsia="Times New Roman" w:hAnsi="Times New Roman"/>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2020, 2019 and 2018, we reimbursed the Investment Adviser approximately $1.6 million, $1.9 million and $1.3 million, respectively, including expenses the Investment Adviser incurred on behalf of the Administrator, for services described above.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Administration Agreement</w:t>
      </w:r>
    </w:p>
    <w:p>
      <w:pPr>
        <w:spacing w:after="0" w:line="115" w:lineRule="exact"/>
        <w:rPr>
          <w:sz w:val="20"/>
          <w:szCs w:val="20"/>
          <w:color w:val="auto"/>
        </w:rPr>
      </w:pPr>
    </w:p>
    <w:p>
      <w:pPr>
        <w:ind w:right="80" w:firstLine="439"/>
        <w:spacing w:after="0" w:line="233" w:lineRule="auto"/>
        <w:rPr>
          <w:sz w:val="20"/>
          <w:szCs w:val="20"/>
          <w:color w:val="auto"/>
        </w:rPr>
      </w:pPr>
      <w:r>
        <w:rPr>
          <w:rFonts w:ascii="Times New Roman" w:cs="Times New Roman" w:eastAsia="Times New Roman" w:hAnsi="Times New Roman"/>
          <w:sz w:val="13"/>
          <w:szCs w:val="13"/>
          <w:color w:val="auto"/>
        </w:rPr>
        <w:t>The Administration Agreement was reapproved by our board of directors, including a majority of our directors who are not interested persons of us, in February 2020. Unless terminated earlier as described below, our Administration Agreement will continue in effect for a period of one year through February 2021.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Indemnification</w:t>
      </w:r>
    </w:p>
    <w:p>
      <w:pPr>
        <w:spacing w:after="0" w:line="127" w:lineRule="exact"/>
        <w:rPr>
          <w:sz w:val="20"/>
          <w:szCs w:val="20"/>
          <w:color w:val="auto"/>
        </w:rPr>
      </w:pPr>
    </w:p>
    <w:p>
      <w:pPr>
        <w:ind w:right="180" w:firstLine="439"/>
        <w:spacing w:after="0" w:line="230" w:lineRule="auto"/>
        <w:rPr>
          <w:sz w:val="20"/>
          <w:szCs w:val="20"/>
          <w:color w:val="auto"/>
        </w:rPr>
      </w:pPr>
      <w:r>
        <w:rPr>
          <w:rFonts w:ascii="Times New Roman" w:cs="Times New Roman" w:eastAsia="Times New Roman" w:hAnsi="Times New Roman"/>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License Agreement</w:t>
      </w:r>
    </w:p>
    <w:p>
      <w:pPr>
        <w:spacing w:after="0" w:line="127" w:lineRule="exact"/>
        <w:rPr>
          <w:sz w:val="20"/>
          <w:szCs w:val="20"/>
          <w:color w:val="auto"/>
        </w:rPr>
      </w:pPr>
    </w:p>
    <w:p>
      <w:pPr>
        <w:ind w:right="420" w:firstLine="439"/>
        <w:spacing w:after="0" w:line="237" w:lineRule="auto"/>
        <w:rPr>
          <w:sz w:val="20"/>
          <w:szCs w:val="20"/>
          <w:color w:val="auto"/>
        </w:rPr>
      </w:pPr>
      <w:r>
        <w:rPr>
          <w:rFonts w:ascii="Times New Roman" w:cs="Times New Roman" w:eastAsia="Times New Roman" w:hAnsi="Times New Roman"/>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PennantPark Senior Secured Loan Fund I LLC</w:t>
      </w:r>
    </w:p>
    <w:p>
      <w:pPr>
        <w:spacing w:after="0" w:line="127" w:lineRule="exact"/>
        <w:rPr>
          <w:sz w:val="20"/>
          <w:szCs w:val="20"/>
          <w:color w:val="auto"/>
        </w:rPr>
      </w:pPr>
    </w:p>
    <w:p>
      <w:pPr>
        <w:ind w:right="20" w:firstLine="439"/>
        <w:spacing w:after="0"/>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2020, PSSL had total assets of $406.4 million. As of the same date, we and Kemper had remaining commitments to fund first lien secured debt and equity interests in PSSL in an aggregate of $25.3 million. PSSL’s portfolio consisted of debt investments in 45 portfolio companies as of September 30, 2020. As of September 30, 2020, at fair value, the largest investment in a single portfolio company in PSSL was $20.6 million and the five largest investments totaled $93.3 million. PSSL invests in portfolio companies in the same industries in which we may directly invest.</w:t>
      </w:r>
    </w:p>
    <w:p>
      <w:pPr>
        <w:spacing w:after="0" w:line="220" w:lineRule="exact"/>
        <w:rPr>
          <w:sz w:val="20"/>
          <w:szCs w:val="20"/>
          <w:color w:val="auto"/>
        </w:rPr>
      </w:pPr>
    </w:p>
    <w:p>
      <w:pPr>
        <w:ind w:right="160" w:firstLine="439"/>
        <w:spacing w:after="0" w:line="237" w:lineRule="auto"/>
        <w:rPr>
          <w:sz w:val="20"/>
          <w:szCs w:val="20"/>
          <w:color w:val="auto"/>
        </w:rPr>
      </w:pPr>
      <w:r>
        <w:rPr>
          <w:rFonts w:ascii="Times New Roman" w:cs="Times New Roman" w:eastAsia="Times New Roman" w:hAnsi="Times New Roman"/>
          <w:sz w:val="13"/>
          <w:szCs w:val="13"/>
          <w:color w:val="auto"/>
        </w:rPr>
        <w:t>We provide capital to PSSL in the form of first lien secured debt and equity interests. As of September 30, 2020 and 2019, we and Kemper owned 87.5% and 12.5%, respectively, of each of the outstanding first lien secured debt and equity interests. As of the same dates, our investment in PSSL consisted of first lien secured debt of $125.4 million (additional $15.5 million unfunded) and $122.2 million (additional $6.4 million unfunded), respectively, and equity interests of $53.7 million (additional $6.6 million unfunded) and $52.4 million (additional $2.8 million unfunded),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Company and Regulated Investment Company Regulations</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89" w:lineRule="exact"/>
        <w:rPr>
          <w:sz w:val="20"/>
          <w:szCs w:val="20"/>
          <w:color w:val="auto"/>
        </w:rPr>
      </w:pPr>
    </w:p>
    <w:p>
      <w:pPr>
        <w:ind w:right="40" w:firstLine="439"/>
        <w:spacing w:after="0" w:line="225" w:lineRule="auto"/>
        <w:rPr>
          <w:sz w:val="20"/>
          <w:szCs w:val="20"/>
          <w:color w:val="auto"/>
        </w:rPr>
      </w:pPr>
      <w:r>
        <w:rPr>
          <w:rFonts w:ascii="Times New Roman" w:cs="Times New Roman" w:eastAsia="Times New Roman" w:hAnsi="Times New Roman"/>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Qualifying Assets</w:t>
      </w:r>
    </w:p>
    <w:p>
      <w:pPr>
        <w:spacing w:after="0" w:line="127" w:lineRule="exact"/>
        <w:rPr>
          <w:sz w:val="20"/>
          <w:szCs w:val="20"/>
          <w:color w:val="auto"/>
        </w:rPr>
      </w:pPr>
    </w:p>
    <w:p>
      <w:pPr>
        <w:ind w:right="200" w:firstLine="439"/>
        <w:spacing w:after="0" w:line="254" w:lineRule="auto"/>
        <w:rPr>
          <w:sz w:val="20"/>
          <w:szCs w:val="20"/>
          <w:color w:val="auto"/>
        </w:rPr>
      </w:pPr>
      <w:r>
        <w:rPr>
          <w:rFonts w:ascii="Times New Roman" w:cs="Times New Roman" w:eastAsia="Times New Roman" w:hAnsi="Times New Roman"/>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0" w:lineRule="exact"/>
        <w:rPr>
          <w:sz w:val="20"/>
          <w:szCs w:val="20"/>
          <w:color w:val="auto"/>
        </w:rPr>
      </w:pPr>
    </w:p>
    <w:p>
      <w:pPr>
        <w:ind w:left="900" w:right="60" w:hanging="356"/>
        <w:spacing w:after="0" w:line="237"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02" w:lineRule="exact"/>
        <w:rPr>
          <w:rFonts w:ascii="Times New Roman" w:cs="Times New Roman" w:eastAsia="Times New Roman" w:hAnsi="Times New Roman"/>
          <w:sz w:val="13"/>
          <w:szCs w:val="13"/>
          <w:color w:val="auto"/>
        </w:rPr>
      </w:pPr>
    </w:p>
    <w:p>
      <w:pPr>
        <w:ind w:left="1460" w:hanging="358"/>
        <w:spacing w:after="0"/>
        <w:tabs>
          <w:tab w:leader="none" w:pos="146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organized under the laws of, and has its principal place of business in, the United States;</w:t>
      </w:r>
    </w:p>
    <w:p>
      <w:pPr>
        <w:spacing w:after="0" w:line="123" w:lineRule="exact"/>
        <w:rPr>
          <w:rFonts w:ascii="Times New Roman" w:cs="Times New Roman" w:eastAsia="Times New Roman" w:hAnsi="Times New Roman"/>
          <w:sz w:val="13"/>
          <w:szCs w:val="13"/>
          <w:color w:val="auto"/>
        </w:rPr>
      </w:pPr>
    </w:p>
    <w:p>
      <w:pPr>
        <w:ind w:left="1460" w:right="160" w:hanging="358"/>
        <w:spacing w:after="0" w:line="254" w:lineRule="auto"/>
        <w:tabs>
          <w:tab w:leader="none" w:pos="146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92" w:lineRule="exact"/>
        <w:rPr>
          <w:rFonts w:ascii="Times New Roman" w:cs="Times New Roman" w:eastAsia="Times New Roman" w:hAnsi="Times New Roman"/>
          <w:sz w:val="13"/>
          <w:szCs w:val="13"/>
          <w:color w:val="auto"/>
        </w:rPr>
      </w:pPr>
    </w:p>
    <w:p>
      <w:pPr>
        <w:ind w:left="1460" w:hanging="358"/>
        <w:spacing w:after="0"/>
        <w:tabs>
          <w:tab w:leader="none" w:pos="146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satisfies any of the following:</w:t>
      </w:r>
    </w:p>
    <w:p>
      <w:pPr>
        <w:spacing w:after="0" w:line="123" w:lineRule="exact"/>
        <w:rPr>
          <w:rFonts w:ascii="Times New Roman" w:cs="Times New Roman" w:eastAsia="Times New Roman" w:hAnsi="Times New Roman"/>
          <w:sz w:val="13"/>
          <w:szCs w:val="13"/>
          <w:color w:val="auto"/>
        </w:rPr>
      </w:pPr>
    </w:p>
    <w:p>
      <w:pPr>
        <w:ind w:left="2020" w:hanging="361"/>
        <w:spacing w:after="0"/>
        <w:tabs>
          <w:tab w:leader="none" w:pos="202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have any class of securities listed on a national securities exchange;</w:t>
      </w:r>
    </w:p>
    <w:p>
      <w:pPr>
        <w:spacing w:after="0" w:line="123" w:lineRule="exact"/>
        <w:rPr>
          <w:rFonts w:ascii="Times New Roman" w:cs="Times New Roman" w:eastAsia="Times New Roman" w:hAnsi="Times New Roman"/>
          <w:sz w:val="13"/>
          <w:szCs w:val="13"/>
          <w:color w:val="auto"/>
        </w:rPr>
      </w:pPr>
    </w:p>
    <w:p>
      <w:pPr>
        <w:ind w:left="2020" w:hanging="361"/>
        <w:spacing w:after="0"/>
        <w:tabs>
          <w:tab w:leader="none" w:pos="202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any class of securities listed on a national securities exchange subject to a maximum market capitalization of $250.0 million; or</w:t>
      </w:r>
    </w:p>
    <w:p>
      <w:pPr>
        <w:spacing w:after="0" w:line="123" w:lineRule="exact"/>
        <w:rPr>
          <w:rFonts w:ascii="Times New Roman" w:cs="Times New Roman" w:eastAsia="Times New Roman" w:hAnsi="Times New Roman"/>
          <w:sz w:val="13"/>
          <w:szCs w:val="13"/>
          <w:color w:val="auto"/>
        </w:rPr>
      </w:pPr>
    </w:p>
    <w:p>
      <w:pPr>
        <w:ind w:left="2020" w:right="280" w:hanging="361"/>
        <w:spacing w:after="0" w:line="254" w:lineRule="auto"/>
        <w:tabs>
          <w:tab w:leader="none" w:pos="2020"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4" w:name="page15"/>
    <w:bookmarkEnd w:id="14"/>
    <w:p>
      <w:pPr>
        <w:ind w:left="900" w:hanging="356"/>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any eligible portfolio company which we control.</w:t>
      </w:r>
    </w:p>
    <w:p>
      <w:pPr>
        <w:spacing w:after="0" w:line="122" w:lineRule="exact"/>
        <w:rPr>
          <w:rFonts w:ascii="Times New Roman" w:cs="Times New Roman" w:eastAsia="Times New Roman" w:hAnsi="Times New Roman"/>
          <w:sz w:val="13"/>
          <w:szCs w:val="13"/>
          <w:color w:val="auto"/>
        </w:rPr>
      </w:pPr>
    </w:p>
    <w:p>
      <w:pPr>
        <w:ind w:left="900" w:right="60" w:hanging="356"/>
        <w:spacing w:after="0" w:line="237" w:lineRule="auto"/>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02" w:lineRule="exact"/>
        <w:rPr>
          <w:rFonts w:ascii="Times New Roman" w:cs="Times New Roman" w:eastAsia="Times New Roman" w:hAnsi="Times New Roman"/>
          <w:sz w:val="13"/>
          <w:szCs w:val="13"/>
          <w:color w:val="auto"/>
        </w:rPr>
      </w:pPr>
    </w:p>
    <w:p>
      <w:pPr>
        <w:ind w:left="900" w:right="20" w:hanging="356"/>
        <w:spacing w:after="0" w:line="254" w:lineRule="auto"/>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received in exchange for or distributed on or with respect to securities described in (1) through (4) above, or pursuant to the exercise of warrants or rights relating to such securities.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cash equivalents, U.S. government securities or high-quality debt securities maturing in one year or less from the time of investment.</w:t>
      </w:r>
    </w:p>
    <w:p>
      <w:pPr>
        <w:spacing w:after="0" w:line="12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 to Portfolio Companies</w:t>
      </w:r>
    </w:p>
    <w:p>
      <w:pPr>
        <w:spacing w:after="0" w:line="127"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Temporary Investments</w:t>
      </w:r>
    </w:p>
    <w:p>
      <w:pPr>
        <w:spacing w:after="0" w:line="115"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Senior Securities</w:t>
      </w:r>
    </w:p>
    <w:p>
      <w:pPr>
        <w:spacing w:after="0" w:line="127"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Joint Code of Ethics and Code of Conduct</w:t>
      </w:r>
    </w:p>
    <w:p>
      <w:pPr>
        <w:spacing w:after="0" w:line="127" w:lineRule="exact"/>
        <w:rPr>
          <w:sz w:val="20"/>
          <w:szCs w:val="20"/>
          <w:color w:val="auto"/>
        </w:rPr>
      </w:pPr>
    </w:p>
    <w:p>
      <w:pPr>
        <w:ind w:right="80" w:firstLine="439"/>
        <w:spacing w:after="0" w:line="230" w:lineRule="auto"/>
        <w:rPr>
          <w:sz w:val="20"/>
          <w:szCs w:val="20"/>
          <w:color w:val="auto"/>
        </w:rPr>
      </w:pPr>
      <w:r>
        <w:rPr>
          <w:rFonts w:ascii="Times New Roman" w:cs="Times New Roman" w:eastAsia="Times New Roman" w:hAnsi="Times New Roman"/>
          <w:sz w:val="13"/>
          <w:szCs w:val="13"/>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joint code of ethics is attached as an exhibit to this Report and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You may also obtain a copy of our joint code of ethics, after paying a duplicating fee, by electronic request at the following email address: </w:t>
      </w:r>
      <w:r>
        <w:rPr>
          <w:rFonts w:ascii="Times New Roman" w:cs="Times New Roman" w:eastAsia="Times New Roman" w:hAnsi="Times New Roman"/>
          <w:sz w:val="13"/>
          <w:szCs w:val="13"/>
          <w:i w:val="1"/>
          <w:iCs w:val="1"/>
          <w:u w:val="single" w:color="auto"/>
          <w:color w:val="auto"/>
        </w:rPr>
        <w:t>publicinfo@sec.gov</w:t>
      </w:r>
      <w:r>
        <w:rPr>
          <w:rFonts w:ascii="Times New Roman" w:cs="Times New Roman" w:eastAsia="Times New Roman" w:hAnsi="Times New Roman"/>
          <w:sz w:val="13"/>
          <w:szCs w:val="13"/>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Proxy Voting Policies and Procedures</w:t>
      </w:r>
    </w:p>
    <w:p>
      <w:pPr>
        <w:spacing w:after="0" w:line="115"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i w:val="1"/>
          <w:iCs w:val="1"/>
          <w:color w:val="auto"/>
        </w:rPr>
        <w:t>Introduction</w:t>
      </w:r>
    </w:p>
    <w:p>
      <w:pPr>
        <w:spacing w:after="0" w:line="125"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0" w:lineRule="exact"/>
        <w:rPr>
          <w:sz w:val="20"/>
          <w:szCs w:val="20"/>
          <w:color w:val="auto"/>
        </w:rPr>
      </w:pPr>
    </w:p>
    <w:p>
      <w:pPr>
        <w:ind w:left="440" w:right="1680"/>
        <w:spacing w:after="0" w:line="437" w:lineRule="auto"/>
        <w:rPr>
          <w:sz w:val="20"/>
          <w:szCs w:val="20"/>
          <w:color w:val="auto"/>
        </w:rPr>
      </w:pPr>
      <w:r>
        <w:rPr>
          <w:rFonts w:ascii="Times New Roman" w:cs="Times New Roman" w:eastAsia="Times New Roman" w:hAnsi="Times New Roman"/>
          <w:sz w:val="13"/>
          <w:szCs w:val="13"/>
          <w:color w:val="auto"/>
        </w:rPr>
        <w:t xml:space="preserve">These policies and procedures for voting proxies for our investment advisory clients are intended to comply with Section 206 of, and Rule 206(4)-6 under, the Advisers Act. </w:t>
      </w:r>
      <w:r>
        <w:rPr>
          <w:rFonts w:ascii="Times New Roman" w:cs="Times New Roman" w:eastAsia="Times New Roman" w:hAnsi="Times New Roman"/>
          <w:sz w:val="13"/>
          <w:szCs w:val="13"/>
          <w:i w:val="1"/>
          <w:iCs w:val="1"/>
          <w:color w:val="auto"/>
        </w:rPr>
        <w:t>Proxy Policies</w:t>
      </w:r>
    </w:p>
    <w:p>
      <w:pPr>
        <w:spacing w:after="0" w:line="1" w:lineRule="exact"/>
        <w:rPr>
          <w:sz w:val="20"/>
          <w:szCs w:val="20"/>
          <w:color w:val="auto"/>
        </w:rPr>
      </w:pPr>
    </w:p>
    <w:p>
      <w:pPr>
        <w:ind w:right="200" w:firstLine="439"/>
        <w:spacing w:after="0" w:line="237" w:lineRule="auto"/>
        <w:rPr>
          <w:sz w:val="20"/>
          <w:szCs w:val="20"/>
          <w:color w:val="auto"/>
        </w:rPr>
      </w:pPr>
      <w:r>
        <w:rPr>
          <w:rFonts w:ascii="Times New Roman" w:cs="Times New Roman" w:eastAsia="Times New Roman" w:hAnsi="Times New Roman"/>
          <w:sz w:val="13"/>
          <w:szCs w:val="13"/>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90"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3"/>
          <w:szCs w:val="13"/>
          <w:i w:val="1"/>
          <w:iCs w:val="1"/>
          <w:color w:val="auto"/>
        </w:rPr>
        <w:t>Proxy Voting Records</w:t>
      </w:r>
    </w:p>
    <w:p>
      <w:pPr>
        <w:spacing w:after="0" w:line="113"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3"/>
          <w:szCs w:val="13"/>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Privacy Protection Principles</w:t>
      </w:r>
    </w:p>
    <w:p>
      <w:pPr>
        <w:spacing w:after="0" w:line="127"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80" w:lineRule="exact"/>
        <w:rPr>
          <w:sz w:val="20"/>
          <w:szCs w:val="20"/>
          <w:color w:val="auto"/>
        </w:rPr>
      </w:pPr>
    </w:p>
    <w:p>
      <w:pPr>
        <w:ind w:firstLine="439"/>
        <w:spacing w:after="0" w:line="237" w:lineRule="auto"/>
        <w:rPr>
          <w:sz w:val="20"/>
          <w:szCs w:val="20"/>
          <w:color w:val="auto"/>
        </w:rPr>
      </w:pPr>
      <w:r>
        <w:rPr>
          <w:rFonts w:ascii="Times New Roman" w:cs="Times New Roman" w:eastAsia="Times New Roman" w:hAnsi="Times New Roman"/>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2"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90" w:lineRule="exact"/>
        <w:rPr>
          <w:sz w:val="20"/>
          <w:szCs w:val="20"/>
          <w:color w:val="auto"/>
        </w:rPr>
      </w:pPr>
    </w:p>
    <w:p>
      <w:pPr>
        <w:ind w:right="40" w:firstLine="439"/>
        <w:spacing w:after="0" w:line="257" w:lineRule="auto"/>
        <w:rPr>
          <w:sz w:val="20"/>
          <w:szCs w:val="20"/>
          <w:color w:val="auto"/>
        </w:rPr>
      </w:pPr>
      <w:r>
        <w:rPr>
          <w:rFonts w:ascii="Times New Roman" w:cs="Times New Roman" w:eastAsia="Times New Roman" w:hAnsi="Times New Roman"/>
          <w:sz w:val="13"/>
          <w:szCs w:val="13"/>
          <w:color w:val="auto"/>
        </w:rPr>
        <w:t xml:space="preserve">Our privacy protection policies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privacy policy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filed as an exhibit to our annual report on Form 10-K (File No. 814-00891) filed on November 17, 2011.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w:t>
      </w:r>
    </w:p>
    <w:p>
      <w:pPr>
        <w:spacing w:after="0" w:line="127" w:lineRule="exact"/>
        <w:rPr>
          <w:sz w:val="20"/>
          <w:szCs w:val="20"/>
          <w:color w:val="auto"/>
        </w:rPr>
      </w:pPr>
    </w:p>
    <w:p>
      <w:pPr>
        <w:ind w:right="340" w:firstLine="439"/>
        <w:spacing w:after="0" w:line="254" w:lineRule="auto"/>
        <w:rPr>
          <w:sz w:val="20"/>
          <w:szCs w:val="20"/>
          <w:color w:val="auto"/>
        </w:rPr>
      </w:pPr>
      <w:r>
        <w:rPr>
          <w:rFonts w:ascii="Times New Roman" w:cs="Times New Roman" w:eastAsia="Times New Roman" w:hAnsi="Times New Roman"/>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will be periodically examined by the SEC for compliance with the 1940 Act.</w:t>
      </w:r>
    </w:p>
    <w:p>
      <w:pPr>
        <w:spacing w:after="0" w:line="111" w:lineRule="exact"/>
        <w:rPr>
          <w:sz w:val="20"/>
          <w:szCs w:val="20"/>
          <w:color w:val="auto"/>
        </w:rPr>
      </w:pPr>
    </w:p>
    <w:p>
      <w:pPr>
        <w:ind w:right="140" w:firstLine="439"/>
        <w:spacing w:after="0" w:line="237" w:lineRule="auto"/>
        <w:rPr>
          <w:sz w:val="20"/>
          <w:szCs w:val="20"/>
          <w:color w:val="auto"/>
        </w:rPr>
      </w:pPr>
      <w:r>
        <w:rPr>
          <w:rFonts w:ascii="Times New Roman" w:cs="Times New Roman" w:eastAsia="Times New Roman" w:hAnsi="Times New Roman"/>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Sarbanes-Oxley Act of 2002</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Sarbanes-Oxley Act of 2002, as amended, or the Sarbanes-Oxley Act, imposes several regulatory requirements on publicly held companies and their insiders. Many of these requirements affect us.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example:</w:t>
      </w:r>
    </w:p>
    <w:p>
      <w:pPr>
        <w:spacing w:after="0" w:line="123" w:lineRule="exact"/>
        <w:rPr>
          <w:sz w:val="20"/>
          <w:szCs w:val="20"/>
          <w:color w:val="auto"/>
        </w:rPr>
      </w:pPr>
    </w:p>
    <w:p>
      <w:pPr>
        <w:ind w:left="900" w:right="380" w:hanging="356"/>
        <w:spacing w:after="0" w:line="254" w:lineRule="auto"/>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Item 307 of Regulation S-K, our periodic reports must disclose our conclusions about the effectiveness of our disclosure controls and procedures;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Rule 13a-15 of the Exchange Act, our management must prepare an annual report regarding its assessment of our internal controls over financial reporting; and</w:t>
      </w:r>
    </w:p>
    <w:p>
      <w:pPr>
        <w:spacing w:after="0" w:line="123" w:lineRule="exact"/>
        <w:rPr>
          <w:rFonts w:ascii="Times New Roman" w:cs="Times New Roman" w:eastAsia="Times New Roman" w:hAnsi="Times New Roman"/>
          <w:sz w:val="13"/>
          <w:szCs w:val="13"/>
          <w:color w:val="auto"/>
        </w:rPr>
      </w:pPr>
    </w:p>
    <w:p>
      <w:pPr>
        <w:ind w:left="900" w:right="240" w:hanging="356"/>
        <w:spacing w:after="0" w:line="237" w:lineRule="auto"/>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2"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3"/>
          <w:szCs w:val="13"/>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to be Treated as a RIC</w:t>
      </w:r>
    </w:p>
    <w:p>
      <w:pPr>
        <w:spacing w:after="0" w:line="127" w:lineRule="exact"/>
        <w:rPr>
          <w:sz w:val="20"/>
          <w:szCs w:val="20"/>
          <w:color w:val="auto"/>
        </w:rPr>
      </w:pPr>
    </w:p>
    <w:p>
      <w:pPr>
        <w:ind w:right="140" w:firstLine="439"/>
        <w:spacing w:after="0" w:line="233"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 order to qualify as a RIC for federal income tax purposes, we must:</w:t>
      </w:r>
    </w:p>
    <w:p>
      <w:pPr>
        <w:spacing w:after="0" w:line="123" w:lineRule="exact"/>
        <w:rPr>
          <w:sz w:val="20"/>
          <w:szCs w:val="20"/>
          <w:color w:val="auto"/>
        </w:rPr>
      </w:pPr>
    </w:p>
    <w:p>
      <w:pPr>
        <w:ind w:left="900" w:hanging="356"/>
        <w:spacing w:after="0"/>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an election to be treated as a BDC under the 1940 Act at all times during each taxable year;</w:t>
      </w:r>
    </w:p>
    <w:p>
      <w:pPr>
        <w:spacing w:after="0" w:line="123" w:lineRule="exact"/>
        <w:rPr>
          <w:rFonts w:ascii="Times New Roman" w:cs="Times New Roman" w:eastAsia="Times New Roman" w:hAnsi="Times New Roman"/>
          <w:sz w:val="13"/>
          <w:szCs w:val="13"/>
          <w:color w:val="auto"/>
        </w:rPr>
      </w:pPr>
    </w:p>
    <w:p>
      <w:pPr>
        <w:ind w:left="900" w:right="80" w:hanging="356"/>
        <w:spacing w:after="0" w:line="254" w:lineRule="auto"/>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bookmarkStart w:id="16" w:name="page17"/>
    <w:bookmarkEnd w:id="16"/>
    <w:p>
      <w:pPr>
        <w:ind w:left="900" w:hanging="356"/>
        <w:spacing w:after="0"/>
        <w:tabs>
          <w:tab w:leader="none" w:pos="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diversify our holdings, or the Diversification Tests, so that at the end of each quarter of the taxable year:</w:t>
      </w:r>
    </w:p>
    <w:p>
      <w:pPr>
        <w:spacing w:after="0" w:line="122" w:lineRule="exact"/>
        <w:rPr>
          <w:rFonts w:ascii="Times New Roman" w:cs="Times New Roman" w:eastAsia="Times New Roman" w:hAnsi="Times New Roman"/>
          <w:sz w:val="13"/>
          <w:szCs w:val="13"/>
          <w:color w:val="auto"/>
        </w:rPr>
      </w:pPr>
    </w:p>
    <w:p>
      <w:pPr>
        <w:ind w:left="1460" w:right="260" w:hanging="358"/>
        <w:spacing w:after="0" w:line="254" w:lineRule="auto"/>
        <w:tabs>
          <w:tab w:leader="none" w:pos="1460"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92" w:lineRule="exact"/>
        <w:rPr>
          <w:rFonts w:ascii="Times New Roman" w:cs="Times New Roman" w:eastAsia="Times New Roman" w:hAnsi="Times New Roman"/>
          <w:sz w:val="13"/>
          <w:szCs w:val="13"/>
          <w:color w:val="auto"/>
        </w:rPr>
      </w:pPr>
    </w:p>
    <w:p>
      <w:pPr>
        <w:ind w:left="1460" w:hanging="358"/>
        <w:spacing w:after="0" w:line="254" w:lineRule="auto"/>
        <w:tabs>
          <w:tab w:leader="none" w:pos="1460"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92" w:lineRule="exact"/>
        <w:rPr>
          <w:sz w:val="20"/>
          <w:szCs w:val="20"/>
          <w:color w:val="auto"/>
        </w:rPr>
      </w:pPr>
    </w:p>
    <w:p>
      <w:pPr>
        <w:ind w:right="80" w:firstLine="439"/>
        <w:spacing w:after="0" w:line="22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05" w:lineRule="exact"/>
        <w:rPr>
          <w:sz w:val="20"/>
          <w:szCs w:val="20"/>
          <w:color w:val="auto"/>
        </w:rPr>
      </w:pPr>
    </w:p>
    <w:p>
      <w:pPr>
        <w:ind w:right="80" w:firstLine="439"/>
        <w:spacing w:after="0" w:line="233" w:lineRule="auto"/>
        <w:rPr>
          <w:sz w:val="20"/>
          <w:szCs w:val="20"/>
          <w:color w:val="auto"/>
        </w:rPr>
      </w:pPr>
      <w:r>
        <w:rPr>
          <w:rFonts w:ascii="Times New Roman" w:cs="Times New Roman" w:eastAsia="Times New Roman" w:hAnsi="Times New Roman"/>
          <w:sz w:val="13"/>
          <w:szCs w:val="13"/>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01" w:lineRule="exact"/>
        <w:rPr>
          <w:sz w:val="20"/>
          <w:szCs w:val="20"/>
          <w:color w:val="auto"/>
        </w:rPr>
      </w:pPr>
    </w:p>
    <w:p>
      <w:pPr>
        <w:ind w:right="140" w:firstLine="439"/>
        <w:spacing w:after="0" w:line="233" w:lineRule="auto"/>
        <w:rPr>
          <w:sz w:val="20"/>
          <w:szCs w:val="20"/>
          <w:color w:val="auto"/>
        </w:rPr>
      </w:pPr>
      <w:r>
        <w:rPr>
          <w:rFonts w:ascii="Times New Roman" w:cs="Times New Roman" w:eastAsia="Times New Roman" w:hAnsi="Times New Roman"/>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as a RIC</w:t>
      </w:r>
    </w:p>
    <w:p>
      <w:pPr>
        <w:spacing w:after="0" w:line="127"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01"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89"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01"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2"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9"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Qualify as a RIC</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89" w:lineRule="exact"/>
        <w:rPr>
          <w:sz w:val="20"/>
          <w:szCs w:val="20"/>
          <w:color w:val="auto"/>
        </w:rPr>
      </w:pPr>
    </w:p>
    <w:p>
      <w:pPr>
        <w:ind w:right="40" w:firstLine="439"/>
        <w:spacing w:after="0" w:line="225" w:lineRule="auto"/>
        <w:rPr>
          <w:sz w:val="20"/>
          <w:szCs w:val="20"/>
          <w:color w:val="auto"/>
        </w:rPr>
      </w:pPr>
      <w:r>
        <w:rPr>
          <w:rFonts w:ascii="Times New Roman" w:cs="Times New Roman" w:eastAsia="Times New Roman" w:hAnsi="Times New Roman"/>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23"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BUSINESS AND STRUCTURE</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covenants under Funding I’s Credit Facility which, if not complied with, could result in reduced availability and/or mandatory prepayments under Funding I’s Credit Facility, our 2023 Notes, and our 2031 Asset-Backed Debt.</w:t>
      </w:r>
    </w:p>
    <w:p>
      <w:pPr>
        <w:spacing w:after="0" w:line="89" w:lineRule="exact"/>
        <w:rPr>
          <w:sz w:val="20"/>
          <w:szCs w:val="20"/>
          <w:color w:val="auto"/>
        </w:rPr>
      </w:pPr>
    </w:p>
    <w:p>
      <w:pPr>
        <w:ind w:firstLine="439"/>
        <w:spacing w:after="0" w:line="228" w:lineRule="auto"/>
        <w:rPr>
          <w:sz w:val="20"/>
          <w:szCs w:val="20"/>
          <w:color w:val="auto"/>
        </w:rPr>
      </w:pPr>
      <w:r>
        <w:rPr>
          <w:rFonts w:ascii="Times New Roman" w:cs="Times New Roman" w:eastAsia="Times New Roman" w:hAnsi="Times New Roman"/>
          <w:sz w:val="13"/>
          <w:szCs w:val="13"/>
          <w:color w:val="auto"/>
        </w:rPr>
        <w:t>In addition to the asset coverage ratio requirements, our Credit Facility contains various covenants applicable to Funding I, which restricts our ability to borrow funds, and the deed of trust governing our 2023 Notes and the indenture governing our 2031 Asset-Backed Debt contain various covenants which, if not complied with, could accelerate repayment of the 2023 Notes and the 2031 Asset-Backed Debt, respectively.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0" w:lineRule="exact"/>
        <w:rPr>
          <w:sz w:val="20"/>
          <w:szCs w:val="20"/>
          <w:color w:val="auto"/>
        </w:rPr>
      </w:pPr>
    </w:p>
    <w:p>
      <w:pPr>
        <w:ind w:left="900" w:hanging="356"/>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to retain our status as a RIC;</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to maintain a minimum amount of stockholders’ equity;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that our outstanding borrowings under the Credit Facility not exceed a certain percentage of the value of our portfolio.</w:t>
      </w:r>
    </w:p>
    <w:p>
      <w:pPr>
        <w:spacing w:after="0" w:line="123"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our note holders to accelerate amounts due under the deed of trust governing our 2023 Notes or the indenture governing our 2031 Asset-Backed Debt. This could have a material adverse effect on our operations, as it would reduce availability under the Credit Facility and could trigger mandatory prepayment obligations under the terms of the Credit Facility.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for investment opportunities.</w:t>
      </w:r>
    </w:p>
    <w:p>
      <w:pPr>
        <w:spacing w:after="0" w:line="127" w:lineRule="exact"/>
        <w:rPr>
          <w:sz w:val="20"/>
          <w:szCs w:val="20"/>
          <w:color w:val="auto"/>
        </w:rPr>
      </w:pPr>
    </w:p>
    <w:p>
      <w:pPr>
        <w:ind w:right="40" w:firstLine="439"/>
        <w:spacing w:after="0" w:line="225" w:lineRule="auto"/>
        <w:rPr>
          <w:sz w:val="20"/>
          <w:szCs w:val="20"/>
          <w:color w:val="auto"/>
        </w:rPr>
      </w:pPr>
      <w:r>
        <w:rPr>
          <w:rFonts w:ascii="Times New Roman" w:cs="Times New Roman" w:eastAsia="Times New Roman" w:hAnsi="Times New Roman"/>
          <w:sz w:val="13"/>
          <w:szCs w:val="13"/>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93" w:lineRule="exact"/>
        <w:rPr>
          <w:sz w:val="20"/>
          <w:szCs w:val="20"/>
          <w:color w:val="auto"/>
        </w:rPr>
      </w:pPr>
    </w:p>
    <w:p>
      <w:pPr>
        <w:ind w:right="40" w:firstLine="439"/>
        <w:spacing w:after="0"/>
        <w:rPr>
          <w:sz w:val="20"/>
          <w:szCs w:val="20"/>
          <w:color w:val="auto"/>
        </w:rPr>
      </w:pPr>
      <w:r>
        <w:rPr>
          <w:rFonts w:ascii="Times New Roman" w:cs="Times New Roman" w:eastAsia="Times New Roman" w:hAnsi="Times New Roman"/>
          <w:sz w:val="13"/>
          <w:szCs w:val="13"/>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borrowers may default on their payments, which may have a materially negative effect on our financial performance.</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primary business exposes us to credit risk, and the quality of our portfolio has a significant impact on our earnings. Credit risk is a component of our fair valuation of our portfolio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Negative credit events will lead to a decrease in the fair value of our portfolio companies.</w:t>
      </w:r>
    </w:p>
    <w:p>
      <w:pPr>
        <w:spacing w:after="0" w:line="97" w:lineRule="exact"/>
        <w:rPr>
          <w:sz w:val="20"/>
          <w:szCs w:val="20"/>
          <w:color w:val="auto"/>
        </w:rPr>
      </w:pPr>
    </w:p>
    <w:p>
      <w:pPr>
        <w:ind w:right="200" w:firstLine="439"/>
        <w:spacing w:after="0" w:line="237" w:lineRule="auto"/>
        <w:rPr>
          <w:sz w:val="20"/>
          <w:szCs w:val="20"/>
          <w:color w:val="auto"/>
        </w:rPr>
      </w:pPr>
      <w:r>
        <w:rPr>
          <w:rFonts w:ascii="Times New Roman" w:cs="Times New Roman" w:eastAsia="Times New Roman" w:hAnsi="Times New Roman"/>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2"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15"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right="280" w:firstLine="439"/>
        <w:spacing w:after="0" w:line="254" w:lineRule="auto"/>
        <w:rPr>
          <w:sz w:val="20"/>
          <w:szCs w:val="20"/>
          <w:color w:val="auto"/>
        </w:rPr>
      </w:pPr>
      <w:r>
        <w:rPr>
          <w:rFonts w:ascii="Times New Roman" w:cs="Times New Roman" w:eastAsia="Times New Roman" w:hAnsi="Times New Roman"/>
          <w:sz w:val="13"/>
          <w:szCs w:val="13"/>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7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89" w:lineRule="exact"/>
        <w:rPr>
          <w:sz w:val="20"/>
          <w:szCs w:val="20"/>
          <w:color w:val="auto"/>
        </w:rPr>
      </w:pPr>
    </w:p>
    <w:p>
      <w:pPr>
        <w:ind w:right="80" w:firstLine="439"/>
        <w:spacing w:after="0" w:line="228" w:lineRule="auto"/>
        <w:rPr>
          <w:sz w:val="20"/>
          <w:szCs w:val="20"/>
          <w:color w:val="auto"/>
        </w:rPr>
      </w:pPr>
      <w:r>
        <w:rPr>
          <w:rFonts w:ascii="Times New Roman" w:cs="Times New Roman" w:eastAsia="Times New Roman" w:hAnsi="Times New Roman"/>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If our Investment Management Agreement is terminated, our costs under new agreements that we enter into may increase. In addition, we will likely incur significant time and expense in locating</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alternative parties to provide the services we expect to receive under our Investment Management Agreement. Any new investment management agreement would also be subject to approval by our stockholders.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associated with changes in interest rates that may affect our cost of capital and net investment income.</w:t>
      </w:r>
    </w:p>
    <w:p>
      <w:pPr>
        <w:spacing w:after="0" w:line="127" w:lineRule="exact"/>
        <w:rPr>
          <w:sz w:val="20"/>
          <w:szCs w:val="20"/>
          <w:color w:val="auto"/>
        </w:rPr>
      </w:pPr>
    </w:p>
    <w:p>
      <w:pPr>
        <w:ind w:right="20" w:firstLine="439"/>
        <w:spacing w:after="0" w:line="225" w:lineRule="auto"/>
        <w:rPr>
          <w:sz w:val="20"/>
          <w:szCs w:val="20"/>
          <w:color w:val="auto"/>
        </w:rPr>
      </w:pPr>
      <w:r>
        <w:rPr>
          <w:rFonts w:ascii="Times New Roman" w:cs="Times New Roman" w:eastAsia="Times New Roman" w:hAnsi="Times New Roman"/>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5" w:lineRule="exact"/>
        <w:rPr>
          <w:sz w:val="20"/>
          <w:szCs w:val="20"/>
          <w:color w:val="auto"/>
        </w:rPr>
      </w:pPr>
    </w:p>
    <w:p>
      <w:pPr>
        <w:jc w:val="both"/>
        <w:ind w:right="140" w:firstLine="439"/>
        <w:spacing w:after="0" w:line="237" w:lineRule="auto"/>
        <w:rPr>
          <w:sz w:val="20"/>
          <w:szCs w:val="20"/>
          <w:color w:val="auto"/>
        </w:rPr>
      </w:pPr>
      <w:r>
        <w:rPr>
          <w:rFonts w:ascii="Times New Roman" w:cs="Times New Roman" w:eastAsia="Times New Roman" w:hAnsi="Times New Roman"/>
          <w:sz w:val="13"/>
          <w:szCs w:val="13"/>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0" w:lineRule="exact"/>
        <w:rPr>
          <w:sz w:val="20"/>
          <w:szCs w:val="20"/>
          <w:color w:val="auto"/>
        </w:rPr>
      </w:pPr>
    </w:p>
    <w:p>
      <w:pPr>
        <w:ind w:right="80" w:firstLine="439"/>
        <w:spacing w:after="0" w:line="230" w:lineRule="auto"/>
        <w:rPr>
          <w:sz w:val="20"/>
          <w:szCs w:val="20"/>
          <w:color w:val="auto"/>
        </w:rPr>
      </w:pPr>
      <w:r>
        <w:rPr>
          <w:rFonts w:ascii="Times New Roman" w:cs="Times New Roman" w:eastAsia="Times New Roman" w:hAnsi="Times New Roman"/>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1"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relating to the LIBOR calculation process may adversely affect the value of the LIBOR-indexed, floating-rate debt securities in our portfolio or issued by us.</w:t>
      </w:r>
    </w:p>
    <w:p>
      <w:pPr>
        <w:spacing w:after="0" w:line="115" w:lineRule="exact"/>
        <w:rPr>
          <w:sz w:val="20"/>
          <w:szCs w:val="20"/>
          <w:color w:val="auto"/>
        </w:rPr>
      </w:pPr>
    </w:p>
    <w:p>
      <w:pPr>
        <w:ind w:right="100" w:firstLine="439"/>
        <w:spacing w:after="0" w:line="228" w:lineRule="auto"/>
        <w:rPr>
          <w:sz w:val="20"/>
          <w:szCs w:val="20"/>
          <w:color w:val="auto"/>
        </w:rPr>
      </w:pPr>
      <w:r>
        <w:rPr>
          <w:rFonts w:ascii="Times New Roman" w:cs="Times New Roman" w:eastAsia="Times New Roman" w:hAnsi="Times New Roman"/>
          <w:sz w:val="13"/>
          <w:szCs w:val="13"/>
          <w:color w:val="auto"/>
        </w:rPr>
        <w:t>In July 2017, the head of the United Kingdom Financial Conduct Authority announced the desire to phase out the use of LIBOR by the end of 2021. At this time, no consensus exists as to what rate or rates will become accepted alternatives to LIBOR, although the U.S. Federal Reserve, in connection with the Alternative Reference Rates Committee, a steering committee comprised of large U.S. financial institutions, is considering replacing U.S. dollar LIBOR with the Secured Overnight Financing Rate (“SOFR”).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02"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The effect of the establishment of alternative reference rates or any other reforms to LIBOR or other reference rates (including whether LIBOR will continue to be an acceptable market benchmark) cannot be predicted at this time, and the transition away from LIBOR and other current reference rates to alternative reference rates is complex and could have a material adverse effect on our business, financial condition and results of operations. 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 We may also need to renegotiate any credit or similar agreements extending beyond 2021 with our portfolio companies that utilize LIBOR as a factor in determining the interest rate and our Credit Facility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Facility, amounts drawn under our Credit Facility may bear interest at a higher rate, which would increase the cost of our borrowings and, in turn, affect our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condition and results of operation depend on our ability to manage future growth effectively.</w:t>
      </w:r>
    </w:p>
    <w:p>
      <w:pPr>
        <w:spacing w:after="0" w:line="115"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15" w:lineRule="exact"/>
        <w:rPr>
          <w:sz w:val="20"/>
          <w:szCs w:val="20"/>
          <w:color w:val="auto"/>
        </w:rPr>
      </w:pPr>
    </w:p>
    <w:p>
      <w:pPr>
        <w:ind w:left="1" w:right="60" w:firstLine="439"/>
        <w:spacing w:after="0" w:line="254" w:lineRule="auto"/>
        <w:rPr>
          <w:sz w:val="20"/>
          <w:szCs w:val="20"/>
          <w:color w:val="auto"/>
        </w:rPr>
      </w:pPr>
      <w:r>
        <w:rPr>
          <w:rFonts w:ascii="Times New Roman" w:cs="Times New Roman" w:eastAsia="Times New Roman" w:hAnsi="Times New Roman"/>
          <w:sz w:val="13"/>
          <w:szCs w:val="13"/>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27" w:lineRule="exact"/>
        <w:rPr>
          <w:sz w:val="20"/>
          <w:szCs w:val="20"/>
          <w:color w:val="auto"/>
        </w:rPr>
      </w:pPr>
    </w:p>
    <w:p>
      <w:pPr>
        <w:ind w:left="1" w:right="180" w:firstLine="439"/>
        <w:spacing w:after="0" w:line="228" w:lineRule="auto"/>
        <w:rPr>
          <w:sz w:val="20"/>
          <w:szCs w:val="20"/>
          <w:color w:val="auto"/>
        </w:rPr>
      </w:pPr>
      <w:r>
        <w:rPr>
          <w:rFonts w:ascii="Times New Roman" w:cs="Times New Roman" w:eastAsia="Times New Roman" w:hAnsi="Times New Roman"/>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Any failure on our part to maintain our status as a BDC would reduce our operating flexibility.</w:t>
      </w:r>
    </w:p>
    <w:p>
      <w:pPr>
        <w:spacing w:after="0" w:line="127" w:lineRule="exact"/>
        <w:rPr>
          <w:sz w:val="20"/>
          <w:szCs w:val="20"/>
          <w:color w:val="auto"/>
        </w:rPr>
      </w:pPr>
    </w:p>
    <w:p>
      <w:pPr>
        <w:ind w:left="1" w:right="180" w:firstLine="439"/>
        <w:spacing w:after="0" w:line="254" w:lineRule="auto"/>
        <w:rPr>
          <w:sz w:val="20"/>
          <w:szCs w:val="20"/>
          <w:color w:val="auto"/>
        </w:rPr>
      </w:pPr>
      <w:r>
        <w:rPr>
          <w:rFonts w:ascii="Times New Roman" w:cs="Times New Roman" w:eastAsia="Times New Roman" w:hAnsi="Times New Roman"/>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Loss of RIC tax status would substantially reduce our net assets and income available for debt service and distributions.</w:t>
      </w:r>
    </w:p>
    <w:p>
      <w:pPr>
        <w:spacing w:after="0" w:line="115" w:lineRule="exact"/>
        <w:rPr>
          <w:sz w:val="20"/>
          <w:szCs w:val="20"/>
          <w:color w:val="auto"/>
        </w:rPr>
      </w:pPr>
    </w:p>
    <w:p>
      <w:pPr>
        <w:ind w:left="1" w:firstLine="439"/>
        <w:spacing w:after="0" w:line="226" w:lineRule="auto"/>
        <w:rPr>
          <w:sz w:val="20"/>
          <w:szCs w:val="20"/>
          <w:color w:val="auto"/>
        </w:rPr>
      </w:pPr>
      <w:r>
        <w:rPr>
          <w:rFonts w:ascii="Times New Roman" w:cs="Times New Roman" w:eastAsia="Times New Roman" w:hAnsi="Times New Roman"/>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1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may have difficulty paying our Annual Distribution Requirement if we recognize income before or without receiving cash representing such income.</w:t>
      </w:r>
    </w:p>
    <w:p>
      <w:pPr>
        <w:spacing w:after="0" w:line="127" w:lineRule="exact"/>
        <w:rPr>
          <w:sz w:val="20"/>
          <w:szCs w:val="20"/>
          <w:color w:val="auto"/>
        </w:rPr>
      </w:pPr>
    </w:p>
    <w:p>
      <w:pPr>
        <w:ind w:left="1" w:right="120" w:firstLine="439"/>
        <w:spacing w:after="0" w:line="230" w:lineRule="auto"/>
        <w:rPr>
          <w:sz w:val="20"/>
          <w:szCs w:val="20"/>
          <w:color w:val="auto"/>
        </w:rPr>
      </w:pPr>
      <w:r>
        <w:rPr>
          <w:rFonts w:ascii="Times New Roman" w:cs="Times New Roman" w:eastAsia="Times New Roman" w:hAnsi="Times New Roman"/>
          <w:sz w:val="13"/>
          <w:szCs w:val="13"/>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89" w:lineRule="exact"/>
        <w:rPr>
          <w:sz w:val="20"/>
          <w:szCs w:val="20"/>
          <w:color w:val="auto"/>
        </w:rPr>
      </w:pPr>
    </w:p>
    <w:p>
      <w:pPr>
        <w:ind w:left="1" w:right="400" w:firstLine="439"/>
        <w:spacing w:after="0" w:line="254" w:lineRule="auto"/>
        <w:rPr>
          <w:sz w:val="20"/>
          <w:szCs w:val="20"/>
          <w:color w:val="auto"/>
        </w:rPr>
      </w:pPr>
      <w:r>
        <w:rPr>
          <w:rFonts w:ascii="Times New Roman" w:cs="Times New Roman" w:eastAsia="Times New Roman" w:hAnsi="Times New Roman"/>
          <w:sz w:val="13"/>
          <w:szCs w:val="13"/>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92" w:lineRule="exact"/>
        <w:rPr>
          <w:sz w:val="20"/>
          <w:szCs w:val="20"/>
          <w:color w:val="auto"/>
        </w:rPr>
      </w:pPr>
    </w:p>
    <w:p>
      <w:pPr>
        <w:ind w:left="1" w:right="60" w:firstLine="439"/>
        <w:spacing w:after="0" w:line="237" w:lineRule="auto"/>
        <w:rPr>
          <w:sz w:val="20"/>
          <w:szCs w:val="20"/>
          <w:color w:val="auto"/>
        </w:rPr>
      </w:pPr>
      <w:r>
        <w:rPr>
          <w:rFonts w:ascii="Times New Roman" w:cs="Times New Roman" w:eastAsia="Times New Roman" w:hAnsi="Times New Roman"/>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Legislation enacted in 2018 allows us to incur additional leverage.</w:t>
      </w:r>
    </w:p>
    <w:p>
      <w:pPr>
        <w:spacing w:after="0" w:line="127"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A BDC has historically been able to issue “senior securities,” including borrowing money from banks or other financial institutions, only in amounts such that its asset coverage, as defined in Section 61(a)</w:t>
      </w:r>
    </w:p>
    <w:p>
      <w:pPr>
        <w:spacing w:after="0" w:line="1" w:lineRule="exact"/>
        <w:rPr>
          <w:sz w:val="20"/>
          <w:szCs w:val="20"/>
          <w:color w:val="auto"/>
        </w:rPr>
      </w:pPr>
    </w:p>
    <w:p>
      <w:pPr>
        <w:ind w:left="1" w:right="40" w:hanging="1"/>
        <w:spacing w:after="0" w:line="223" w:lineRule="auto"/>
        <w:tabs>
          <w:tab w:leader="none" w:pos="18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85" w:lineRule="exact"/>
        <w:rPr>
          <w:sz w:val="20"/>
          <w:szCs w:val="20"/>
          <w:color w:val="auto"/>
        </w:rPr>
      </w:pPr>
    </w:p>
    <w:p>
      <w:pPr>
        <w:ind w:left="1" w:right="8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89" w:lineRule="exact"/>
        <w:rPr>
          <w:sz w:val="20"/>
          <w:szCs w:val="20"/>
          <w:color w:val="auto"/>
        </w:rPr>
      </w:pPr>
    </w:p>
    <w:p>
      <w:pPr>
        <w:ind w:left="1" w:right="80" w:firstLine="439"/>
        <w:spacing w:after="0" w:line="237" w:lineRule="auto"/>
        <w:rPr>
          <w:sz w:val="20"/>
          <w:szCs w:val="20"/>
          <w:color w:val="auto"/>
        </w:rPr>
      </w:pPr>
      <w:r>
        <w:rPr>
          <w:rFonts w:ascii="Times New Roman" w:cs="Times New Roman" w:eastAsia="Times New Roman" w:hAnsi="Times New Roman"/>
          <w:sz w:val="13"/>
          <w:szCs w:val="13"/>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02" w:lineRule="exact"/>
        <w:rPr>
          <w:sz w:val="20"/>
          <w:szCs w:val="20"/>
          <w:color w:val="auto"/>
        </w:rPr>
      </w:pPr>
    </w:p>
    <w:p>
      <w:pPr>
        <w:ind w:left="1" w:right="40" w:firstLine="439"/>
        <w:spacing w:after="0" w:line="230" w:lineRule="auto"/>
        <w:rPr>
          <w:sz w:val="20"/>
          <w:szCs w:val="20"/>
          <w:color w:val="auto"/>
        </w:rPr>
      </w:pPr>
      <w:r>
        <w:rPr>
          <w:rFonts w:ascii="Times New Roman" w:cs="Times New Roman" w:eastAsia="Times New Roman" w:hAnsi="Times New Roman"/>
          <w:sz w:val="13"/>
          <w:szCs w:val="13"/>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01" w:lineRule="exact"/>
        <w:rPr>
          <w:sz w:val="20"/>
          <w:szCs w:val="20"/>
          <w:color w:val="auto"/>
        </w:rPr>
      </w:pPr>
    </w:p>
    <w:p>
      <w:pPr>
        <w:ind w:left="1" w:firstLine="439"/>
        <w:spacing w:after="0" w:line="237" w:lineRule="auto"/>
        <w:rPr>
          <w:sz w:val="20"/>
          <w:szCs w:val="20"/>
          <w:color w:val="auto"/>
        </w:rPr>
      </w:pPr>
      <w:r>
        <w:rPr>
          <w:rFonts w:ascii="Times New Roman" w:cs="Times New Roman" w:eastAsia="Times New Roman" w:hAnsi="Times New Roman"/>
          <w:sz w:val="13"/>
          <w:szCs w:val="13"/>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color w:val="auto"/>
        </w:rPr>
        <w:t>cannot assure you that Funding I will be granted such a waiver, and if Funding I is unable to obtain a waiver, compliance with the covenants may cause us to incur a corporate-level income tax.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governing our operation as a BDC will affect our ability to, and the way in which we, raise additional capital.</w:t>
      </w:r>
    </w:p>
    <w:p>
      <w:pPr>
        <w:spacing w:after="0" w:line="127"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101" w:lineRule="exact"/>
        <w:rPr>
          <w:sz w:val="20"/>
          <w:szCs w:val="20"/>
          <w:color w:val="auto"/>
        </w:rPr>
      </w:pPr>
    </w:p>
    <w:p>
      <w:pPr>
        <w:ind w:left="900" w:right="100" w:hanging="356"/>
        <w:spacing w:after="0" w:line="231" w:lineRule="auto"/>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Senior Securities. </w:t>
      </w:r>
      <w:r>
        <w:rPr>
          <w:rFonts w:ascii="Times New Roman" w:cs="Times New Roman" w:eastAsia="Times New Roman" w:hAnsi="Times New Roman"/>
          <w:sz w:val="13"/>
          <w:szCs w:val="13"/>
          <w:color w:val="auto"/>
        </w:rPr>
        <w:t>As a result of issuing senior securities, including our 2023 Notes, we are exposed to typical risks associated with leverage, including an increased risk of loss. If we issue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98" w:lineRule="exact"/>
        <w:rPr>
          <w:rFonts w:ascii="Times New Roman" w:cs="Times New Roman" w:eastAsia="Times New Roman" w:hAnsi="Times New Roman"/>
          <w:sz w:val="13"/>
          <w:szCs w:val="13"/>
          <w:color w:val="auto"/>
        </w:rPr>
      </w:pPr>
    </w:p>
    <w:p>
      <w:pPr>
        <w:ind w:left="900" w:right="20" w:hanging="356"/>
        <w:spacing w:after="0" w:line="223" w:lineRule="auto"/>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Additional Common Stock. </w:t>
      </w:r>
      <w:r>
        <w:rPr>
          <w:rFonts w:ascii="Times New Roman" w:cs="Times New Roman" w:eastAsia="Times New Roman" w:hAnsi="Times New Roman"/>
          <w:sz w:val="13"/>
          <w:szCs w:val="13"/>
          <w:color w:val="auto"/>
        </w:rPr>
        <w:t>Our board of directors may decide to issue common stock to finance our operations rather than issuing debt or other senior securities. As a BDC, we are generally not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97" w:lineRule="exact"/>
        <w:rPr>
          <w:rFonts w:ascii="Times New Roman" w:cs="Times New Roman" w:eastAsia="Times New Roman" w:hAnsi="Times New Roman"/>
          <w:sz w:val="13"/>
          <w:szCs w:val="13"/>
          <w:color w:val="auto"/>
        </w:rPr>
      </w:pPr>
    </w:p>
    <w:p>
      <w:pPr>
        <w:ind w:left="900" w:right="20" w:hanging="356"/>
        <w:spacing w:after="0" w:line="229" w:lineRule="auto"/>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Securitization. </w:t>
      </w:r>
      <w:r>
        <w:rPr>
          <w:rFonts w:ascii="Times New Roman" w:cs="Times New Roman" w:eastAsia="Times New Roman" w:hAnsi="Times New Roman"/>
          <w:sz w:val="13"/>
          <w:szCs w:val="13"/>
          <w:color w:val="auto"/>
        </w:rPr>
        <w:t>As a result of the completion of the Debt Securitization, we are exposed to typical risks associated with the securitization of loans to generate cash for funding new investments.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applicable accounting pronouncements and SEC staff guidance requires us to consolidate the Securitization Issuers’ financial statements with our financial statements, any debt issued by the Securitization Issuers would be generally treated as if it were issued by us for purposes of the asset coverage ratio applicable to us. We retain all of the equity in the Securitization Issuers and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currently use borrowed funds to make investments and are exposed to the typical risks associated with leverage.</w:t>
      </w:r>
    </w:p>
    <w:p>
      <w:pPr>
        <w:spacing w:after="0" w:line="115" w:lineRule="exact"/>
        <w:rPr>
          <w:sz w:val="20"/>
          <w:szCs w:val="20"/>
          <w:color w:val="auto"/>
        </w:rPr>
      </w:pPr>
    </w:p>
    <w:p>
      <w:pPr>
        <w:ind w:right="60" w:firstLine="439"/>
        <w:spacing w:after="0" w:line="237" w:lineRule="auto"/>
        <w:rPr>
          <w:sz w:val="20"/>
          <w:szCs w:val="20"/>
          <w:color w:val="auto"/>
        </w:rPr>
      </w:pPr>
      <w:r>
        <w:rPr>
          <w:rFonts w:ascii="Times New Roman" w:cs="Times New Roman" w:eastAsia="Times New Roman" w:hAnsi="Times New Roman"/>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02"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Our current debt is governed by the terms of the Credit Facility, the deed of trust governing the 2023 Notes and the indenture governing the 2031 Asset-Backed Debt,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incur additional debt, it could increase the risk of investing in our shares.</w:t>
      </w:r>
    </w:p>
    <w:p>
      <w:pPr>
        <w:spacing w:after="0" w:line="115"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2" w:lineRule="exact"/>
        <w:rPr>
          <w:sz w:val="20"/>
          <w:szCs w:val="20"/>
          <w:color w:val="auto"/>
        </w:rPr>
      </w:pPr>
    </w:p>
    <w:p>
      <w:pPr>
        <w:ind w:right="200" w:firstLine="439"/>
        <w:spacing w:after="0" w:line="237" w:lineRule="auto"/>
        <w:rPr>
          <w:sz w:val="20"/>
          <w:szCs w:val="20"/>
          <w:color w:val="auto"/>
        </w:rPr>
      </w:pPr>
      <w:r>
        <w:rPr>
          <w:rFonts w:ascii="Times New Roman" w:cs="Times New Roman" w:eastAsia="Times New Roman" w:hAnsi="Times New Roman"/>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2"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3"/>
          <w:szCs w:val="13"/>
          <w:color w:val="auto"/>
        </w:rPr>
        <w:t>As of September 30, 2020 and 2019, our asset coverage ratio, as computed in accordance with the 1940 Act, was 168% and 179%, respectively. Since our leverage was 148% and 127% of our net assets as of September 30, 2020 and 2019, respectively, we would have to receive an annual return of at least 1.6% and 2.3%, respectively, to cover annual interest payments.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ind w:left="1" w:right="200" w:firstLine="439"/>
        <w:spacing w:after="0" w:line="232" w:lineRule="auto"/>
        <w:rPr>
          <w:sz w:val="20"/>
          <w:szCs w:val="20"/>
          <w:color w:val="auto"/>
        </w:rPr>
      </w:pPr>
      <w:r>
        <w:rPr>
          <w:rFonts w:ascii="Times New Roman" w:cs="Times New Roman" w:eastAsia="Times New Roman" w:hAnsi="Times New Roman"/>
          <w:sz w:val="13"/>
          <w:szCs w:val="13"/>
          <w:color w:val="auto"/>
        </w:rPr>
        <w:t>As of September 30, 2020, we had outstanding borrowings of $308.6 million under our Credit Facility, $138.6 million outstanding under our 2023 Notes, and $228.0 million outstanding under the 2031 Asset-Backed Debt. Our consolidated debt outstanding was $675.2 million and had a weighted average annual interest rate at the time of 2.8%, exclusive of the fees on the undrawn commitment on our Credit Facility.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03" w:lineRule="exact"/>
        <w:rPr>
          <w:sz w:val="20"/>
          <w:szCs w:val="20"/>
          <w:color w:val="auto"/>
        </w:rPr>
      </w:pPr>
    </w:p>
    <w:p>
      <w:pPr>
        <w:ind w:left="1" w:right="260" w:firstLine="439"/>
        <w:spacing w:after="0" w:line="233" w:lineRule="auto"/>
        <w:rPr>
          <w:sz w:val="20"/>
          <w:szCs w:val="20"/>
          <w:color w:val="auto"/>
        </w:rPr>
      </w:pPr>
      <w:r>
        <w:rPr>
          <w:rFonts w:ascii="Times New Roman" w:cs="Times New Roman" w:eastAsia="Times New Roman" w:hAnsi="Times New Roman"/>
          <w:sz w:val="13"/>
          <w:szCs w:val="13"/>
          <w:color w:val="auto"/>
        </w:rPr>
        <w:t>The following table is designed to illustrate the effect on the return to a holder of our common stock of the leverage created by our use of borrowing as of September 30, 2020 of 57% of total assets (including such borrowed funds), at the current interest rate at the time of 2.8%,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2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Assumed return on portfolio (net of expenses) </w:t>
            </w:r>
            <w:r>
              <w:rPr>
                <w:rFonts w:ascii="Times New Roman" w:cs="Times New Roman" w:eastAsia="Times New Roman" w:hAnsi="Times New Roman"/>
                <w:sz w:val="11"/>
                <w:szCs w:val="11"/>
                <w:color w:val="auto"/>
              </w:rPr>
              <w:t>(1)</w:t>
            </w:r>
          </w:p>
        </w:tc>
        <w:tc>
          <w:tcPr>
            <w:tcW w:w="2040" w:type="dxa"/>
            <w:vAlign w:val="bottom"/>
            <w:shd w:val="clear" w:color="auto" w:fill="CCECFF"/>
          </w:tcPr>
          <w:p>
            <w:pPr>
              <w:jc w:val="right"/>
              <w:ind w:right="474"/>
              <w:spacing w:after="0"/>
              <w:rPr>
                <w:sz w:val="20"/>
                <w:szCs w:val="20"/>
                <w:color w:val="auto"/>
              </w:rPr>
            </w:pPr>
            <w:r>
              <w:rPr>
                <w:rFonts w:ascii="Times New Roman" w:cs="Times New Roman" w:eastAsia="Times New Roman" w:hAnsi="Times New Roman"/>
                <w:sz w:val="13"/>
                <w:szCs w:val="13"/>
                <w:color w:val="auto"/>
              </w:rPr>
              <w:t>(10.0)%</w:t>
            </w:r>
          </w:p>
        </w:tc>
        <w:tc>
          <w:tcPr>
            <w:tcW w:w="156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(5.0)%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5.0%</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Corresponding return to common stockholders </w:t>
            </w:r>
            <w:r>
              <w:rPr>
                <w:rFonts w:ascii="Times New Roman" w:cs="Times New Roman" w:eastAsia="Times New Roman" w:hAnsi="Times New Roman"/>
                <w:sz w:val="11"/>
                <w:szCs w:val="11"/>
                <w:color w:val="auto"/>
              </w:rPr>
              <w:t>(2)</w:t>
            </w:r>
          </w:p>
        </w:tc>
        <w:tc>
          <w:tcPr>
            <w:tcW w:w="20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(28.0)%</w:t>
            </w:r>
          </w:p>
        </w:tc>
        <w:tc>
          <w:tcPr>
            <w:tcW w:w="15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(16.0)%</w:t>
            </w: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(4.0)%</w:t>
            </w:r>
          </w:p>
        </w:tc>
        <w:tc>
          <w:tcPr>
            <w:tcW w:w="14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8.1%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3455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361" w:hanging="361"/>
        <w:spacing w:after="0" w:line="235" w:lineRule="auto"/>
        <w:tabs>
          <w:tab w:leader="none" w:pos="361" w:val="left"/>
        </w:tabs>
        <w:numPr>
          <w:ilvl w:val="0"/>
          <w:numId w:val="35"/>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assumed portfolio return is required by regulation of the SEC and is not a prediction of, and does not represent, our projected or actual performance.</w:t>
      </w:r>
    </w:p>
    <w:p>
      <w:pPr>
        <w:ind w:left="361" w:right="220" w:hanging="361"/>
        <w:spacing w:after="0" w:line="195" w:lineRule="auto"/>
        <w:tabs>
          <w:tab w:leader="none" w:pos="361" w:val="left"/>
        </w:tabs>
        <w:numPr>
          <w:ilvl w:val="0"/>
          <w:numId w:val="35"/>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27" w:lineRule="exact"/>
        <w:rPr>
          <w:sz w:val="20"/>
          <w:szCs w:val="20"/>
          <w:color w:val="auto"/>
        </w:rPr>
      </w:pPr>
    </w:p>
    <w:p>
      <w:pPr>
        <w:ind w:left="1" w:right="60" w:firstLine="439"/>
        <w:spacing w:after="0" w:line="228" w:lineRule="auto"/>
        <w:rPr>
          <w:sz w:val="20"/>
          <w:szCs w:val="20"/>
          <w:color w:val="auto"/>
        </w:rPr>
      </w:pPr>
      <w:r>
        <w:rPr>
          <w:rFonts w:ascii="Times New Roman" w:cs="Times New Roman" w:eastAsia="Times New Roman" w:hAnsi="Times New Roman"/>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debt securities, which would magnify the potential for loss and the risks of investing in us.</w:t>
      </w:r>
    </w:p>
    <w:p>
      <w:pPr>
        <w:spacing w:after="0" w:line="127" w:lineRule="exact"/>
        <w:rPr>
          <w:sz w:val="20"/>
          <w:szCs w:val="20"/>
          <w:color w:val="auto"/>
        </w:rPr>
      </w:pPr>
    </w:p>
    <w:p>
      <w:pPr>
        <w:ind w:left="1" w:right="200" w:firstLine="439"/>
        <w:spacing w:after="0" w:line="230" w:lineRule="auto"/>
        <w:rPr>
          <w:sz w:val="20"/>
          <w:szCs w:val="20"/>
          <w:color w:val="auto"/>
        </w:rPr>
      </w:pPr>
      <w:r>
        <w:rPr>
          <w:rFonts w:ascii="Times New Roman" w:cs="Times New Roman" w:eastAsia="Times New Roman" w:hAnsi="Times New Roman"/>
          <w:sz w:val="13"/>
          <w:szCs w:val="13"/>
          <w:color w:val="auto"/>
        </w:rPr>
        <w:t>As a result of any issuance of debt securities and borrowings under our Credit Facility, the 2023 Notes, and the 2031 Asset-Backed Debt,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Our credit ratings may not reflect all risks of an investment in our debt securities.</w:t>
      </w:r>
    </w:p>
    <w:p>
      <w:pPr>
        <w:spacing w:after="0" w:line="115" w:lineRule="exact"/>
        <w:rPr>
          <w:sz w:val="20"/>
          <w:szCs w:val="20"/>
          <w:color w:val="auto"/>
        </w:rPr>
      </w:pPr>
    </w:p>
    <w:p>
      <w:pPr>
        <w:ind w:left="1" w:right="60" w:firstLine="439"/>
        <w:spacing w:after="0" w:line="233" w:lineRule="auto"/>
        <w:rPr>
          <w:sz w:val="20"/>
          <w:szCs w:val="20"/>
          <w:color w:val="auto"/>
        </w:rPr>
      </w:pPr>
      <w:r>
        <w:rPr>
          <w:rFonts w:ascii="Times New Roman" w:cs="Times New Roman" w:eastAsia="Times New Roman" w:hAnsi="Times New Roman"/>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27" w:lineRule="exact"/>
        <w:rPr>
          <w:sz w:val="20"/>
          <w:szCs w:val="20"/>
          <w:color w:val="auto"/>
        </w:rPr>
      </w:pPr>
    </w:p>
    <w:p>
      <w:pPr>
        <w:ind w:left="1" w:right="40" w:firstLine="439"/>
        <w:spacing w:after="0" w:line="226" w:lineRule="auto"/>
        <w:rPr>
          <w:sz w:val="20"/>
          <w:szCs w:val="20"/>
          <w:color w:val="auto"/>
        </w:rPr>
      </w:pPr>
      <w:r>
        <w:rPr>
          <w:rFonts w:ascii="Times New Roman" w:cs="Times New Roman" w:eastAsia="Times New Roman" w:hAnsi="Times New Roman"/>
          <w:sz w:val="13"/>
          <w:szCs w:val="13"/>
          <w:color w:val="auto"/>
        </w:rPr>
        <w:t>Our Credit Facility expires in October 2023.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We may not receive cash on our equity interests from Funding I.</w:t>
      </w:r>
    </w:p>
    <w:p>
      <w:pPr>
        <w:spacing w:after="0" w:line="127" w:lineRule="exact"/>
        <w:rPr>
          <w:sz w:val="20"/>
          <w:szCs w:val="20"/>
          <w:color w:val="auto"/>
        </w:rPr>
      </w:pPr>
    </w:p>
    <w:p>
      <w:pPr>
        <w:ind w:left="1" w:right="140" w:firstLine="439"/>
        <w:spacing w:after="0" w:line="230" w:lineRule="auto"/>
        <w:rPr>
          <w:sz w:val="20"/>
          <w:szCs w:val="20"/>
          <w:color w:val="auto"/>
        </w:rPr>
      </w:pPr>
      <w:r>
        <w:rPr>
          <w:rFonts w:ascii="Times New Roman" w:cs="Times New Roman" w:eastAsia="Times New Roman" w:hAnsi="Times New Roman"/>
          <w:sz w:val="13"/>
          <w:szCs w:val="13"/>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There are significant potential conflicts of interest which could impact our investment returns.</w:t>
      </w:r>
    </w:p>
    <w:p>
      <w:pPr>
        <w:spacing w:after="0" w:line="115" w:lineRule="exact"/>
        <w:rPr>
          <w:sz w:val="20"/>
          <w:szCs w:val="20"/>
          <w:color w:val="auto"/>
        </w:rPr>
      </w:pPr>
    </w:p>
    <w:p>
      <w:pPr>
        <w:ind w:left="1" w:right="20" w:firstLine="439"/>
        <w:spacing w:after="0" w:line="224" w:lineRule="auto"/>
        <w:rPr>
          <w:sz w:val="20"/>
          <w:szCs w:val="20"/>
          <w:color w:val="auto"/>
        </w:rPr>
      </w:pPr>
      <w:r>
        <w:rPr>
          <w:rFonts w:ascii="Times New Roman" w:cs="Times New Roman" w:eastAsia="Times New Roman" w:hAnsi="Times New Roman"/>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20" w:right="339" w:bottom="1440" w:gutter="0" w:footer="0" w:header="0"/>
        </w:sectPr>
      </w:pPr>
    </w:p>
    <w:bookmarkStart w:id="22" w:name="page23"/>
    <w:bookmarkEnd w:id="22"/>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89" w:lineRule="exact"/>
        <w:rPr>
          <w:sz w:val="20"/>
          <w:szCs w:val="20"/>
          <w:color w:val="auto"/>
        </w:rPr>
      </w:pPr>
    </w:p>
    <w:p>
      <w:pPr>
        <w:ind w:right="80" w:firstLine="439"/>
        <w:spacing w:after="0" w:line="233" w:lineRule="auto"/>
        <w:rPr>
          <w:sz w:val="20"/>
          <w:szCs w:val="20"/>
          <w:color w:val="auto"/>
        </w:rPr>
      </w:pPr>
      <w:r>
        <w:rPr>
          <w:rFonts w:ascii="Times New Roman" w:cs="Times New Roman" w:eastAsia="Times New Roman" w:hAnsi="Times New Roman"/>
          <w:sz w:val="13"/>
          <w:szCs w:val="13"/>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01" w:lineRule="exact"/>
        <w:rPr>
          <w:sz w:val="20"/>
          <w:szCs w:val="20"/>
          <w:color w:val="auto"/>
        </w:rPr>
      </w:pPr>
    </w:p>
    <w:p>
      <w:pPr>
        <w:ind w:right="420" w:firstLine="439"/>
        <w:spacing w:after="0" w:line="237" w:lineRule="auto"/>
        <w:rPr>
          <w:sz w:val="20"/>
          <w:szCs w:val="20"/>
          <w:color w:val="auto"/>
        </w:rPr>
      </w:pPr>
      <w:r>
        <w:rPr>
          <w:rFonts w:ascii="Times New Roman" w:cs="Times New Roman" w:eastAsia="Times New Roman" w:hAnsi="Times New Roman"/>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cybersecurity and cyber incidents.</w:t>
      </w:r>
    </w:p>
    <w:p>
      <w:pPr>
        <w:spacing w:after="0" w:line="115" w:lineRule="exact"/>
        <w:rPr>
          <w:sz w:val="20"/>
          <w:szCs w:val="20"/>
          <w:color w:val="auto"/>
        </w:rPr>
      </w:pPr>
    </w:p>
    <w:p>
      <w:pPr>
        <w:ind w:right="20" w:firstLine="439"/>
        <w:spacing w:after="0" w:line="224" w:lineRule="auto"/>
        <w:rPr>
          <w:sz w:val="20"/>
          <w:szCs w:val="20"/>
          <w:color w:val="auto"/>
        </w:rPr>
      </w:pPr>
      <w:r>
        <w:rPr>
          <w:rFonts w:ascii="Times New Roman" w:cs="Times New Roman" w:eastAsia="Times New Roman" w:hAnsi="Times New Roman"/>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fluctuations in our quarterly results.</w:t>
      </w:r>
    </w:p>
    <w:p>
      <w:pPr>
        <w:spacing w:after="0" w:line="127"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results for any period should not be relied upon as being indicative of future performance.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issue securities for which there is no public market and for which we expect no public market to develop.</w:t>
      </w:r>
    </w:p>
    <w:p>
      <w:pPr>
        <w:spacing w:after="0" w:line="127" w:lineRule="exact"/>
        <w:rPr>
          <w:sz w:val="20"/>
          <w:szCs w:val="20"/>
          <w:color w:val="auto"/>
        </w:rPr>
      </w:pPr>
    </w:p>
    <w:p>
      <w:pPr>
        <w:ind w:right="60" w:firstLine="439"/>
        <w:spacing w:after="0" w:line="230" w:lineRule="auto"/>
        <w:rPr>
          <w:sz w:val="20"/>
          <w:szCs w:val="20"/>
          <w:color w:val="auto"/>
        </w:rPr>
      </w:pPr>
      <w:r>
        <w:rPr>
          <w:rFonts w:ascii="Times New Roman" w:cs="Times New Roman" w:eastAsia="Times New Roman" w:hAnsi="Times New Roman"/>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preferred stock, debt securities or convertible debt securities the NAV and market value of our common stock may become more volatile.</w:t>
      </w:r>
    </w:p>
    <w:p>
      <w:pPr>
        <w:spacing w:after="0" w:line="115"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05"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ability to sell investments held by Funding I is limited.</w:t>
      </w:r>
    </w:p>
    <w:p>
      <w:pPr>
        <w:spacing w:after="0" w:line="115" w:lineRule="exact"/>
        <w:rPr>
          <w:sz w:val="20"/>
          <w:szCs w:val="20"/>
          <w:color w:val="auto"/>
        </w:rPr>
      </w:pPr>
    </w:p>
    <w:p>
      <w:pPr>
        <w:ind w:right="520" w:firstLine="439"/>
        <w:spacing w:after="0" w:line="254" w:lineRule="auto"/>
        <w:rPr>
          <w:sz w:val="20"/>
          <w:szCs w:val="20"/>
          <w:color w:val="auto"/>
        </w:rPr>
      </w:pPr>
      <w:r>
        <w:rPr>
          <w:rFonts w:ascii="Times New Roman" w:cs="Times New Roman" w:eastAsia="Times New Roman" w:hAnsi="Times New Roman"/>
          <w:sz w:val="13"/>
          <w:szCs w:val="13"/>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market or market value of any publicly issued debt or convertible debt securities may be volatile.</w:t>
      </w:r>
    </w:p>
    <w:p>
      <w:pPr>
        <w:spacing w:after="0" w:line="127" w:lineRule="exact"/>
        <w:rPr>
          <w:sz w:val="20"/>
          <w:szCs w:val="20"/>
          <w:color w:val="auto"/>
        </w:rPr>
      </w:pPr>
    </w:p>
    <w:p>
      <w:pPr>
        <w:jc w:val="both"/>
        <w:ind w:firstLine="439"/>
        <w:spacing w:after="0" w:line="237" w:lineRule="auto"/>
        <w:rPr>
          <w:sz w:val="20"/>
          <w:szCs w:val="20"/>
          <w:color w:val="auto"/>
        </w:rPr>
      </w:pPr>
      <w:r>
        <w:rPr>
          <w:rFonts w:ascii="Times New Roman" w:cs="Times New Roman" w:eastAsia="Times New Roman" w:hAnsi="Times New Roman"/>
          <w:sz w:val="13"/>
          <w:szCs w:val="13"/>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3"/>
          <w:szCs w:val="13"/>
          <w:color w:val="auto"/>
        </w:rPr>
        <w:t>These factors include the following:</w:t>
      </w:r>
    </w:p>
    <w:p>
      <w:pPr>
        <w:spacing w:after="0" w:line="111" w:lineRule="exact"/>
        <w:rPr>
          <w:sz w:val="20"/>
          <w:szCs w:val="20"/>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 remaining to the maturity of these debt securities;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outstanding principal amount of debt securities with terms identical or similar to these debt securities;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supply of debt securities trading in the secondary market, if any;</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repayment or convertible features, if any, of these debt securities;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direction and volatility of market interest rates;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rates of interest higher or lower than rates borne by the debt securities.</w:t>
      </w:r>
    </w:p>
    <w:p>
      <w:pPr>
        <w:spacing w:after="0" w:line="12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Terms relating to debt redemption may have a material adverse effect on the return on any debt securities.</w:t>
      </w:r>
    </w:p>
    <w:p>
      <w:pPr>
        <w:spacing w:after="0" w:line="127" w:lineRule="exact"/>
        <w:rPr>
          <w:sz w:val="20"/>
          <w:szCs w:val="20"/>
          <w:color w:val="auto"/>
        </w:rPr>
      </w:pPr>
    </w:p>
    <w:p>
      <w:pPr>
        <w:ind w:right="100" w:firstLine="439"/>
        <w:spacing w:after="0"/>
        <w:rPr>
          <w:sz w:val="20"/>
          <w:szCs w:val="20"/>
          <w:color w:val="auto"/>
        </w:rPr>
      </w:pPr>
      <w:r>
        <w:rPr>
          <w:rFonts w:ascii="Times New Roman" w:cs="Times New Roman" w:eastAsia="Times New Roman" w:hAnsi="Times New Roman"/>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subscription rights or warrants for our common stock, your interest in us may be diluted as a result of such rights or warrants offering.</w:t>
      </w:r>
    </w:p>
    <w:p>
      <w:pPr>
        <w:spacing w:after="0" w:line="127" w:lineRule="exact"/>
        <w:rPr>
          <w:sz w:val="20"/>
          <w:szCs w:val="20"/>
          <w:color w:val="auto"/>
        </w:rPr>
      </w:pPr>
    </w:p>
    <w:p>
      <w:pPr>
        <w:ind w:firstLine="439"/>
        <w:spacing w:after="0" w:line="237" w:lineRule="auto"/>
        <w:rPr>
          <w:sz w:val="20"/>
          <w:szCs w:val="20"/>
          <w:color w:val="auto"/>
        </w:rPr>
      </w:pPr>
      <w:r>
        <w:rPr>
          <w:rFonts w:ascii="Times New Roman" w:cs="Times New Roman" w:eastAsia="Times New Roman" w:hAnsi="Times New Roman"/>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jc w:val="both"/>
        <w:ind w:right="120" w:firstLine="439"/>
        <w:spacing w:after="0" w:line="237" w:lineRule="auto"/>
        <w:rPr>
          <w:sz w:val="20"/>
          <w:szCs w:val="20"/>
          <w:color w:val="auto"/>
        </w:rPr>
      </w:pPr>
      <w:r>
        <w:rPr>
          <w:rFonts w:ascii="Times New Roman" w:cs="Times New Roman" w:eastAsia="Times New Roman" w:hAnsi="Times New Roman"/>
          <w:sz w:val="13"/>
          <w:szCs w:val="13"/>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impact of recent financial reform legislation on us is uncertain.</w:t>
      </w:r>
    </w:p>
    <w:p>
      <w:pPr>
        <w:spacing w:after="0" w:line="127" w:lineRule="exact"/>
        <w:rPr>
          <w:sz w:val="20"/>
          <w:szCs w:val="20"/>
          <w:color w:val="auto"/>
        </w:rPr>
      </w:pPr>
    </w:p>
    <w:p>
      <w:pPr>
        <w:ind w:right="40" w:firstLine="439"/>
        <w:spacing w:after="0" w:line="226" w:lineRule="auto"/>
        <w:rPr>
          <w:sz w:val="20"/>
          <w:szCs w:val="20"/>
          <w:color w:val="auto"/>
        </w:rPr>
      </w:pPr>
      <w:r>
        <w:rPr>
          <w:rFonts w:ascii="Times New Roman" w:cs="Times New Roman" w:eastAsia="Times New Roman" w:hAnsi="Times New Roman"/>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laws or regulations governing our operations or those of our portfolio companies may adversely affect our business.</w:t>
      </w:r>
    </w:p>
    <w:p>
      <w:pPr>
        <w:spacing w:after="0" w:line="115" w:lineRule="exact"/>
        <w:rPr>
          <w:sz w:val="20"/>
          <w:szCs w:val="20"/>
          <w:color w:val="auto"/>
        </w:rPr>
      </w:pPr>
    </w:p>
    <w:p>
      <w:pPr>
        <w:ind w:right="380" w:firstLine="439"/>
        <w:spacing w:after="0" w:line="237" w:lineRule="auto"/>
        <w:rPr>
          <w:sz w:val="20"/>
          <w:szCs w:val="20"/>
          <w:color w:val="auto"/>
        </w:rPr>
      </w:pPr>
      <w:r>
        <w:rPr>
          <w:rFonts w:ascii="Times New Roman" w:cs="Times New Roman" w:eastAsia="Times New Roman" w:hAnsi="Times New Roman"/>
          <w:sz w:val="13"/>
          <w:szCs w:val="13"/>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Uncertainty about presidential administration initiatives could negatively impact our business, financial condition and results of operations.</w:t>
      </w:r>
    </w:p>
    <w:p>
      <w:pPr>
        <w:spacing w:after="0" w:line="127" w:lineRule="exact"/>
        <w:rPr>
          <w:sz w:val="20"/>
          <w:szCs w:val="20"/>
          <w:color w:val="auto"/>
        </w:rPr>
      </w:pPr>
    </w:p>
    <w:p>
      <w:pPr>
        <w:ind w:right="40" w:firstLine="439"/>
        <w:spacing w:after="0" w:line="226" w:lineRule="auto"/>
        <w:rPr>
          <w:sz w:val="20"/>
          <w:szCs w:val="20"/>
          <w:color w:val="auto"/>
        </w:rPr>
      </w:pPr>
      <w:r>
        <w:rPr>
          <w:rFonts w:ascii="Times New Roman" w:cs="Times New Roman" w:eastAsia="Times New Roman" w:hAnsi="Times New Roman"/>
          <w:sz w:val="13"/>
          <w:szCs w:val="13"/>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change our investment objectives, operating policies and strategies without prior notice or stockholder approval.</w:t>
      </w:r>
    </w:p>
    <w:p>
      <w:pPr>
        <w:spacing w:after="0" w:line="127" w:lineRule="exact"/>
        <w:rPr>
          <w:sz w:val="20"/>
          <w:szCs w:val="20"/>
          <w:color w:val="auto"/>
        </w:rPr>
      </w:pPr>
    </w:p>
    <w:p>
      <w:pPr>
        <w:ind w:right="80" w:firstLine="439"/>
        <w:spacing w:after="0" w:line="233"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4" w:name="page25"/>
    <w:bookmarkEnd w:id="24"/>
    <w:p>
      <w:pPr>
        <w:ind w:right="16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89"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THE ILLIQUID NATURE OF OUR PORTFOLIO ASSETS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89" w:lineRule="exact"/>
        <w:rPr>
          <w:sz w:val="20"/>
          <w:szCs w:val="20"/>
          <w:color w:val="auto"/>
        </w:rPr>
      </w:pPr>
    </w:p>
    <w:p>
      <w:pPr>
        <w:ind w:right="20" w:firstLine="439"/>
        <w:spacing w:after="0" w:line="226" w:lineRule="auto"/>
        <w:rPr>
          <w:sz w:val="20"/>
          <w:szCs w:val="20"/>
          <w:color w:val="auto"/>
        </w:rPr>
      </w:pPr>
      <w:r>
        <w:rPr>
          <w:rFonts w:ascii="Times New Roman" w:cs="Times New Roman" w:eastAsia="Times New Roman" w:hAnsi="Times New Roman"/>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3" w:lineRule="exact"/>
        <w:rPr>
          <w:sz w:val="20"/>
          <w:szCs w:val="20"/>
          <w:color w:val="auto"/>
        </w:rPr>
      </w:pPr>
    </w:p>
    <w:p>
      <w:pPr>
        <w:ind w:right="80" w:firstLine="439"/>
        <w:spacing w:after="0" w:line="228" w:lineRule="auto"/>
        <w:rPr>
          <w:sz w:val="20"/>
          <w:szCs w:val="20"/>
          <w:color w:val="auto"/>
        </w:rPr>
      </w:pPr>
      <w:r>
        <w:rPr>
          <w:rFonts w:ascii="Times New Roman" w:cs="Times New Roman" w:eastAsia="Times New Roman" w:hAnsi="Times New Roman"/>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02"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lack of liquidity in our investments may adversely affect our business.</w:t>
      </w:r>
    </w:p>
    <w:p>
      <w:pPr>
        <w:spacing w:after="0" w:line="115" w:lineRule="exact"/>
        <w:rPr>
          <w:sz w:val="20"/>
          <w:szCs w:val="20"/>
          <w:color w:val="auto"/>
        </w:rPr>
      </w:pPr>
    </w:p>
    <w:p>
      <w:pPr>
        <w:ind w:right="120" w:firstLine="439"/>
        <w:spacing w:after="0" w:line="237" w:lineRule="auto"/>
        <w:rPr>
          <w:sz w:val="20"/>
          <w:szCs w:val="20"/>
          <w:color w:val="auto"/>
        </w:rPr>
      </w:pPr>
      <w:r>
        <w:rPr>
          <w:rFonts w:ascii="Times New Roman" w:cs="Times New Roman" w:eastAsia="Times New Roman" w:hAnsi="Times New Roman"/>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2"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1"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general disruption in the credit markets could materially damage our business.</w:t>
      </w:r>
    </w:p>
    <w:p>
      <w:pPr>
        <w:spacing w:after="0" w:line="127" w:lineRule="exact"/>
        <w:rPr>
          <w:sz w:val="20"/>
          <w:szCs w:val="20"/>
          <w:color w:val="auto"/>
        </w:rPr>
      </w:pPr>
    </w:p>
    <w:p>
      <w:pPr>
        <w:ind w:right="160" w:firstLine="439"/>
        <w:spacing w:after="0" w:line="237" w:lineRule="auto"/>
        <w:rPr>
          <w:sz w:val="20"/>
          <w:szCs w:val="20"/>
          <w:color w:val="auto"/>
        </w:rPr>
      </w:pPr>
      <w:r>
        <w:rPr>
          <w:rFonts w:ascii="Times New Roman" w:cs="Times New Roman" w:eastAsia="Times New Roman" w:hAnsi="Times New Roman"/>
          <w:sz w:val="13"/>
          <w:szCs w:val="13"/>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02"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invest in over-the-counter securities, which have and may continue to face liquidity constraints, to provide us with liquidity.</w:t>
      </w:r>
    </w:p>
    <w:p>
      <w:pPr>
        <w:spacing w:after="0" w:line="127" w:lineRule="exact"/>
        <w:rPr>
          <w:sz w:val="20"/>
          <w:szCs w:val="20"/>
          <w:color w:val="auto"/>
        </w:rPr>
      </w:pPr>
    </w:p>
    <w:p>
      <w:pPr>
        <w:ind w:right="460" w:firstLine="439"/>
        <w:spacing w:after="0" w:line="254" w:lineRule="auto"/>
        <w:rPr>
          <w:sz w:val="20"/>
          <w:szCs w:val="20"/>
          <w:color w:val="auto"/>
        </w:rPr>
      </w:pPr>
      <w:r>
        <w:rPr>
          <w:rFonts w:ascii="Times New Roman" w:cs="Times New Roman" w:eastAsia="Times New Roman" w:hAnsi="Times New Roman"/>
          <w:sz w:val="13"/>
          <w:szCs w:val="13"/>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color w:val="auto"/>
        </w:rPr>
        <w:t>RISKS RELATING TO OUR 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prospective portfolio companies may be risky, and you could lose all or part of your investment.</w:t>
      </w:r>
    </w:p>
    <w:p>
      <w:pPr>
        <w:spacing w:after="0" w:line="127" w:lineRule="exact"/>
        <w:rPr>
          <w:sz w:val="20"/>
          <w:szCs w:val="20"/>
          <w:color w:val="auto"/>
        </w:rPr>
      </w:pPr>
    </w:p>
    <w:p>
      <w:pPr>
        <w:ind w:right="340" w:firstLine="439"/>
        <w:spacing w:after="0" w:line="254" w:lineRule="auto"/>
        <w:rPr>
          <w:sz w:val="20"/>
          <w:szCs w:val="20"/>
          <w:color w:val="auto"/>
        </w:rPr>
      </w:pPr>
      <w:r>
        <w:rPr>
          <w:rFonts w:ascii="Times New Roman" w:cs="Times New Roman" w:eastAsia="Times New Roman" w:hAnsi="Times New Roman"/>
          <w:sz w:val="13"/>
          <w:szCs w:val="13"/>
          <w:color w:val="auto"/>
        </w:rPr>
        <w:t>We intend to invest primarily in Floating Rate Loans, which may consist of first lien secured debt, second lien secured debt, subordinated debt and selected equity investments issued by U.S. middle-market companies.</w:t>
      </w:r>
    </w:p>
    <w:p>
      <w:pPr>
        <w:spacing w:after="0" w:line="88" w:lineRule="exact"/>
        <w:rPr>
          <w:sz w:val="20"/>
          <w:szCs w:val="20"/>
          <w:color w:val="auto"/>
        </w:rPr>
      </w:pPr>
    </w:p>
    <w:p>
      <w:pPr>
        <w:ind w:left="900" w:hanging="356"/>
        <w:spacing w:after="0" w:line="229" w:lineRule="auto"/>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Floating Rate Loans: </w:t>
      </w:r>
      <w:r>
        <w:rPr>
          <w:rFonts w:ascii="Times New Roman" w:cs="Times New Roman" w:eastAsia="Times New Roman" w:hAnsi="Times New Roman"/>
          <w:sz w:val="13"/>
          <w:szCs w:val="13"/>
          <w:color w:val="auto"/>
        </w:rPr>
        <w:t>The Floating Rate Loans we invest in are usually rated below investment grade or may also be unrated. Investments in Floating Rate Loans rated below investment grade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102" w:lineRule="exact"/>
        <w:rPr>
          <w:rFonts w:ascii="Times New Roman" w:cs="Times New Roman" w:eastAsia="Times New Roman" w:hAnsi="Times New Roman"/>
          <w:sz w:val="13"/>
          <w:szCs w:val="13"/>
          <w:color w:val="auto"/>
        </w:rPr>
      </w:pPr>
    </w:p>
    <w:p>
      <w:pPr>
        <w:ind w:left="920" w:right="40"/>
        <w:spacing w:after="0" w:line="22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action could materially negatively affect our performance.</w:t>
      </w:r>
    </w:p>
    <w:p>
      <w:pPr>
        <w:spacing w:after="0" w:line="92" w:lineRule="exact"/>
        <w:rPr>
          <w:rFonts w:ascii="Times New Roman" w:cs="Times New Roman" w:eastAsia="Times New Roman" w:hAnsi="Times New Roman"/>
          <w:sz w:val="13"/>
          <w:szCs w:val="13"/>
          <w:color w:val="auto"/>
        </w:rPr>
      </w:pPr>
    </w:p>
    <w:p>
      <w:pPr>
        <w:ind w:left="920"/>
        <w:spacing w:after="0" w:line="22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99" w:lineRule="exact"/>
        <w:rPr>
          <w:rFonts w:ascii="Times New Roman" w:cs="Times New Roman" w:eastAsia="Times New Roman" w:hAnsi="Times New Roman"/>
          <w:sz w:val="13"/>
          <w:szCs w:val="13"/>
          <w:color w:val="auto"/>
        </w:rPr>
      </w:pPr>
    </w:p>
    <w:p>
      <w:pPr>
        <w:ind w:left="900" w:hanging="356"/>
        <w:spacing w:after="0" w:line="227" w:lineRule="auto"/>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First Lien Secured Debt: </w:t>
      </w:r>
      <w:r>
        <w:rPr>
          <w:rFonts w:ascii="Times New Roman" w:cs="Times New Roman" w:eastAsia="Times New Roman" w:hAnsi="Times New Roman"/>
          <w:sz w:val="13"/>
          <w:szCs w:val="13"/>
          <w:color w:val="auto"/>
        </w:rPr>
        <w:t>When we extend first lien secured debt, we will generally take a security interest in the available assets of these portfolio companies, including the equity interests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00" w:lineRule="exact"/>
        <w:rPr>
          <w:rFonts w:ascii="Times New Roman" w:cs="Times New Roman" w:eastAsia="Times New Roman" w:hAnsi="Times New Roman"/>
          <w:sz w:val="13"/>
          <w:szCs w:val="13"/>
          <w:color w:val="auto"/>
        </w:rPr>
      </w:pPr>
    </w:p>
    <w:p>
      <w:pPr>
        <w:ind w:left="900" w:right="20" w:hanging="356"/>
        <w:spacing w:after="0" w:line="231" w:lineRule="auto"/>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Second Lien Secured Debt: </w:t>
      </w:r>
      <w:r>
        <w:rPr>
          <w:rFonts w:ascii="Times New Roman" w:cs="Times New Roman" w:eastAsia="Times New Roman" w:hAnsi="Times New Roman"/>
          <w:sz w:val="13"/>
          <w:szCs w:val="13"/>
          <w:color w:val="auto"/>
        </w:rPr>
        <w:t>Our second lien secured debt usually ranks junior in priority of payment to first lien secured debt. Second lien secured debt holds a second priority with regard to right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98" w:lineRule="exact"/>
        <w:rPr>
          <w:rFonts w:ascii="Times New Roman" w:cs="Times New Roman" w:eastAsia="Times New Roman" w:hAnsi="Times New Roman"/>
          <w:sz w:val="13"/>
          <w:szCs w:val="13"/>
          <w:color w:val="auto"/>
        </w:rPr>
      </w:pPr>
    </w:p>
    <w:p>
      <w:pPr>
        <w:ind w:left="900" w:hanging="356"/>
        <w:spacing w:after="0" w:line="231" w:lineRule="auto"/>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Subordinated Debt: </w:t>
      </w:r>
      <w:r>
        <w:rPr>
          <w:rFonts w:ascii="Times New Roman" w:cs="Times New Roman" w:eastAsia="Times New Roman" w:hAnsi="Times New Roman"/>
          <w:sz w:val="13"/>
          <w:szCs w:val="13"/>
          <w:color w:val="auto"/>
        </w:rPr>
        <w:t>Our subordinated debt usually ranks junior in priority of payment to first lien secured debt and second lien secured debt, and are often unsecured. As such, other creditors may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98" w:lineRule="exact"/>
        <w:rPr>
          <w:rFonts w:ascii="Times New Roman" w:cs="Times New Roman" w:eastAsia="Times New Roman" w:hAnsi="Times New Roman"/>
          <w:sz w:val="13"/>
          <w:szCs w:val="13"/>
          <w:color w:val="auto"/>
        </w:rPr>
      </w:pPr>
    </w:p>
    <w:p>
      <w:pPr>
        <w:ind w:left="900" w:hanging="356"/>
        <w:spacing w:after="0" w:line="227" w:lineRule="auto"/>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Equity Investments: </w:t>
      </w:r>
      <w:r>
        <w:rPr>
          <w:rFonts w:ascii="Times New Roman" w:cs="Times New Roman" w:eastAsia="Times New Roman" w:hAnsi="Times New Roman"/>
          <w:sz w:val="13"/>
          <w:szCs w:val="13"/>
          <w:color w:val="auto"/>
        </w:rPr>
        <w:t>We have made and expect to continue to make select equity investments, all of which are subordinated to debt investments. In addition, when we invest in first lien secured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 addition, investing in middle-market companies involves a number of significant risks, including:</w:t>
      </w:r>
    </w:p>
    <w:p>
      <w:pPr>
        <w:spacing w:after="0" w:line="123" w:lineRule="exact"/>
        <w:rPr>
          <w:sz w:val="20"/>
          <w:szCs w:val="20"/>
          <w:color w:val="auto"/>
        </w:rPr>
      </w:pPr>
    </w:p>
    <w:p>
      <w:pPr>
        <w:ind w:left="900" w:right="460" w:hanging="356"/>
        <w:spacing w:after="0" w:line="254"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92" w:lineRule="exact"/>
        <w:rPr>
          <w:rFonts w:ascii="Times New Roman" w:cs="Times New Roman" w:eastAsia="Times New Roman" w:hAnsi="Times New Roman"/>
          <w:sz w:val="13"/>
          <w:szCs w:val="13"/>
          <w:color w:val="auto"/>
        </w:rPr>
      </w:pPr>
    </w:p>
    <w:p>
      <w:pPr>
        <w:ind w:left="900" w:right="20" w:hanging="356"/>
        <w:spacing w:after="0" w:line="254"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26" w:name="page27"/>
    <w:bookmarkEnd w:id="26"/>
    <w:p>
      <w:pPr>
        <w:ind w:left="900" w:right="100" w:hanging="356"/>
        <w:spacing w:after="0" w:line="254"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92" w:lineRule="exact"/>
        <w:rPr>
          <w:rFonts w:ascii="Times New Roman" w:cs="Times New Roman" w:eastAsia="Times New Roman" w:hAnsi="Times New Roman"/>
          <w:sz w:val="13"/>
          <w:szCs w:val="13"/>
          <w:color w:val="auto"/>
        </w:rPr>
      </w:pPr>
    </w:p>
    <w:p>
      <w:pPr>
        <w:ind w:left="900" w:right="100" w:hanging="356"/>
        <w:spacing w:after="0" w:line="237"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they may have difficulty accessing the capital markets to meet future capital needs, which may limit their ability to grow or to refinance their outstanding indebtedness upon maturity.</w:t>
      </w:r>
    </w:p>
    <w:p>
      <w:pPr>
        <w:spacing w:after="0" w:line="11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77"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233" w:lineRule="exact"/>
        <w:rPr>
          <w:sz w:val="20"/>
          <w:szCs w:val="20"/>
          <w:color w:val="auto"/>
        </w:rPr>
      </w:pPr>
    </w:p>
    <w:p>
      <w:pPr>
        <w:ind w:right="140" w:firstLine="439"/>
        <w:spacing w:after="0" w:line="228" w:lineRule="auto"/>
        <w:rPr>
          <w:sz w:val="20"/>
          <w:szCs w:val="20"/>
          <w:color w:val="auto"/>
        </w:rPr>
      </w:pPr>
      <w:r>
        <w:rPr>
          <w:rFonts w:ascii="Times New Roman" w:cs="Times New Roman" w:eastAsia="Times New Roman" w:hAnsi="Times New Roman"/>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77"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recessions or downturns could impair our portfolio companies and harm our operating results.</w:t>
      </w:r>
    </w:p>
    <w:p>
      <w:pPr>
        <w:spacing w:after="0" w:line="127" w:lineRule="exact"/>
        <w:rPr>
          <w:sz w:val="20"/>
          <w:szCs w:val="20"/>
          <w:color w:val="auto"/>
        </w:rPr>
      </w:pPr>
    </w:p>
    <w:p>
      <w:pPr>
        <w:ind w:right="120" w:firstLine="439"/>
        <w:spacing w:after="0" w:line="230" w:lineRule="auto"/>
        <w:rPr>
          <w:sz w:val="20"/>
          <w:szCs w:val="20"/>
          <w:color w:val="auto"/>
        </w:rPr>
      </w:pPr>
      <w:r>
        <w:rPr>
          <w:rFonts w:ascii="Times New Roman" w:cs="Times New Roman" w:eastAsia="Times New Roman" w:hAnsi="Times New Roman"/>
          <w:sz w:val="13"/>
          <w:szCs w:val="13"/>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89" w:lineRule="exact"/>
        <w:rPr>
          <w:sz w:val="20"/>
          <w:szCs w:val="20"/>
          <w:color w:val="auto"/>
        </w:rPr>
      </w:pPr>
    </w:p>
    <w:p>
      <w:pPr>
        <w:ind w:right="120" w:firstLine="439"/>
        <w:spacing w:after="0" w:line="228" w:lineRule="auto"/>
        <w:rPr>
          <w:sz w:val="20"/>
          <w:szCs w:val="20"/>
          <w:color w:val="auto"/>
        </w:rPr>
      </w:pPr>
      <w:r>
        <w:rPr>
          <w:rFonts w:ascii="Times New Roman" w:cs="Times New Roman" w:eastAsia="Times New Roman" w:hAnsi="Times New Roman"/>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make follow-on investments in our portfolio companies, this could materially impair the value of our portfolio.</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Following an initial investment in a portfolio company, we may make additional investments in that portfolio company as “follow-on” investments, in order to:</w:t>
      </w:r>
    </w:p>
    <w:p>
      <w:pPr>
        <w:spacing w:after="0" w:line="111" w:lineRule="exact"/>
        <w:rPr>
          <w:sz w:val="20"/>
          <w:szCs w:val="20"/>
          <w:color w:val="auto"/>
        </w:rPr>
      </w:pPr>
    </w:p>
    <w:p>
      <w:pPr>
        <w:ind w:left="900" w:hanging="356"/>
        <w:spacing w:after="0"/>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or maintain in whole or in part our equity ownership percentage;</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warrants, options or convertible securities that were acquired in the original or subsequent financing; or</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attempt to preserve or enhance the value of our investment.</w:t>
      </w:r>
    </w:p>
    <w:p>
      <w:pPr>
        <w:spacing w:after="0" w:line="123"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9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89"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ind w:right="280"/>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7"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 companies may incur debt that ranks equally with, or senior to, our investments in such companies and our portfolio companies may be highly leveraged.</w:t>
      </w:r>
    </w:p>
    <w:p>
      <w:pPr>
        <w:spacing w:after="0" w:line="127"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incentive fee may induce the Investment Adviser to make speculative investments.</w:t>
      </w:r>
    </w:p>
    <w:p>
      <w:pPr>
        <w:spacing w:after="0" w:line="127"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05" w:lineRule="exact"/>
        <w:rPr>
          <w:sz w:val="20"/>
          <w:szCs w:val="20"/>
          <w:color w:val="auto"/>
        </w:rPr>
      </w:pPr>
    </w:p>
    <w:p>
      <w:pPr>
        <w:ind w:firstLine="439"/>
        <w:spacing w:after="0" w:line="237" w:lineRule="auto"/>
        <w:rPr>
          <w:sz w:val="20"/>
          <w:szCs w:val="20"/>
          <w:color w:val="auto"/>
        </w:rPr>
      </w:pPr>
      <w:r>
        <w:rPr>
          <w:rFonts w:ascii="Times New Roman" w:cs="Times New Roman" w:eastAsia="Times New Roman" w:hAnsi="Times New Roman"/>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investments in distressed debt may not produce income and may require us to bear large expenses in order to protect and recover our investment.</w:t>
      </w:r>
    </w:p>
    <w:p>
      <w:pPr>
        <w:spacing w:after="0" w:line="127" w:lineRule="exact"/>
        <w:rPr>
          <w:sz w:val="20"/>
          <w:szCs w:val="20"/>
          <w:color w:val="auto"/>
        </w:rPr>
      </w:pPr>
    </w:p>
    <w:p>
      <w:pPr>
        <w:ind w:firstLine="439"/>
        <w:spacing w:after="0" w:line="226" w:lineRule="auto"/>
        <w:rPr>
          <w:sz w:val="20"/>
          <w:szCs w:val="20"/>
          <w:color w:val="auto"/>
        </w:rPr>
      </w:pPr>
      <w:r>
        <w:rPr>
          <w:rFonts w:ascii="Times New Roman" w:cs="Times New Roman" w:eastAsia="Times New Roman" w:hAnsi="Times New Roman"/>
          <w:sz w:val="13"/>
          <w:szCs w:val="13"/>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foreign securities may involve significant risks in addition to the risks inherent in U.S. investments.</w:t>
      </w:r>
    </w:p>
    <w:p>
      <w:pPr>
        <w:spacing w:after="0" w:line="115" w:lineRule="exact"/>
        <w:rPr>
          <w:sz w:val="20"/>
          <w:szCs w:val="20"/>
          <w:color w:val="auto"/>
        </w:rPr>
      </w:pPr>
    </w:p>
    <w:p>
      <w:pPr>
        <w:ind w:right="40" w:firstLine="439"/>
        <w:spacing w:after="0" w:line="230" w:lineRule="auto"/>
        <w:rPr>
          <w:sz w:val="20"/>
          <w:szCs w:val="20"/>
          <w:color w:val="auto"/>
        </w:rPr>
      </w:pPr>
      <w:r>
        <w:rPr>
          <w:rFonts w:ascii="Times New Roman" w:cs="Times New Roman" w:eastAsia="Times New Roman" w:hAnsi="Times New Roman"/>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1"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15"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obligated to pay our Investment Adviser incentive compensation even if we incur a loss.</w:t>
      </w:r>
    </w:p>
    <w:p>
      <w:pPr>
        <w:spacing w:after="0" w:line="127" w:lineRule="exact"/>
        <w:rPr>
          <w:sz w:val="20"/>
          <w:szCs w:val="20"/>
          <w:color w:val="auto"/>
        </w:rPr>
      </w:pPr>
    </w:p>
    <w:p>
      <w:pPr>
        <w:ind w:right="40" w:firstLine="439"/>
        <w:spacing w:after="0" w:line="230" w:lineRule="auto"/>
        <w:rPr>
          <w:sz w:val="20"/>
          <w:szCs w:val="20"/>
          <w:color w:val="auto"/>
        </w:rPr>
      </w:pPr>
      <w:r>
        <w:rPr>
          <w:rFonts w:ascii="Times New Roman" w:cs="Times New Roman" w:eastAsia="Times New Roman" w:hAnsi="Times New Roman"/>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expose ourselves to risks if we engage in hedging transactions.</w:t>
      </w:r>
    </w:p>
    <w:p>
      <w:pPr>
        <w:spacing w:after="0" w:line="115" w:lineRule="exact"/>
        <w:rPr>
          <w:sz w:val="20"/>
          <w:szCs w:val="20"/>
          <w:color w:val="auto"/>
        </w:rPr>
      </w:pPr>
    </w:p>
    <w:p>
      <w:pPr>
        <w:ind w:right="40" w:firstLine="439"/>
        <w:spacing w:after="0" w:line="228" w:lineRule="auto"/>
        <w:rPr>
          <w:sz w:val="20"/>
          <w:szCs w:val="20"/>
          <w:color w:val="auto"/>
        </w:rPr>
      </w:pPr>
      <w:r>
        <w:rPr>
          <w:rFonts w:ascii="Times New Roman" w:cs="Times New Roman" w:eastAsia="Times New Roman" w:hAnsi="Times New Roman"/>
          <w:sz w:val="13"/>
          <w:szCs w:val="13"/>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02" w:lineRule="exact"/>
        <w:rPr>
          <w:sz w:val="20"/>
          <w:szCs w:val="20"/>
          <w:color w:val="auto"/>
        </w:rPr>
      </w:pPr>
    </w:p>
    <w:p>
      <w:pPr>
        <w:ind w:right="200" w:firstLine="439"/>
        <w:spacing w:after="0" w:line="228" w:lineRule="auto"/>
        <w:rPr>
          <w:sz w:val="20"/>
          <w:szCs w:val="20"/>
          <w:color w:val="auto"/>
        </w:rPr>
      </w:pPr>
      <w:r>
        <w:rPr>
          <w:rFonts w:ascii="Times New Roman" w:cs="Times New Roman" w:eastAsia="Times New Roman" w:hAnsi="Times New Roman"/>
          <w:sz w:val="13"/>
          <w:szCs w:val="13"/>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COMMON STOCK</w:t>
      </w:r>
    </w:p>
    <w:p>
      <w:pPr>
        <w:spacing w:after="0" w:line="10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03"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2" w:lineRule="exact"/>
        <w:rPr>
          <w:sz w:val="20"/>
          <w:szCs w:val="20"/>
          <w:color w:val="auto"/>
        </w:rPr>
      </w:pPr>
    </w:p>
    <w:p>
      <w:pPr>
        <w:ind w:right="80" w:firstLine="439"/>
        <w:spacing w:after="0" w:line="230" w:lineRule="auto"/>
        <w:rPr>
          <w:sz w:val="20"/>
          <w:szCs w:val="20"/>
          <w:color w:val="auto"/>
        </w:rPr>
      </w:pPr>
      <w:r>
        <w:rPr>
          <w:rFonts w:ascii="Times New Roman" w:cs="Times New Roman" w:eastAsia="Times New Roman" w:hAnsi="Times New Roman"/>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89" w:lineRule="exact"/>
        <w:rPr>
          <w:sz w:val="20"/>
          <w:szCs w:val="20"/>
          <w:color w:val="auto"/>
        </w:rPr>
      </w:pPr>
    </w:p>
    <w:p>
      <w:pPr>
        <w:ind w:right="80" w:firstLine="439"/>
        <w:spacing w:after="0" w:line="230" w:lineRule="auto"/>
        <w:rPr>
          <w:sz w:val="20"/>
          <w:szCs w:val="20"/>
          <w:color w:val="auto"/>
        </w:rPr>
      </w:pPr>
      <w:r>
        <w:rPr>
          <w:rFonts w:ascii="Times New Roman" w:cs="Times New Roman" w:eastAsia="Times New Roman" w:hAnsi="Times New Roman"/>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stockholders may not receive distributions or that our distributions may not grow over time.</w:t>
      </w:r>
    </w:p>
    <w:p>
      <w:pPr>
        <w:spacing w:after="0" w:line="127" w:lineRule="exact"/>
        <w:rPr>
          <w:sz w:val="20"/>
          <w:szCs w:val="20"/>
          <w:color w:val="auto"/>
        </w:rPr>
      </w:pPr>
    </w:p>
    <w:p>
      <w:pPr>
        <w:ind w:right="60" w:firstLine="439"/>
        <w:spacing w:after="0" w:line="230" w:lineRule="auto"/>
        <w:rPr>
          <w:sz w:val="20"/>
          <w:szCs w:val="20"/>
          <w:color w:val="auto"/>
        </w:rPr>
      </w:pPr>
      <w:r>
        <w:rPr>
          <w:rFonts w:ascii="Times New Roman" w:cs="Times New Roman" w:eastAsia="Times New Roman" w:hAnsi="Times New Roman"/>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in our shares may involve an above average degree of risk.</w:t>
      </w:r>
    </w:p>
    <w:p>
      <w:pPr>
        <w:spacing w:after="0" w:line="127" w:lineRule="exact"/>
        <w:rPr>
          <w:sz w:val="20"/>
          <w:szCs w:val="20"/>
          <w:color w:val="auto"/>
        </w:rPr>
      </w:pPr>
    </w:p>
    <w:p>
      <w:pPr>
        <w:ind w:right="300" w:firstLine="439"/>
        <w:spacing w:after="0" w:line="254" w:lineRule="auto"/>
        <w:rPr>
          <w:sz w:val="20"/>
          <w:szCs w:val="20"/>
          <w:color w:val="auto"/>
        </w:rPr>
      </w:pPr>
      <w:r>
        <w:rPr>
          <w:rFonts w:ascii="Times New Roman" w:cs="Times New Roman" w:eastAsia="Times New Roman" w:hAnsi="Times New Roman"/>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substantial amounts of our securities may have an adverse effect on the market price of our securities.</w:t>
      </w:r>
    </w:p>
    <w:p>
      <w:pPr>
        <w:spacing w:after="0" w:line="115"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allocate the net proceeds from any offering of our securities in ways with which you may not agree.</w:t>
      </w:r>
    </w:p>
    <w:p>
      <w:pPr>
        <w:spacing w:after="0" w:line="127"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i w:val="1"/>
          <w:iCs w:val="1"/>
          <w:color w:val="auto"/>
        </w:rPr>
        <w:t>Our shares may trade at discounts from NAV or at premiums that are unsustainable over the long term.</w:t>
      </w:r>
    </w:p>
    <w:p>
      <w:pPr>
        <w:spacing w:after="0" w:line="115" w:lineRule="exact"/>
        <w:rPr>
          <w:sz w:val="20"/>
          <w:szCs w:val="20"/>
          <w:color w:val="auto"/>
        </w:rPr>
      </w:pPr>
    </w:p>
    <w:p>
      <w:pPr>
        <w:jc w:val="both"/>
        <w:ind w:right="20" w:firstLine="439"/>
        <w:spacing w:after="0" w:line="233"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NAV that is attributable to those shares. Our shares have traded above and below our NAV. Our shares closed on The Nasdaq Global Select Market at $8.44 and $11.60 on September 30, 2020 and 2019, respectively. Our NAV per share was $12.31 and $12.97 as of the same dates,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common stock may fluctuate significantly.</w:t>
      </w:r>
    </w:p>
    <w:p>
      <w:pPr>
        <w:spacing w:after="0" w:line="127" w:lineRule="exact"/>
        <w:rPr>
          <w:sz w:val="20"/>
          <w:szCs w:val="20"/>
          <w:color w:val="auto"/>
        </w:rPr>
      </w:pPr>
    </w:p>
    <w:p>
      <w:pPr>
        <w:ind w:right="180" w:firstLine="439"/>
        <w:spacing w:after="0" w:line="254" w:lineRule="auto"/>
        <w:rPr>
          <w:sz w:val="20"/>
          <w:szCs w:val="20"/>
          <w:color w:val="auto"/>
        </w:rPr>
      </w:pPr>
      <w:r>
        <w:rPr>
          <w:rFonts w:ascii="Times New Roman" w:cs="Times New Roman" w:eastAsia="Times New Roman" w:hAnsi="Times New Roman"/>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80" w:lineRule="exact"/>
        <w:rPr>
          <w:sz w:val="20"/>
          <w:szCs w:val="20"/>
          <w:color w:val="auto"/>
        </w:rPr>
      </w:pPr>
    </w:p>
    <w:p>
      <w:pPr>
        <w:ind w:left="900" w:right="460" w:hanging="356"/>
        <w:spacing w:after="0" w:line="254" w:lineRule="auto"/>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regulatory policies or tax guidelines, particularly with respect to RICs or BDCs;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loss of our BDC or RIC status;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earnings or variations in operating results;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prevailing interest rates;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value of our portfolio of investments;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shortfall in revenue or net income or any increase in losses from levels expected by investors or securities analysts;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of our Investment Adviser to employ additional experienced investment professionals or the departure of any of the Investment Adviser’s key personnel;</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performance of companies comparable to us;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national and international economic trends and other external factors;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price and volume fluctuations in the stock markets, including as a result of short sales;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conversion features of subscription rights, warrants or convertible debt;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loss of a major funding source.</w:t>
      </w:r>
    </w:p>
    <w:p>
      <w:pPr>
        <w:spacing w:after="0" w:line="12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invest the net proceeds raised from offerings on acceptable terms, which would harm our financial condition and operating results.</w:t>
      </w:r>
    </w:p>
    <w:p>
      <w:pPr>
        <w:spacing w:after="0" w:line="127"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27" w:lineRule="exact"/>
        <w:rPr>
          <w:sz w:val="20"/>
          <w:szCs w:val="20"/>
          <w:color w:val="auto"/>
        </w:rPr>
      </w:pPr>
    </w:p>
    <w:p>
      <w:pPr>
        <w:ind w:right="20" w:firstLine="439"/>
        <w:spacing w:after="0" w:line="226" w:lineRule="auto"/>
        <w:rPr>
          <w:sz w:val="20"/>
          <w:szCs w:val="20"/>
          <w:color w:val="auto"/>
        </w:rPr>
      </w:pPr>
      <w:r>
        <w:rPr>
          <w:rFonts w:ascii="Times New Roman" w:cs="Times New Roman" w:eastAsia="Times New Roman" w:hAnsi="Times New Roman"/>
          <w:sz w:val="13"/>
          <w:szCs w:val="13"/>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10% of such dividend, for dividends declared on or before December 31, 2020, and 20% of such dividend, for dividends declared on or after January 1, 2021)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15" w:lineRule="exact"/>
        <w:rPr>
          <w:sz w:val="20"/>
          <w:szCs w:val="20"/>
          <w:color w:val="auto"/>
        </w:rPr>
      </w:pPr>
    </w:p>
    <w:p>
      <w:pPr>
        <w:ind w:right="40" w:firstLine="439"/>
        <w:spacing w:after="0" w:line="230" w:lineRule="auto"/>
        <w:rPr>
          <w:sz w:val="20"/>
          <w:szCs w:val="20"/>
          <w:color w:val="auto"/>
        </w:rPr>
      </w:pPr>
      <w:r>
        <w:rPr>
          <w:rFonts w:ascii="Times New Roman" w:cs="Times New Roman" w:eastAsia="Times New Roman" w:hAnsi="Times New Roman"/>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1"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These anti-takeover provisions may inhibit a change of control in circumstances that could give our stockholders the opportunity to realize a premium over the market price for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color w:val="auto"/>
        </w:rPr>
        <w:t>RISKS RELATING TO OUR 2023 NOTES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2023 Notes are unsecured and therefore are effectively subordinated to any secured indebtedness we have currently incurred or may incur in the future.</w:t>
      </w:r>
    </w:p>
    <w:p>
      <w:pPr>
        <w:spacing w:after="0" w:line="127" w:lineRule="exact"/>
        <w:rPr>
          <w:sz w:val="20"/>
          <w:szCs w:val="20"/>
          <w:color w:val="auto"/>
        </w:rPr>
      </w:pPr>
    </w:p>
    <w:p>
      <w:pPr>
        <w:ind w:right="40" w:firstLine="439"/>
        <w:spacing w:after="0" w:line="228" w:lineRule="auto"/>
        <w:rPr>
          <w:sz w:val="20"/>
          <w:szCs w:val="20"/>
          <w:color w:val="auto"/>
        </w:rPr>
      </w:pPr>
      <w:r>
        <w:rPr>
          <w:rFonts w:ascii="Times New Roman" w:cs="Times New Roman" w:eastAsia="Times New Roman" w:hAnsi="Times New Roman"/>
          <w:sz w:val="13"/>
          <w:szCs w:val="13"/>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2020, we had $308.6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2023 Notes are structurally subordinated to the indebtedness and other liabilities of our subsidiaries.</w:t>
      </w:r>
    </w:p>
    <w:p>
      <w:pPr>
        <w:spacing w:after="0" w:line="115"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3"/>
          <w:szCs w:val="13"/>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92" w:lineRule="exact"/>
        <w:rPr>
          <w:sz w:val="20"/>
          <w:szCs w:val="20"/>
          <w:color w:val="auto"/>
        </w:rPr>
      </w:pPr>
    </w:p>
    <w:p>
      <w:pPr>
        <w:ind w:right="120" w:firstLine="439"/>
        <w:spacing w:after="0" w:line="230" w:lineRule="auto"/>
        <w:rPr>
          <w:sz w:val="20"/>
          <w:szCs w:val="20"/>
          <w:color w:val="auto"/>
        </w:rPr>
      </w:pPr>
      <w:r>
        <w:rPr>
          <w:rFonts w:ascii="Times New Roman" w:cs="Times New Roman" w:eastAsia="Times New Roman" w:hAnsi="Times New Roman"/>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 Notes are structurally subordinated to all indebtedness and other liabilities (including trade payables) of our subsidiaries and any subsidiaries that we may in the future acquire or establish as financing vehicles or otherwise.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2023 Notes are linked to the U.S. Dollar and therefore holders of the 2023 Notes are subject to currency risk.</w:t>
      </w:r>
    </w:p>
    <w:p>
      <w:pPr>
        <w:spacing w:after="0" w:line="115" w:lineRule="exact"/>
        <w:rPr>
          <w:sz w:val="20"/>
          <w:szCs w:val="20"/>
          <w:color w:val="auto"/>
        </w:rPr>
      </w:pPr>
    </w:p>
    <w:p>
      <w:pPr>
        <w:ind w:right="20" w:firstLine="439"/>
        <w:spacing w:after="0" w:line="237" w:lineRule="auto"/>
        <w:rPr>
          <w:sz w:val="20"/>
          <w:szCs w:val="20"/>
          <w:color w:val="auto"/>
        </w:rPr>
      </w:pPr>
      <w:r>
        <w:rPr>
          <w:rFonts w:ascii="Times New Roman" w:cs="Times New Roman" w:eastAsia="Times New Roman" w:hAnsi="Times New Roman"/>
          <w:sz w:val="13"/>
          <w:szCs w:val="13"/>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an active trading market does not develop for the 2023 Notes holders of the 2023 Notes may not be able to sell them.</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the 2023 Notes may fluctuate.</w:t>
      </w:r>
    </w:p>
    <w:p>
      <w:pPr>
        <w:spacing w:after="0" w:line="127" w:lineRule="exact"/>
        <w:rPr>
          <w:sz w:val="20"/>
          <w:szCs w:val="20"/>
          <w:color w:val="auto"/>
        </w:rPr>
      </w:pPr>
    </w:p>
    <w:p>
      <w:pPr>
        <w:ind w:right="180" w:firstLine="439"/>
        <w:spacing w:after="0" w:line="254" w:lineRule="auto"/>
        <w:rPr>
          <w:sz w:val="20"/>
          <w:szCs w:val="20"/>
          <w:color w:val="auto"/>
        </w:rPr>
      </w:pPr>
      <w:r>
        <w:rPr>
          <w:rFonts w:ascii="Times New Roman" w:cs="Times New Roman" w:eastAsia="Times New Roman" w:hAnsi="Times New Roman"/>
          <w:sz w:val="13"/>
          <w:szCs w:val="13"/>
          <w:color w:val="auto"/>
        </w:rPr>
        <w:t>If an active trading market for the 2023 Notes does develop on the TASE, the 2023 Notes may trade at prices lower than the offering price. The trading price of the 2023 Notes depends on many factors, including:</w:t>
      </w:r>
    </w:p>
    <w:p>
      <w:pPr>
        <w:spacing w:after="0" w:line="92" w:lineRule="exact"/>
        <w:rPr>
          <w:sz w:val="20"/>
          <w:szCs w:val="20"/>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prevailing interest rates;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prevailing exchange rate of the U.S. Dollar to the NIS;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for similar securities;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political, economic and financial market conditions in Israel and globally;</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issuance of debt or preferred equity securities;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financial condition, results of operations and prospects.</w:t>
      </w:r>
    </w:p>
    <w:p>
      <w:pPr>
        <w:spacing w:after="0" w:line="123"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3"/>
          <w:szCs w:val="13"/>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80" w:lineRule="exact"/>
        <w:rPr>
          <w:sz w:val="20"/>
          <w:szCs w:val="20"/>
          <w:color w:val="auto"/>
        </w:rPr>
      </w:pPr>
    </w:p>
    <w:p>
      <w:pPr>
        <w:ind w:right="80" w:firstLine="439"/>
        <w:spacing w:after="0" w:line="228" w:lineRule="auto"/>
        <w:rPr>
          <w:sz w:val="20"/>
          <w:szCs w:val="20"/>
          <w:color w:val="auto"/>
        </w:rPr>
      </w:pPr>
      <w:r>
        <w:rPr>
          <w:rFonts w:ascii="Times New Roman" w:cs="Times New Roman" w:eastAsia="Times New Roman" w:hAnsi="Times New Roman"/>
          <w:sz w:val="13"/>
          <w:szCs w:val="13"/>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deed of trust under which the 2023 Notes were issued contains limited protection for holders of the 2023 Notes.</w:t>
      </w:r>
    </w:p>
    <w:p>
      <w:pPr>
        <w:spacing w:after="0" w:line="127" w:lineRule="exact"/>
        <w:rPr>
          <w:sz w:val="20"/>
          <w:szCs w:val="20"/>
          <w:color w:val="auto"/>
        </w:rPr>
      </w:pPr>
    </w:p>
    <w:p>
      <w:pPr>
        <w:jc w:val="both"/>
        <w:ind w:right="440" w:firstLine="439"/>
        <w:spacing w:after="0" w:line="237" w:lineRule="auto"/>
        <w:rPr>
          <w:sz w:val="20"/>
          <w:szCs w:val="20"/>
          <w:color w:val="auto"/>
        </w:rPr>
      </w:pPr>
      <w:r>
        <w:rPr>
          <w:rFonts w:ascii="Times New Roman" w:cs="Times New Roman" w:eastAsia="Times New Roman" w:hAnsi="Times New Roman"/>
          <w:sz w:val="13"/>
          <w:szCs w:val="13"/>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90" w:lineRule="exact"/>
        <w:rPr>
          <w:sz w:val="20"/>
          <w:szCs w:val="20"/>
          <w:color w:val="auto"/>
        </w:rPr>
      </w:pPr>
    </w:p>
    <w:p>
      <w:pPr>
        <w:ind w:left="900" w:right="80" w:hanging="356"/>
        <w:spacing w:after="0" w:line="230" w:lineRule="auto"/>
        <w:tabs>
          <w:tab w:leader="none" w:pos="9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w:t>
      </w:r>
    </w:p>
    <w:p>
      <w:pPr>
        <w:ind w:left="900"/>
        <w:spacing w:after="0" w:line="22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61(a)(1)-(2) of the 1940 Act or any successor provisions;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31" w:name="page32"/>
    <w:bookmarkEnd w:id="31"/>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dividends on, or purchase or redeem or make any payments in respect of, capital stock or other securities ranking junior in right of payment to the 2023 Notes;</w:t>
      </w:r>
    </w:p>
    <w:p>
      <w:pPr>
        <w:spacing w:after="0" w:line="12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assets;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transactions with affiliates;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sale and leaseback transactions;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investments; or</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restrictions on the payment of dividends or other amounts to us from our subsidiaries.</w:t>
      </w:r>
    </w:p>
    <w:p>
      <w:pPr>
        <w:spacing w:after="0" w:line="123" w:lineRule="exact"/>
        <w:rPr>
          <w:sz w:val="20"/>
          <w:szCs w:val="20"/>
          <w:color w:val="auto"/>
        </w:rPr>
      </w:pPr>
    </w:p>
    <w:p>
      <w:pPr>
        <w:ind w:right="280" w:firstLine="439"/>
        <w:spacing w:after="0" w:line="254" w:lineRule="auto"/>
        <w:rPr>
          <w:sz w:val="20"/>
          <w:szCs w:val="20"/>
          <w:color w:val="auto"/>
        </w:rPr>
      </w:pPr>
      <w:r>
        <w:rPr>
          <w:rFonts w:ascii="Times New Roman" w:cs="Times New Roman" w:eastAsia="Times New Roman" w:hAnsi="Times New Roman"/>
          <w:sz w:val="13"/>
          <w:szCs w:val="13"/>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80" w:lineRule="exact"/>
        <w:rPr>
          <w:sz w:val="20"/>
          <w:szCs w:val="20"/>
          <w:color w:val="auto"/>
        </w:rPr>
      </w:pPr>
    </w:p>
    <w:p>
      <w:pPr>
        <w:ind w:right="280" w:firstLine="439"/>
        <w:spacing w:after="0" w:line="254" w:lineRule="auto"/>
        <w:rPr>
          <w:sz w:val="20"/>
          <w:szCs w:val="20"/>
          <w:color w:val="auto"/>
        </w:rPr>
      </w:pPr>
      <w:r>
        <w:rPr>
          <w:rFonts w:ascii="Times New Roman" w:cs="Times New Roman" w:eastAsia="Times New Roman" w:hAnsi="Times New Roman"/>
          <w:sz w:val="13"/>
          <w:szCs w:val="13"/>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optional redemption provision may materially adversely affect the return on the 2023 Notes.</w:t>
      </w:r>
    </w:p>
    <w:p>
      <w:pPr>
        <w:spacing w:after="0" w:line="127" w:lineRule="exact"/>
        <w:rPr>
          <w:sz w:val="20"/>
          <w:szCs w:val="20"/>
          <w:color w:val="auto"/>
        </w:rPr>
      </w:pPr>
    </w:p>
    <w:p>
      <w:pPr>
        <w:jc w:val="both"/>
        <w:ind w:right="80" w:firstLine="439"/>
        <w:spacing w:after="0" w:line="237" w:lineRule="auto"/>
        <w:rPr>
          <w:sz w:val="20"/>
          <w:szCs w:val="20"/>
          <w:color w:val="auto"/>
        </w:rPr>
      </w:pPr>
      <w:r>
        <w:rPr>
          <w:rFonts w:ascii="Times New Roman" w:cs="Times New Roman" w:eastAsia="Times New Roman" w:hAnsi="Times New Roman"/>
          <w:sz w:val="13"/>
          <w:szCs w:val="13"/>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default on our obligations to pay our other indebtedness, we may not be able to make payments on the 2023 Notes.</w:t>
      </w:r>
    </w:p>
    <w:p>
      <w:pPr>
        <w:spacing w:after="0" w:line="127" w:lineRule="exact"/>
        <w:rPr>
          <w:sz w:val="20"/>
          <w:szCs w:val="20"/>
          <w:color w:val="auto"/>
        </w:rPr>
      </w:pPr>
    </w:p>
    <w:p>
      <w:pPr>
        <w:ind w:firstLine="439"/>
        <w:spacing w:after="0" w:line="223" w:lineRule="auto"/>
        <w:rPr>
          <w:sz w:val="20"/>
          <w:szCs w:val="20"/>
          <w:color w:val="auto"/>
        </w:rPr>
      </w:pPr>
      <w:r>
        <w:rPr>
          <w:rFonts w:ascii="Times New Roman" w:cs="Times New Roman" w:eastAsia="Times New Roman" w:hAnsi="Times New Roman"/>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FATCA withholding may apply to payments to certain foreign entities.</w:t>
      </w:r>
    </w:p>
    <w:p>
      <w:pPr>
        <w:spacing w:after="0" w:line="115"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Holders of the 2023 Notes should consult their own tax advisors regarding FATCA and how it may affect their investment in the 2023 Notes.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It may be difficult to obtain and enforce civil judgments against us and our directors, officers and experts.</w:t>
      </w:r>
    </w:p>
    <w:p>
      <w:pPr>
        <w:spacing w:after="0" w:line="127" w:lineRule="exact"/>
        <w:rPr>
          <w:sz w:val="20"/>
          <w:szCs w:val="20"/>
          <w:color w:val="auto"/>
        </w:rPr>
      </w:pPr>
    </w:p>
    <w:p>
      <w:pPr>
        <w:ind w:right="60" w:firstLine="439"/>
        <w:spacing w:after="0" w:line="237" w:lineRule="auto"/>
        <w:rPr>
          <w:sz w:val="20"/>
          <w:szCs w:val="20"/>
          <w:color w:val="auto"/>
        </w:rPr>
      </w:pPr>
      <w:r>
        <w:rPr>
          <w:rFonts w:ascii="Times New Roman" w:cs="Times New Roman" w:eastAsia="Times New Roman" w:hAnsi="Times New Roman"/>
          <w:sz w:val="13"/>
          <w:szCs w:val="13"/>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90" w:lineRule="exact"/>
        <w:rPr>
          <w:sz w:val="20"/>
          <w:szCs w:val="20"/>
          <w:color w:val="auto"/>
        </w:rPr>
      </w:pPr>
    </w:p>
    <w:p>
      <w:pPr>
        <w:ind w:right="120" w:firstLine="439"/>
        <w:spacing w:after="0" w:line="237" w:lineRule="auto"/>
        <w:rPr>
          <w:sz w:val="20"/>
          <w:szCs w:val="20"/>
          <w:color w:val="auto"/>
        </w:rPr>
      </w:pPr>
      <w:r>
        <w:rPr>
          <w:rFonts w:ascii="Times New Roman" w:cs="Times New Roman" w:eastAsia="Times New Roman" w:hAnsi="Times New Roman"/>
          <w:sz w:val="13"/>
          <w:szCs w:val="13"/>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02" w:lineRule="exact"/>
        <w:rPr>
          <w:sz w:val="20"/>
          <w:szCs w:val="20"/>
          <w:color w:val="auto"/>
        </w:rPr>
      </w:pPr>
    </w:p>
    <w:p>
      <w:pPr>
        <w:ind w:right="200" w:firstLine="439"/>
        <w:spacing w:after="0" w:line="237" w:lineRule="auto"/>
        <w:rPr>
          <w:sz w:val="20"/>
          <w:szCs w:val="20"/>
          <w:color w:val="auto"/>
        </w:rPr>
      </w:pPr>
      <w:r>
        <w:rPr>
          <w:rFonts w:ascii="Times New Roman" w:cs="Times New Roman" w:eastAsia="Times New Roman" w:hAnsi="Times New Roman"/>
          <w:sz w:val="13"/>
          <w:szCs w:val="13"/>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02"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3"/>
          <w:szCs w:val="13"/>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80" w:lineRule="exact"/>
        <w:rPr>
          <w:sz w:val="20"/>
          <w:szCs w:val="20"/>
          <w:color w:val="auto"/>
        </w:rPr>
      </w:pPr>
    </w:p>
    <w:p>
      <w:pPr>
        <w:ind w:left="900" w:hanging="356"/>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limited exceptions, the judgment is final and non-appealable;</w:t>
      </w:r>
    </w:p>
    <w:p>
      <w:pPr>
        <w:spacing w:after="0" w:line="135"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judgment was given by a court competent under the laws of the state of the court and is otherwise enforceable in such state;</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judgment was rendered by a court competent under the rules of private international law applicable in Israel;</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laws of the state in which the judgment was given provide for the enforcement of judgments of Israeli courts;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adequate service of process has been effected and the defendant has had a reasonable opportunity to present his arguments and evidence;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ind w:left="900" w:hanging="356"/>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judgment and its enforcement are not contrary to the law, public policy, security or sovereignty of the State of Israel;</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judgment was not obtained by fraud and does not conflict with any other valid judgment in the same matter between the same parties;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action between the same parties in the same matter was not pending in any Israeli court at the time the lawsuit was instituted in the U.S. court.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DEBT SECURITIZATION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certain risks as a result of our interests in connection with the Debt Securitization and our equity interest in the Securitization Issuers.</w:t>
      </w:r>
    </w:p>
    <w:p>
      <w:pPr>
        <w:spacing w:after="0" w:line="115"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On September 19, 2019, in connection with the Debt Securitization and the offering of the 2031 Asset-Backed Debt by the Securitization Issuers, we sold and/or contributed to the Depositor certain senior loans made to certain of our portfolio companies, or the Securitization Loans, which the Depositor in turn sold and/or contributed to the Securitization Issuer in exchange for 100% of the Preferred Shares of the Securitization Issuer, 100% of the Class D Secured Deferrable Floating Rate Notes issued by the Securitization Issuer, and a portion of the net cash proceeds received from the sale of the 2031 Asset-Backed Debt. Following these transfers, the Securitization Issuer, and not the Depositor or us, held all of the ownership interest in the Securitization Loans.</w:t>
      </w:r>
    </w:p>
    <w:p>
      <w:pPr>
        <w:spacing w:after="0" w:line="101" w:lineRule="exact"/>
        <w:rPr>
          <w:sz w:val="20"/>
          <w:szCs w:val="20"/>
          <w:color w:val="auto"/>
        </w:rPr>
      </w:pPr>
    </w:p>
    <w:p>
      <w:pPr>
        <w:ind w:right="160" w:firstLine="439"/>
        <w:spacing w:after="0" w:line="233" w:lineRule="auto"/>
        <w:rPr>
          <w:sz w:val="20"/>
          <w:szCs w:val="20"/>
          <w:color w:val="auto"/>
        </w:rPr>
      </w:pPr>
      <w:r>
        <w:rPr>
          <w:rFonts w:ascii="Times New Roman" w:cs="Times New Roman" w:eastAsia="Times New Roman" w:hAnsi="Times New Roman"/>
          <w:sz w:val="13"/>
          <w:szCs w:val="13"/>
          <w:color w:val="auto"/>
        </w:rPr>
        <w:t>As a result of the Debt Securitization, we hold, indirectly through the Depositor, 100% of the equity interests in the Securitization Issuers. As a result, we consolidate the financial statements of the Depositor and the Securitization Issuers, as well as our other subsidiaries, in our consolidated financial statements. Because each of the Depositor and the Securitization Issuer is disregarded as an entity separate from its owners for U.S. federal income tax purposes, the sale or contribution by us to the Depositor, and by the Depositor to the Securitization Issuer, as applicable, did not constitute a taxable event for U.S. federal income tax purposes. If the IRS were to take a contrary position, there could be a material adverse effect on our business, financial condition, results of operations or cash flows.</w:t>
      </w:r>
    </w:p>
    <w:p>
      <w:pPr>
        <w:spacing w:after="0" w:line="101"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Further, a failure of the Securitization Issuer to be treated as a disregarded entity for U.S. federal income tax purposes would constitute an event of default pursuant to the applicable indenture under the Debt Securitization, upon which the trustee under the Debt Securitization, or the Securitization Trustee, may and will at the direction of a majority of the holders of the 2031 Asset-Backed Debt, or the Securitization Debtholders, declare the 2031 Asset-Backed Debt to be immediately due and payable and exercise remedies under the indenture, including (i) to institute proceedings for the collection of all amounts then payable on the 2031 Asset-Backed Debt, or under the indenture, enforce any judgment obtained, and collect from the Securitization Issuers and any other obligor upon the 2031 Asset-Backed Debt monies adjudged due; (ii) institute proceedings from time to time for the complete or partial foreclosure of the indenture with respect to the property of the Securitization Issuers; (iii) exercise any remedies as a secured party under the relevant Uniform Commercial Code and take other appropriate action under applicable law to protect and enforce the rights and remedies of the Securitization Trustee and the Securitization Debtholders; or (iv) sell the property of the Securitization Issuers or any portion thereof or rights or interest therein at one or more public or private sales called and conducted in any matter permitted by law. Any such exercise of remedies could have a material adverse effect on our business, financial condition, results of operations or cash flows.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 event of default in connection with the Debt Securitization could give rise to a cross-default under our other material indebtedness.</w:t>
      </w:r>
    </w:p>
    <w:p>
      <w:pPr>
        <w:spacing w:after="0" w:line="127" w:lineRule="exact"/>
        <w:rPr>
          <w:sz w:val="20"/>
          <w:szCs w:val="20"/>
          <w:color w:val="auto"/>
        </w:rPr>
      </w:pPr>
    </w:p>
    <w:p>
      <w:pPr>
        <w:ind w:right="80" w:firstLine="439"/>
        <w:spacing w:after="0" w:line="233" w:lineRule="auto"/>
        <w:rPr>
          <w:sz w:val="20"/>
          <w:szCs w:val="20"/>
          <w:color w:val="auto"/>
        </w:rPr>
      </w:pPr>
      <w:r>
        <w:rPr>
          <w:rFonts w:ascii="Times New Roman" w:cs="Times New Roman" w:eastAsia="Times New Roman" w:hAnsi="Times New Roman"/>
          <w:sz w:val="13"/>
          <w:szCs w:val="13"/>
          <w:color w:val="auto"/>
        </w:rPr>
        <w:t>The documents governing our other material indebtedness contain customary cross-default provisions that could be triggered if an event of default occurs in connection with the Debt Securitization. An event of default with respect to our other indebtedness could lead to the acceleration of such indebtedness and the exercise of other remedies as provided in the documents governing such other indebtedness. This could have a material adverse effect on our business, financial condition, results of operations and cash flows and may result in our inability to make distributions sufficient to maintain our ability to be subject to tax as a RIC.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receive cash distributions in respect of our indirect ownership interests in the Securitization Issuers.</w:t>
      </w:r>
    </w:p>
    <w:p>
      <w:pPr>
        <w:spacing w:after="0" w:line="115" w:lineRule="exact"/>
        <w:rPr>
          <w:sz w:val="20"/>
          <w:szCs w:val="20"/>
          <w:color w:val="auto"/>
        </w:rPr>
      </w:pPr>
    </w:p>
    <w:p>
      <w:pPr>
        <w:ind w:right="40" w:firstLine="439"/>
        <w:spacing w:after="0" w:line="225" w:lineRule="auto"/>
        <w:rPr>
          <w:sz w:val="20"/>
          <w:szCs w:val="20"/>
          <w:color w:val="auto"/>
        </w:rPr>
      </w:pPr>
      <w:r>
        <w:rPr>
          <w:rFonts w:ascii="Times New Roman" w:cs="Times New Roman" w:eastAsia="Times New Roman" w:hAnsi="Times New Roman"/>
          <w:sz w:val="13"/>
          <w:szCs w:val="13"/>
          <w:color w:val="auto"/>
        </w:rPr>
        <w:t>Apart from fees payable to us in connection with our role as servicer of the Securitization Loans and the reimbursement of related amounts under the documents governing the Debt Securitization, we receive cash in connection with the Debt Securitization only to the extent that the Depositor receives payments in respect of its equity interests in the Securitization Issuers. The respective holders of the equity interests in the Securitization Issuers are the residual claimants on distributions, if any, made by the Securitization Issuers after the Securitization Debtholders and other claimants have been paid in full on each payment date or upon maturity of the 2031 Asset-Backed Debt, subject to the priority of payments under the documents governing the Debt Securitization. To the extent that the value of the Securitization Issuer’s portfolio of loans is reduced as a result of conditions in the credit markets (relevant in the event of a liquidation event), other macroeconomic factors, distressed or defaulted loans or the failure of individual portfolio companies to otherwise meet their obligations in respect of the loans, or for any other reason, the ability of the Securitization Issuers to make cash distributions in respect of the Depositor’s equity interests would be negatively affected and consequently, the value of the equity interests in the Securitization Issuers would also be reduced. In the event that we fail to receive cash indirectly from the Securitization Issuers, we could be unable to make distributions, if at all, in amounts sufficient to maintain our ability to be subject to tax as a RIC.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interests of the Securitization Debtholders may not be aligned with our interests.</w:t>
      </w:r>
    </w:p>
    <w:p>
      <w:pPr>
        <w:spacing w:after="0" w:line="127"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The 2031 Asset-Backed Debt constitutes debt obligations ranking senior in right of payment to the rights of the holders of the equity interests in the Securitization Issuers, as residual claimants in respect of distributions, if any, made by the Securitization Issuers. As such, there are circumstances in which the interests of the Securitization Debtholders may not be aligned with the interests of holders of the equity interests in the Securitization Issuers. For example, under the terms of the documents governing the Debt Securitization, the Securitization Debtholders have the right to receive payments of principal and interest prior to holders of the equity interests.</w:t>
      </w:r>
    </w:p>
    <w:p>
      <w:pPr>
        <w:spacing w:after="0" w:line="89" w:lineRule="exact"/>
        <w:rPr>
          <w:sz w:val="20"/>
          <w:szCs w:val="20"/>
          <w:color w:val="auto"/>
        </w:rPr>
      </w:pPr>
    </w:p>
    <w:p>
      <w:pPr>
        <w:ind w:right="220" w:firstLine="439"/>
        <w:spacing w:after="0" w:line="237" w:lineRule="auto"/>
        <w:rPr>
          <w:sz w:val="20"/>
          <w:szCs w:val="20"/>
          <w:color w:val="auto"/>
        </w:rPr>
      </w:pPr>
      <w:r>
        <w:rPr>
          <w:rFonts w:ascii="Times New Roman" w:cs="Times New Roman" w:eastAsia="Times New Roman" w:hAnsi="Times New Roman"/>
          <w:sz w:val="13"/>
          <w:szCs w:val="13"/>
          <w:color w:val="auto"/>
        </w:rPr>
        <w:t>For as long as the 2031 Asset-Backed Debt remains outstanding, the respective Securitization Debtholders have the right to act in certain circumstances with respect to the Securitization Loans in ways that may benefit their interests but not the interests of the respective holders of the equity interests in the Securitization Issuers, including by exercising remedies under the documents governing the Debt Securitization.</w:t>
      </w:r>
    </w:p>
    <w:p>
      <w:pPr>
        <w:spacing w:after="0" w:line="102"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If an event of default occurs, the Securitization Debtholders will be entitled to determine the remedies to be exercised, subject to the terms of the documents governing the Debt Securitization. For example, upon the occurrence of an event of default with respect to the 2031 Asset-Backed Debt, the Securitization Trustee may and will at the direction of the holders of a majority of the applicable 2031 Asset-Backed Debt declare the principal, together with any accrued interest, of the debt to be immediately due and payable. This would have the effect of accelerating the principal on such debt, triggering a repayment obligation on the part of the Securitization Issuers. The 2031 Asset-Backed Debt then outstanding will be paid in full before any further payment or distribution on the equity interest is made. There can be no assurance that there will be sufficient funds through collections on the Securitization Loans or through the proceeds of the sale of the Securitization Loans in the event of a bankruptcy or insolvency to repay in full the obligations under the 2031 Asset-Backed Debt, or to make any distribution to holders of the equity interests in the Securitization Issuers.</w:t>
      </w:r>
    </w:p>
    <w:p>
      <w:pPr>
        <w:spacing w:after="0" w:line="102" w:lineRule="exact"/>
        <w:rPr>
          <w:sz w:val="20"/>
          <w:szCs w:val="20"/>
          <w:color w:val="auto"/>
        </w:rPr>
      </w:pPr>
    </w:p>
    <w:p>
      <w:pPr>
        <w:ind w:right="60" w:firstLine="439"/>
        <w:spacing w:after="0" w:line="230" w:lineRule="auto"/>
        <w:rPr>
          <w:sz w:val="20"/>
          <w:szCs w:val="20"/>
          <w:color w:val="auto"/>
        </w:rPr>
      </w:pPr>
      <w:r>
        <w:rPr>
          <w:rFonts w:ascii="Times New Roman" w:cs="Times New Roman" w:eastAsia="Times New Roman" w:hAnsi="Times New Roman"/>
          <w:sz w:val="13"/>
          <w:szCs w:val="13"/>
          <w:color w:val="auto"/>
        </w:rPr>
        <w:t>Remedies pursued by the Securitization Debtholders could be adverse to our interests as the indirect holder of the equity interests in the Securitization Issuers. The Securitization Debtholders have no obligation to consider any possible adverse effect on such other interests. Thus, there can be no assurance that any remedies pursued by the Securitization Debtholders will be consistent with the best interests of the Depositor or that we will receive, indirectly through the Depositor, any payments or distributions upon an acceleration of the 2031 Asset-Backed Debt. Any failure of the Securitization Issuers to make distributions in respect of the equity interests that we indirectly hold, whether as a result of an event of default and the acceleration of payments on the 2031 Asset-Backed Debt or otherwise, could have a material adverse effect on our business, financial condition, results of operations and cash flows and may result in our inability to make distributions sufficient to maintain our ability to be subject to tax as a RIC.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certain repurchase obligations with respect to the Securitization Loans transferred in connection with the Debt Securitization.</w:t>
      </w:r>
    </w:p>
    <w:p>
      <w:pPr>
        <w:spacing w:after="0" w:line="115"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As part of each Debt Securitization, we entered into a master loan agreement under which we would be required to repurchase any Securitization Loan (or participation interest therein) which was sold to the Securitization Issuer in breach of certain customary representations and warranties made by us or by the Depositor with respect to such Securitization Loan or the legal structure of the applicable Debt Securitization. To the extent that there is a breach of such representations and warranties and we fail to satisfy any such repurchase obligation, the Securitization Trustee may, on behalf of the Securitization Issuer, bring an action against us to enforce these repurchase obligations.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Global capital markets could enter a period of severe disruption and instability due to future recessions, disease pandemics and other serious health events, political instability, geopolitical turmoil and</w:t>
      </w:r>
    </w:p>
    <w:p>
      <w:pPr>
        <w:spacing w:after="0" w:line="26"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3"/>
          <w:szCs w:val="13"/>
          <w:b w:val="1"/>
          <w:bCs w:val="1"/>
          <w:i w:val="1"/>
          <w:iCs w:val="1"/>
          <w:color w:val="auto"/>
        </w:rPr>
        <w:t>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89"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67" w:lineRule="exact"/>
        <w:rPr>
          <w:sz w:val="20"/>
          <w:szCs w:val="20"/>
          <w:color w:val="auto"/>
        </w:rPr>
      </w:pPr>
    </w:p>
    <w:p>
      <w:pPr>
        <w:ind w:right="20" w:firstLine="439"/>
        <w:spacing w:after="0"/>
        <w:rPr>
          <w:sz w:val="20"/>
          <w:szCs w:val="20"/>
          <w:color w:val="auto"/>
        </w:rPr>
      </w:pPr>
      <w:r>
        <w:rPr>
          <w:rFonts w:ascii="Times New Roman" w:cs="Times New Roman" w:eastAsia="Times New Roman" w:hAnsi="Times New Roman"/>
          <w:sz w:val="13"/>
          <w:szCs w:val="13"/>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While many states have begun to ease such governmental restrictions,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67" w:lineRule="exact"/>
        <w:rPr>
          <w:sz w:val="20"/>
          <w:szCs w:val="20"/>
          <w:color w:val="auto"/>
        </w:rPr>
      </w:pPr>
    </w:p>
    <w:p>
      <w:pPr>
        <w:ind w:right="20" w:firstLine="439"/>
        <w:spacing w:after="0" w:line="226" w:lineRule="auto"/>
        <w:rPr>
          <w:sz w:val="20"/>
          <w:szCs w:val="20"/>
          <w:color w:val="auto"/>
        </w:rPr>
      </w:pPr>
      <w:r>
        <w:rPr>
          <w:rFonts w:ascii="Times New Roman" w:cs="Times New Roman" w:eastAsia="Times New Roman" w:hAnsi="Times New Roman"/>
          <w:sz w:val="13"/>
          <w:szCs w:val="13"/>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have introduced creative proposals to address the needs of businesses, such actions may not be sufficient to address the problems facing our portfolio companies.</w:t>
      </w:r>
    </w:p>
    <w:p>
      <w:pPr>
        <w:spacing w:after="0" w:line="93"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The outbreak has led to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the possibility of a resurgence and the actions taken by authorities and other entities to lift restrictions on business operations and open the economy, all of which are beyond our control. These future events, while unpredictable, will likely adversely affect our operating results and the operating results of our portfolio companies.</w:t>
      </w:r>
    </w:p>
    <w:p>
      <w:pPr>
        <w:spacing w:after="0" w:line="101" w:lineRule="exact"/>
        <w:rPr>
          <w:sz w:val="20"/>
          <w:szCs w:val="20"/>
          <w:color w:val="auto"/>
        </w:rPr>
      </w:pPr>
    </w:p>
    <w:p>
      <w:pPr>
        <w:ind w:firstLine="439"/>
        <w:spacing w:after="0" w:line="223" w:lineRule="auto"/>
        <w:rPr>
          <w:sz w:val="20"/>
          <w:szCs w:val="20"/>
          <w:color w:val="auto"/>
        </w:rPr>
      </w:pPr>
      <w:r>
        <w:rPr>
          <w:rFonts w:ascii="Times New Roman" w:cs="Times New Roman" w:eastAsia="Times New Roman" w:hAnsi="Times New Roman"/>
          <w:sz w:val="13"/>
          <w:szCs w:val="13"/>
          <w:color w:val="auto"/>
        </w:rPr>
        <w:t>In addition, on January 31, 2020, the United Kingdom withdrew from the European Union (“Brexit”), entering into a negotiated transition period during which the United Kingdom remains in the European Union single market and customs union and remains subject to European Union laws and regulations. The transition period is scheduled to end at midnight (CET) on December 31, 2020.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 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United Kingdom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105"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Additional risks associated with the outcome of Brexit include macroeconomic risk to the United Kingdom and European economies, impetus for further disintegration of the 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the United Kingdom’s exit from the European Union or in contemplation of negotiations undertaken under Article 218 of the Treaty on the Functioning of the European Union, and the unavailability of timely information as to expected legal, tax and other regimes. We will continue to monitor the potential impact of Brexit on our results of operations and financial condition.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currently operating in a period of capital markets disruption and economic uncertainty.</w:t>
      </w:r>
    </w:p>
    <w:p>
      <w:pPr>
        <w:spacing w:after="0" w:line="127" w:lineRule="exact"/>
        <w:rPr>
          <w:sz w:val="20"/>
          <w:szCs w:val="20"/>
          <w:color w:val="auto"/>
        </w:rPr>
      </w:pPr>
    </w:p>
    <w:p>
      <w:pPr>
        <w:ind w:right="80" w:firstLine="439"/>
        <w:spacing w:after="0" w:line="230" w:lineRule="auto"/>
        <w:rPr>
          <w:sz w:val="20"/>
          <w:szCs w:val="20"/>
          <w:color w:val="auto"/>
        </w:rPr>
      </w:pPr>
      <w:r>
        <w:rPr>
          <w:rFonts w:ascii="Times New Roman" w:cs="Times New Roman" w:eastAsia="Times New Roman" w:hAnsi="Times New Roman"/>
          <w:sz w:val="13"/>
          <w:szCs w:val="13"/>
          <w:color w:val="auto"/>
        </w:rPr>
        <w:t>The U.S. capital markets have experienced extreme volatility and disruption following the global outbreak of COVID-19.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4" w:name="page35"/>
    <w:bookmarkEnd w:id="34"/>
    <w:p>
      <w:pPr>
        <w:ind w:right="240"/>
        <w:spacing w:after="0" w:line="254" w:lineRule="auto"/>
        <w:rPr>
          <w:sz w:val="20"/>
          <w:szCs w:val="20"/>
          <w:color w:val="auto"/>
        </w:rPr>
      </w:pPr>
      <w:r>
        <w:rPr>
          <w:rFonts w:ascii="Times New Roman" w:cs="Times New Roman" w:eastAsia="Times New Roman" w:hAnsi="Times New Roman"/>
          <w:sz w:val="13"/>
          <w:szCs w:val="13"/>
          <w:color w:val="auto"/>
        </w:rPr>
        <w:t>fair values of our debt and equity investments. We also face an increased risk of investor, creditor or portfolio company disputes, litigation and governmental and regulatory scrutiny as a result of the effects of COVID-19 on economic and market conditions.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Volatility or a prolonged disruption in the credit markets could materially damage our business.</w:t>
      </w:r>
    </w:p>
    <w:p>
      <w:pPr>
        <w:spacing w:after="0" w:line="127" w:lineRule="exact"/>
        <w:rPr>
          <w:sz w:val="20"/>
          <w:szCs w:val="20"/>
          <w:color w:val="auto"/>
        </w:rPr>
      </w:pPr>
    </w:p>
    <w:p>
      <w:pPr>
        <w:ind w:right="20" w:firstLine="439"/>
        <w:spacing w:after="0" w:line="226" w:lineRule="auto"/>
        <w:rPr>
          <w:sz w:val="20"/>
          <w:szCs w:val="20"/>
          <w:color w:val="auto"/>
        </w:rPr>
      </w:pPr>
      <w:r>
        <w:rPr>
          <w:rFonts w:ascii="Times New Roman" w:cs="Times New Roman" w:eastAsia="Times New Roman" w:hAnsi="Times New Roman"/>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05"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27"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01" w:lineRule="exact"/>
        <w:rPr>
          <w:sz w:val="20"/>
          <w:szCs w:val="20"/>
          <w:color w:val="auto"/>
        </w:rPr>
      </w:pPr>
    </w:p>
    <w:p>
      <w:pPr>
        <w:ind w:right="120" w:firstLine="439"/>
        <w:spacing w:after="0" w:line="228" w:lineRule="auto"/>
        <w:rPr>
          <w:sz w:val="20"/>
          <w:szCs w:val="20"/>
          <w:color w:val="auto"/>
        </w:rPr>
      </w:pPr>
      <w:r>
        <w:rPr>
          <w:rFonts w:ascii="Times New Roman" w:cs="Times New Roman" w:eastAsia="Times New Roman" w:hAnsi="Times New Roman"/>
          <w:sz w:val="13"/>
          <w:szCs w:val="13"/>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we may become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we are subject. As a result, we may be adversely affected because of our unwillingness to enter into transactions that may violate any such laws or regulations.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the target of litigation.</w:t>
      </w:r>
    </w:p>
    <w:p>
      <w:pPr>
        <w:spacing w:after="0" w:line="127" w:lineRule="exact"/>
        <w:rPr>
          <w:sz w:val="20"/>
          <w:szCs w:val="20"/>
          <w:color w:val="auto"/>
        </w:rPr>
      </w:pPr>
    </w:p>
    <w:p>
      <w:pPr>
        <w:ind w:right="80" w:firstLine="439"/>
        <w:spacing w:after="0" w:line="237" w:lineRule="auto"/>
        <w:rPr>
          <w:sz w:val="20"/>
          <w:szCs w:val="20"/>
          <w:color w:val="auto"/>
        </w:rPr>
      </w:pPr>
      <w:r>
        <w:rPr>
          <w:rFonts w:ascii="Times New Roman" w:cs="Times New Roman" w:eastAsia="Times New Roman" w:hAnsi="Times New Roman"/>
          <w:sz w:val="13"/>
          <w:szCs w:val="13"/>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effect of global climate change may impact the operations of our portfolio companies.</w:t>
      </w:r>
    </w:p>
    <w:p>
      <w:pPr>
        <w:spacing w:after="0" w:line="115"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None.</w:t>
      </w:r>
    </w:p>
    <w:p>
      <w:pPr>
        <w:spacing w:after="0" w:line="1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125" w:lineRule="exact"/>
        <w:rPr>
          <w:sz w:val="20"/>
          <w:szCs w:val="20"/>
          <w:color w:val="auto"/>
        </w:rPr>
      </w:pPr>
    </w:p>
    <w:p>
      <w:pPr>
        <w:ind w:right="720" w:firstLine="439"/>
        <w:spacing w:after="0" w:line="254" w:lineRule="auto"/>
        <w:rPr>
          <w:sz w:val="20"/>
          <w:szCs w:val="20"/>
          <w:color w:val="auto"/>
        </w:rPr>
      </w:pPr>
      <w:r>
        <w:rPr>
          <w:rFonts w:ascii="Times New Roman" w:cs="Times New Roman" w:eastAsia="Times New Roman" w:hAnsi="Times New Roman"/>
          <w:sz w:val="13"/>
          <w:szCs w:val="13"/>
          <w:color w:val="auto"/>
        </w:rPr>
        <w:t>As of September 30, 2020,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125"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49" w:lineRule="exact"/>
        <w:rPr>
          <w:sz w:val="20"/>
          <w:szCs w:val="20"/>
          <w:color w:val="auto"/>
        </w:rPr>
      </w:pPr>
    </w:p>
    <w:p>
      <w:pPr>
        <w:ind w:left="1"/>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Market for Registrant’s Common Equity, Related Stockholder Matters and Issuer Purchases of Equity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PRICE RANGE OF COMMON STOCK</w:t>
      </w:r>
    </w:p>
    <w:p>
      <w:pPr>
        <w:spacing w:after="0" w:line="249" w:lineRule="exact"/>
        <w:rPr>
          <w:sz w:val="20"/>
          <w:szCs w:val="20"/>
          <w:color w:val="auto"/>
        </w:rPr>
      </w:pPr>
    </w:p>
    <w:p>
      <w:pPr>
        <w:ind w:left="1" w:right="40" w:firstLine="439"/>
        <w:spacing w:after="0"/>
        <w:rPr>
          <w:sz w:val="20"/>
          <w:szCs w:val="20"/>
          <w:color w:val="auto"/>
        </w:rPr>
      </w:pPr>
      <w:r>
        <w:rPr>
          <w:rFonts w:ascii="Times New Roman" w:cs="Times New Roman" w:eastAsia="Times New Roman" w:hAnsi="Times New Roman"/>
          <w:sz w:val="13"/>
          <w:szCs w:val="13"/>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for each full quarterly period within the fiscal years ended September 30, 2020 and 2019.</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Premium /</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Closing Sale Prices</w:t>
            </w:r>
          </w:p>
        </w:tc>
        <w:tc>
          <w:tcPr>
            <w:tcW w:w="24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of High Sale</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of Low Sale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 xml:space="preserve">NAV </w:t>
            </w:r>
            <w:r>
              <w:rPr>
                <w:rFonts w:ascii="Times New Roman" w:cs="Times New Roman" w:eastAsia="Times New Roman" w:hAnsi="Times New Roman"/>
                <w:sz w:val="11"/>
                <w:szCs w:val="11"/>
                <w:b w:val="1"/>
                <w:bCs w:val="1"/>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Low</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 xml:space="preserve">Price to NAV </w:t>
            </w:r>
            <w:r>
              <w:rPr>
                <w:rFonts w:ascii="Times New Roman" w:cs="Times New Roman" w:eastAsia="Times New Roman" w:hAnsi="Times New Roman"/>
                <w:sz w:val="11"/>
                <w:szCs w:val="11"/>
                <w:b w:val="1"/>
                <w:bCs w:val="1"/>
                <w:color w:val="auto"/>
                <w:w w:val="99"/>
              </w:rPr>
              <w:t>(2)</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 xml:space="preserve">Price to NAV </w:t>
            </w:r>
            <w:r>
              <w:rPr>
                <w:rFonts w:ascii="Times New Roman" w:cs="Times New Roman" w:eastAsia="Times New Roman" w:hAnsi="Times New Roman"/>
                <w:sz w:val="11"/>
                <w:szCs w:val="11"/>
                <w:b w:val="1"/>
                <w:bCs w:val="1"/>
                <w:color w:val="auto"/>
                <w:w w:val="99"/>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Declared</w:t>
            </w:r>
          </w:p>
        </w:tc>
      </w:tr>
      <w:tr>
        <w:trPr>
          <w:trHeight w:val="141"/>
        </w:trPr>
        <w:tc>
          <w:tcPr>
            <w:tcW w:w="324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Year Ended September 30, 2020</w:t>
            </w:r>
          </w:p>
        </w:tc>
        <w:tc>
          <w:tcPr>
            <w:tcW w:w="12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9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220" w:type="dxa"/>
            <w:vAlign w:val="bottom"/>
          </w:tcPr>
          <w:p>
            <w:pPr>
              <w:spacing w:after="0"/>
              <w:rPr>
                <w:sz w:val="12"/>
                <w:szCs w:val="12"/>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240" w:type="dxa"/>
            <w:vAlign w:val="bottom"/>
          </w:tcPr>
          <w:p>
            <w:pPr>
              <w:spacing w:after="0"/>
              <w:rPr>
                <w:sz w:val="12"/>
                <w:szCs w:val="12"/>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tcPr>
          <w:p>
            <w:pPr>
              <w:spacing w:after="0"/>
              <w:rPr>
                <w:sz w:val="12"/>
                <w:szCs w:val="12"/>
                <w:color w:val="auto"/>
              </w:rPr>
            </w:pPr>
          </w:p>
        </w:tc>
      </w:tr>
      <w:tr>
        <w:trPr>
          <w:trHeight w:val="149"/>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4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(22)</w:t>
            </w:r>
          </w:p>
        </w:tc>
        <w:tc>
          <w:tcPr>
            <w:tcW w:w="1360" w:type="dxa"/>
            <w:vAlign w:val="bottom"/>
            <w:gridSpan w:val="2"/>
            <w:shd w:val="clear" w:color="auto" w:fill="CCECFF"/>
          </w:tcPr>
          <w:p>
            <w:pPr>
              <w:ind w:left="940"/>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shd w:val="clear" w:color="auto" w:fill="CCEC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2"/>
                <w:szCs w:val="12"/>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tcPr>
          <w:p>
            <w:pPr>
              <w:spacing w:after="0"/>
              <w:rPr>
                <w:sz w:val="12"/>
                <w:szCs w:val="12"/>
                <w:color w:val="auto"/>
              </w:rPr>
            </w:pPr>
          </w:p>
        </w:tc>
      </w:tr>
      <w:tr>
        <w:trPr>
          <w:trHeight w:val="149"/>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24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(3)</w:t>
            </w:r>
          </w:p>
        </w:tc>
        <w:tc>
          <w:tcPr>
            <w:tcW w:w="1360" w:type="dxa"/>
            <w:vAlign w:val="bottom"/>
            <w:gridSpan w:val="2"/>
            <w:shd w:val="clear" w:color="auto" w:fill="CCECFF"/>
          </w:tcPr>
          <w:p>
            <w:pPr>
              <w:ind w:left="940"/>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shd w:val="clear" w:color="auto" w:fill="CCEC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September 30, 2019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4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24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(9)%</w:t>
            </w:r>
          </w:p>
        </w:tc>
        <w:tc>
          <w:tcPr>
            <w:tcW w:w="1360" w:type="dxa"/>
            <w:vAlign w:val="bottom"/>
            <w:gridSpan w:val="2"/>
            <w:shd w:val="clear" w:color="auto" w:fill="CCECFF"/>
          </w:tcPr>
          <w:p>
            <w:pPr>
              <w:ind w:left="940"/>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shd w:val="clear" w:color="auto" w:fill="CCEC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tcPr>
          <w:p>
            <w:pPr>
              <w:spacing w:after="0"/>
              <w:rPr>
                <w:sz w:val="12"/>
                <w:szCs w:val="12"/>
                <w:color w:val="auto"/>
              </w:rPr>
            </w:pPr>
          </w:p>
        </w:tc>
      </w:tr>
      <w:tr>
        <w:trPr>
          <w:trHeight w:val="149"/>
        </w:trPr>
        <w:tc>
          <w:tcPr>
            <w:tcW w:w="32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24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360" w:type="dxa"/>
            <w:vAlign w:val="bottom"/>
            <w:gridSpan w:val="2"/>
            <w:shd w:val="clear" w:color="auto" w:fill="CCECFF"/>
          </w:tcPr>
          <w:p>
            <w:pPr>
              <w:ind w:left="94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shd w:val="clear" w:color="auto" w:fill="CCECFF"/>
          </w:tcPr>
          <w:p>
            <w:pPr>
              <w:spacing w:after="0"/>
              <w:rPr>
                <w:sz w:val="12"/>
                <w:szCs w:val="12"/>
                <w:color w:val="auto"/>
              </w:rPr>
            </w:pPr>
          </w:p>
        </w:tc>
      </w:tr>
      <w:tr>
        <w:trPr>
          <w:trHeight w:val="172"/>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24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0.285</w:t>
            </w:r>
          </w:p>
        </w:tc>
        <w:tc>
          <w:tcPr>
            <w:tcW w:w="100" w:type="dxa"/>
            <w:vAlign w:val="bottom"/>
          </w:tcPr>
          <w:p>
            <w:pPr>
              <w:spacing w:after="0"/>
              <w:rPr>
                <w:sz w:val="14"/>
                <w:szCs w:val="14"/>
                <w:color w:val="auto"/>
              </w:rPr>
            </w:pPr>
          </w:p>
        </w:tc>
      </w:tr>
    </w:tbl>
    <w:p>
      <w:pPr>
        <w:ind w:left="361" w:hanging="361"/>
        <w:spacing w:after="0" w:line="235" w:lineRule="auto"/>
        <w:tabs>
          <w:tab w:leader="none" w:pos="361" w:val="left"/>
        </w:tabs>
        <w:numPr>
          <w:ilvl w:val="0"/>
          <w:numId w:val="47"/>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61" w:hanging="361"/>
        <w:spacing w:after="0" w:line="190" w:lineRule="auto"/>
        <w:tabs>
          <w:tab w:leader="none" w:pos="361" w:val="left"/>
        </w:tabs>
        <w:numPr>
          <w:ilvl w:val="0"/>
          <w:numId w:val="47"/>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13455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89" w:lineRule="exact"/>
        <w:rPr>
          <w:sz w:val="20"/>
          <w:szCs w:val="20"/>
          <w:color w:val="auto"/>
        </w:rPr>
      </w:pPr>
    </w:p>
    <w:p>
      <w:pPr>
        <w:ind w:left="1" w:right="60" w:firstLine="439"/>
        <w:spacing w:after="0" w:line="233" w:lineRule="auto"/>
        <w:rPr>
          <w:sz w:val="20"/>
          <w:szCs w:val="20"/>
          <w:color w:val="auto"/>
        </w:rPr>
      </w:pPr>
      <w:r>
        <w:rPr>
          <w:rFonts w:ascii="Times New Roman" w:cs="Times New Roman" w:eastAsia="Times New Roman" w:hAnsi="Times New Roman"/>
          <w:sz w:val="13"/>
          <w:szCs w:val="13"/>
          <w:color w:val="auto"/>
        </w:rPr>
        <w:t>Shares of BDCs may trade at a market price both above and below the NAV that is attributable to those shares. Our shares have traded above and below our NAV. Our shares closed on The Nasdaq Global Select Market at $8.44 and $11.60 on September 30, 2020 and 2019, respectively. Our NAV per share was $12.31 and $12.97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2020, we had 41 stockholders of record.</w:t>
      </w:r>
    </w:p>
    <w:p>
      <w:pPr>
        <w:spacing w:after="0" w:line="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Sale of Unregistered Securities</w:t>
      </w:r>
    </w:p>
    <w:p>
      <w:pPr>
        <w:spacing w:after="0" w:line="127"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did not engage in any sales of unregistered securities during the year ended September 30, 2020.</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15"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did not repurchase any of our common stock under our share repurchase plan during the year ended September 30, 2020.</w:t>
      </w:r>
    </w:p>
    <w:p>
      <w:pPr>
        <w:spacing w:after="0" w:line="121" w:lineRule="exact"/>
        <w:rPr>
          <w:sz w:val="20"/>
          <w:szCs w:val="20"/>
          <w:color w:val="auto"/>
        </w:rPr>
      </w:pPr>
    </w:p>
    <w:p>
      <w:pPr>
        <w:ind w:left="5101"/>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249" w:lineRule="exact"/>
        <w:rPr>
          <w:sz w:val="20"/>
          <w:szCs w:val="20"/>
          <w:color w:val="auto"/>
        </w:rPr>
      </w:pPr>
    </w:p>
    <w:p>
      <w:pPr>
        <w:ind w:left="1" w:right="160" w:firstLine="439"/>
        <w:spacing w:after="0" w:line="237" w:lineRule="auto"/>
        <w:rPr>
          <w:sz w:val="20"/>
          <w:szCs w:val="20"/>
          <w:color w:val="auto"/>
        </w:rPr>
      </w:pPr>
      <w:r>
        <w:rPr>
          <w:rFonts w:ascii="Times New Roman" w:cs="Times New Roman" w:eastAsia="Times New Roman" w:hAnsi="Times New Roman"/>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02" w:lineRule="exact"/>
        <w:rPr>
          <w:sz w:val="20"/>
          <w:szCs w:val="20"/>
          <w:color w:val="auto"/>
        </w:rPr>
      </w:pPr>
    </w:p>
    <w:p>
      <w:pPr>
        <w:ind w:left="1" w:right="500" w:firstLine="439"/>
        <w:spacing w:after="0" w:line="254" w:lineRule="auto"/>
        <w:rPr>
          <w:sz w:val="20"/>
          <w:szCs w:val="20"/>
          <w:color w:val="auto"/>
        </w:rPr>
      </w:pPr>
      <w:r>
        <w:rPr>
          <w:rFonts w:ascii="Times New Roman" w:cs="Times New Roman" w:eastAsia="Times New Roman" w:hAnsi="Times New Roman"/>
          <w:sz w:val="13"/>
          <w:szCs w:val="13"/>
          <w:color w:val="auto"/>
        </w:rPr>
        <w:t>In January 2021, a Form 1099-DIV will be sent to stockholders subject to information reporting that will state the amount and composition of distributions and provide information with respect to appropriate tax treatment of our distributions.</w:t>
      </w:r>
    </w:p>
    <w:p>
      <w:pPr>
        <w:spacing w:after="0" w:line="92" w:lineRule="exact"/>
        <w:rPr>
          <w:sz w:val="20"/>
          <w:szCs w:val="20"/>
          <w:color w:val="auto"/>
        </w:rPr>
      </w:pPr>
    </w:p>
    <w:p>
      <w:pPr>
        <w:ind w:left="1" w:right="20" w:firstLine="439"/>
        <w:spacing w:after="0" w:line="237" w:lineRule="auto"/>
        <w:rPr>
          <w:sz w:val="20"/>
          <w:szCs w:val="20"/>
          <w:color w:val="auto"/>
        </w:rPr>
      </w:pPr>
      <w:r>
        <w:rPr>
          <w:rFonts w:ascii="Times New Roman" w:cs="Times New Roman" w:eastAsia="Times New Roman" w:hAnsi="Times New Roman"/>
          <w:sz w:val="13"/>
          <w:szCs w:val="13"/>
          <w:color w:val="auto"/>
        </w:rPr>
        <w:t>The tax characteristics of distributions declared, in accordance with Section 19(a) of the 1940 Act, for both years ended September 30, 2020 and 2019 from ordinary income (including short-term gains), if any, totaled $44.2 million, or $1.14 per share, based on the weighted average shares outstanding for the respective periods. Additionally, for both years ended September 30, 2020 and 2019, we did not pay any distributions from long-term capital gains.</w:t>
      </w:r>
    </w:p>
    <w:p>
      <w:pPr>
        <w:spacing w:after="0" w:line="102" w:lineRule="exact"/>
        <w:rPr>
          <w:sz w:val="20"/>
          <w:szCs w:val="20"/>
          <w:color w:val="auto"/>
        </w:rPr>
      </w:pPr>
    </w:p>
    <w:p>
      <w:pPr>
        <w:ind w:left="1" w:firstLine="439"/>
        <w:spacing w:after="0" w:line="233"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36" w:name="page37"/>
    <w:bookmarkEnd w:id="36"/>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Stock Performance Graph</w:t>
      </w:r>
    </w:p>
    <w:p>
      <w:pPr>
        <w:spacing w:after="0" w:line="115" w:lineRule="exact"/>
        <w:rPr>
          <w:sz w:val="20"/>
          <w:szCs w:val="20"/>
          <w:color w:val="auto"/>
        </w:rPr>
      </w:pPr>
    </w:p>
    <w:p>
      <w:pPr>
        <w:ind w:left="1" w:firstLine="439"/>
        <w:spacing w:after="0" w:line="237" w:lineRule="auto"/>
        <w:rPr>
          <w:sz w:val="20"/>
          <w:szCs w:val="20"/>
          <w:color w:val="auto"/>
        </w:rPr>
      </w:pPr>
      <w:r>
        <w:rPr>
          <w:rFonts w:ascii="Times New Roman" w:cs="Times New Roman" w:eastAsia="Times New Roman" w:hAnsi="Times New Roman"/>
          <w:sz w:val="13"/>
          <w:szCs w:val="13"/>
          <w:color w:val="auto"/>
        </w:rPr>
        <w:t>This graph compares the return on our common stock with that of the Standard &amp; Poor’s 500 Stock Index and the Russell 2000 Financial Services Index, for the last five fiscal years. The graph assumes that, on September 30, 2015,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5428615" cy="3744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28615" cy="374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 w:right="180" w:firstLine="439"/>
        <w:spacing w:after="0" w:line="230" w:lineRule="auto"/>
        <w:rPr>
          <w:sz w:val="20"/>
          <w:szCs w:val="20"/>
          <w:color w:val="auto"/>
        </w:rPr>
      </w:pPr>
      <w:r>
        <w:rPr>
          <w:rFonts w:ascii="Times New Roman" w:cs="Times New Roman" w:eastAsia="Times New Roman" w:hAnsi="Times New Roman"/>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171" w:lineRule="exact"/>
        <w:rPr>
          <w:sz w:val="20"/>
          <w:szCs w:val="20"/>
          <w:color w:val="auto"/>
        </w:rPr>
      </w:pPr>
    </w:p>
    <w:p>
      <w:pPr>
        <w:ind w:left="1" w:right="100" w:firstLine="497"/>
        <w:spacing w:after="0" w:line="230" w:lineRule="auto"/>
        <w:rPr>
          <w:sz w:val="20"/>
          <w:szCs w:val="20"/>
          <w:color w:val="auto"/>
        </w:rPr>
      </w:pPr>
      <w:r>
        <w:rPr>
          <w:rFonts w:ascii="Times New Roman" w:cs="Times New Roman" w:eastAsia="Times New Roman" w:hAnsi="Times New Roman"/>
          <w:sz w:val="13"/>
          <w:szCs w:val="13"/>
          <w:color w:val="auto"/>
        </w:rPr>
        <w:t>The following table is being provided to update, as of September 30, 2020, certain information in our registration statement on Form N-2 (File No. 333-235532), most recently declared effective by the SEC on January 29, 2020. This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87"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8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9"/>
        </w:trPr>
        <w:tc>
          <w:tcPr>
            <w:tcW w:w="8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9"/>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Offering expenses (as a percentage of offering price)</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223"/>
        </w:trPr>
        <w:tc>
          <w:tcPr>
            <w:tcW w:w="8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stockholder expenses (as a percentage of offering price)</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Estimated annual expenses (as a percentage of average net assets attributable to common shares)</w:t>
            </w:r>
            <w:r>
              <w:rPr>
                <w:rFonts w:ascii="Times New Roman" w:cs="Times New Roman" w:eastAsia="Times New Roman" w:hAnsi="Times New Roman"/>
                <w:sz w:val="11"/>
                <w:szCs w:val="11"/>
                <w:b w:val="1"/>
                <w:bCs w:val="1"/>
                <w:color w:val="auto"/>
              </w:rPr>
              <w:t>(3)</w:t>
            </w:r>
          </w:p>
        </w:tc>
        <w:tc>
          <w:tcPr>
            <w:tcW w:w="2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49"/>
        </w:trPr>
        <w:tc>
          <w:tcPr>
            <w:tcW w:w="8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Management fees</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2.35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9"/>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49"/>
        </w:trPr>
        <w:tc>
          <w:tcPr>
            <w:tcW w:w="8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on borrowed funds</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5.63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9"/>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Acquired fund fees and expenses</w:t>
            </w:r>
          </w:p>
        </w:tc>
        <w:tc>
          <w:tcPr>
            <w:tcW w:w="2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4.92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49"/>
        </w:trPr>
        <w:tc>
          <w:tcPr>
            <w:tcW w:w="8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Other expenses</w:t>
            </w:r>
          </w:p>
        </w:tc>
        <w:tc>
          <w:tcPr>
            <w:tcW w:w="29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0.89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74"/>
        </w:trPr>
        <w:tc>
          <w:tcPr>
            <w:tcW w:w="8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estimated annual expenses</w:t>
            </w:r>
          </w:p>
        </w:tc>
        <w:tc>
          <w:tcPr>
            <w:tcW w:w="2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ind w:left="441" w:hanging="441"/>
        <w:spacing w:after="0" w:line="223" w:lineRule="auto"/>
        <w:tabs>
          <w:tab w:leader="none" w:pos="441" w:val="left"/>
        </w:tabs>
        <w:numPr>
          <w:ilvl w:val="0"/>
          <w:numId w:val="48"/>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In the event that the securities to which any applicable prospectus relates are sold to or through underwriters or agents, a corresponding prospectus supplement will disclose the applicable sales load.</w:t>
      </w:r>
    </w:p>
    <w:p>
      <w:pPr>
        <w:spacing w:after="0" w:line="91" w:lineRule="exact"/>
        <w:rPr>
          <w:rFonts w:ascii="Times New Roman" w:cs="Times New Roman" w:eastAsia="Times New Roman" w:hAnsi="Times New Roman"/>
          <w:sz w:val="18"/>
          <w:szCs w:val="18"/>
          <w:b w:val="1"/>
          <w:bCs w:val="1"/>
          <w:color w:val="auto"/>
          <w:vertAlign w:val="superscript"/>
        </w:rPr>
      </w:pPr>
    </w:p>
    <w:p>
      <w:pPr>
        <w:ind w:left="441" w:hanging="441"/>
        <w:spacing w:after="0" w:line="187" w:lineRule="auto"/>
        <w:tabs>
          <w:tab w:leader="none" w:pos="441" w:val="left"/>
        </w:tabs>
        <w:numPr>
          <w:ilvl w:val="0"/>
          <w:numId w:val="48"/>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0"/>
          <w:szCs w:val="10"/>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41" w:hanging="441"/>
        <w:spacing w:after="0" w:line="184" w:lineRule="auto"/>
        <w:tabs>
          <w:tab w:leader="none" w:pos="441" w:val="left"/>
        </w:tabs>
        <w:numPr>
          <w:ilvl w:val="0"/>
          <w:numId w:val="4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Net assets attributable to common shares equals average net assets for the fiscal year ended September 30, 2020.</w:t>
      </w:r>
    </w:p>
    <w:p>
      <w:pPr>
        <w:ind w:left="441" w:hanging="441"/>
        <w:spacing w:after="0" w:line="190" w:lineRule="auto"/>
        <w:tabs>
          <w:tab w:leader="none" w:pos="441" w:val="left"/>
        </w:tabs>
        <w:numPr>
          <w:ilvl w:val="0"/>
          <w:numId w:val="4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The contractual management fee is calculated at an annual rate of 1.00% of our average adjusted gross assets on September 30, 2020.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2" w:right="339" w:bottom="1440" w:gutter="0" w:footer="0" w:header="0"/>
        </w:sectPr>
      </w:pPr>
    </w:p>
    <w:bookmarkStart w:id="37" w:name="page38"/>
    <w:bookmarkEnd w:id="37"/>
    <w:p>
      <w:pPr>
        <w:ind w:left="441" w:hanging="441"/>
        <w:spacing w:after="0" w:line="207" w:lineRule="auto"/>
        <w:tabs>
          <w:tab w:leader="none" w:pos="441" w:val="left"/>
        </w:tabs>
        <w:numPr>
          <w:ilvl w:val="0"/>
          <w:numId w:val="4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portion of incentive fees paid with respect to net investment income and capital gains, if any, is based on actual amounts incurred during the fiscal year ended September 30, 2020.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w:t>
      </w:r>
    </w:p>
    <w:p>
      <w:pPr>
        <w:spacing w:after="0" w:line="1" w:lineRule="exact"/>
        <w:rPr>
          <w:rFonts w:ascii="Times New Roman" w:cs="Times New Roman" w:eastAsia="Times New Roman" w:hAnsi="Times New Roman"/>
          <w:sz w:val="18"/>
          <w:szCs w:val="18"/>
          <w:b w:val="1"/>
          <w:bCs w:val="1"/>
          <w:color w:val="auto"/>
          <w:vertAlign w:val="superscript"/>
        </w:rPr>
      </w:pPr>
    </w:p>
    <w:p>
      <w:pPr>
        <w:ind w:left="441"/>
        <w:spacing w:after="0" w:line="235" w:lineRule="auto"/>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2020. For more detailed information about the incentive fee, please see “Item 1. Business—Investment Management Agreement” and “Item 1. Business—Investment Advisory Fees”.</w:t>
      </w:r>
    </w:p>
    <w:p>
      <w:pPr>
        <w:ind w:left="441" w:right="40" w:hanging="441"/>
        <w:spacing w:after="0" w:line="202" w:lineRule="auto"/>
        <w:tabs>
          <w:tab w:leader="none" w:pos="441" w:val="left"/>
        </w:tabs>
        <w:numPr>
          <w:ilvl w:val="0"/>
          <w:numId w:val="4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As of September 30, 2020, we had $308.6 million in borrowings outstanding under our Credit Facility, $138.6 million outstanding under our 2023 Notes and $228.0 million outstanding under the 2031 Asset-Backed Debt. We may use proceeds of an offering of securities under any applicable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2020 and we caution you that our actual interest expense in the future will depend on prevailing interest rates and our rate of borrowing, which may be substantially higher than the amount provided in this table.</w:t>
      </w:r>
    </w:p>
    <w:p>
      <w:pPr>
        <w:spacing w:after="0" w:line="1" w:lineRule="exact"/>
        <w:rPr>
          <w:rFonts w:ascii="Times New Roman" w:cs="Times New Roman" w:eastAsia="Times New Roman" w:hAnsi="Times New Roman"/>
          <w:sz w:val="18"/>
          <w:szCs w:val="18"/>
          <w:b w:val="1"/>
          <w:bCs w:val="1"/>
          <w:color w:val="auto"/>
          <w:vertAlign w:val="superscript"/>
        </w:rPr>
      </w:pPr>
    </w:p>
    <w:p>
      <w:pPr>
        <w:jc w:val="both"/>
        <w:ind w:left="441" w:right="100" w:hanging="441"/>
        <w:spacing w:after="0" w:line="193" w:lineRule="auto"/>
        <w:tabs>
          <w:tab w:leader="none" w:pos="441" w:val="left"/>
        </w:tabs>
        <w:numPr>
          <w:ilvl w:val="0"/>
          <w:numId w:val="4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2020. Expenses for PSSL may fluctuate over time and may be substantially higher or lower in the future.</w:t>
      </w:r>
    </w:p>
    <w:p>
      <w:pPr>
        <w:spacing w:after="0" w:line="1" w:lineRule="exact"/>
        <w:rPr>
          <w:rFonts w:ascii="Times New Roman" w:cs="Times New Roman" w:eastAsia="Times New Roman" w:hAnsi="Times New Roman"/>
          <w:sz w:val="18"/>
          <w:szCs w:val="18"/>
          <w:b w:val="1"/>
          <w:bCs w:val="1"/>
          <w:color w:val="auto"/>
          <w:vertAlign w:val="superscript"/>
        </w:rPr>
      </w:pPr>
    </w:p>
    <w:p>
      <w:pPr>
        <w:ind w:left="441" w:right="520" w:hanging="441"/>
        <w:spacing w:after="0" w:line="191" w:lineRule="auto"/>
        <w:tabs>
          <w:tab w:leader="none" w:pos="441" w:val="left"/>
        </w:tabs>
        <w:numPr>
          <w:ilvl w:val="0"/>
          <w:numId w:val="49"/>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0"/>
          <w:szCs w:val="10"/>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based on estimated amounts for the current fiscal year.</w:t>
      </w:r>
    </w:p>
    <w:p>
      <w:pPr>
        <w:ind w:left="441" w:right="20" w:hanging="441"/>
        <w:spacing w:after="0" w:line="204" w:lineRule="auto"/>
        <w:tabs>
          <w:tab w:leader="none" w:pos="441" w:val="left"/>
        </w:tabs>
        <w:numPr>
          <w:ilvl w:val="0"/>
          <w:numId w:val="4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6.29% of average total assets.</w:t>
      </w:r>
    </w:p>
    <w:p>
      <w:pPr>
        <w:spacing w:after="0" w:line="1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Example</w:t>
      </w:r>
    </w:p>
    <w:p>
      <w:pPr>
        <w:spacing w:after="0" w:line="187" w:lineRule="exact"/>
        <w:rPr>
          <w:sz w:val="20"/>
          <w:szCs w:val="20"/>
          <w:color w:val="auto"/>
        </w:rPr>
      </w:pPr>
    </w:p>
    <w:p>
      <w:pPr>
        <w:ind w:left="1" w:right="180" w:firstLine="497"/>
        <w:spacing w:after="0" w:line="237" w:lineRule="auto"/>
        <w:rPr>
          <w:sz w:val="20"/>
          <w:szCs w:val="20"/>
          <w:color w:val="auto"/>
        </w:rPr>
      </w:pPr>
      <w:r>
        <w:rPr>
          <w:rFonts w:ascii="Times New Roman" w:cs="Times New Roman" w:eastAsia="Times New Roman" w:hAnsi="Times New Roman"/>
          <w:sz w:val="13"/>
          <w:szCs w:val="13"/>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13.79% of average net assets attributable to common shares as set forth in the table above (other than performance-based incentive fees) and (3) a 5% annual return.</w:t>
      </w:r>
    </w:p>
    <w:p>
      <w:pPr>
        <w:spacing w:after="0" w:line="14"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6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You would pay the following expenses on a $1,000 common stock investment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12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215"/>
        </w:trPr>
        <w:tc>
          <w:tcPr>
            <w:tcW w:w="65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Assuming a 5% annual return (assumes no return from net realized capital gains or net</w:t>
            </w:r>
          </w:p>
        </w:tc>
        <w:tc>
          <w:tcPr>
            <w:tcW w:w="18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86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spacing w:after="0"/>
              <w:rPr>
                <w:sz w:val="18"/>
                <w:szCs w:val="18"/>
                <w:color w:val="auto"/>
              </w:rPr>
            </w:pPr>
          </w:p>
        </w:tc>
      </w:tr>
      <w:tr>
        <w:trPr>
          <w:trHeight w:val="149"/>
        </w:trPr>
        <w:tc>
          <w:tcPr>
            <w:tcW w:w="65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unrealized capital appreciation)</w:t>
            </w:r>
          </w:p>
        </w:tc>
        <w:tc>
          <w:tcPr>
            <w:tcW w:w="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162</w:t>
            </w:r>
          </w:p>
        </w:tc>
        <w:tc>
          <w:tcPr>
            <w:tcW w:w="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384</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ind w:right="334"/>
              <w:spacing w:after="0"/>
              <w:rPr>
                <w:sz w:val="20"/>
                <w:szCs w:val="20"/>
                <w:color w:val="auto"/>
              </w:rPr>
            </w:pPr>
            <w:r>
              <w:rPr>
                <w:rFonts w:ascii="Times New Roman" w:cs="Times New Roman" w:eastAsia="Times New Roman" w:hAnsi="Times New Roman"/>
                <w:sz w:val="13"/>
                <w:szCs w:val="13"/>
                <w:color w:val="auto"/>
              </w:rPr>
              <w:t>569</w:t>
            </w: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ind w:right="354"/>
              <w:spacing w:after="0"/>
              <w:rPr>
                <w:sz w:val="20"/>
                <w:szCs w:val="20"/>
                <w:color w:val="auto"/>
              </w:rPr>
            </w:pPr>
            <w:r>
              <w:rPr>
                <w:rFonts w:ascii="Times New Roman" w:cs="Times New Roman" w:eastAsia="Times New Roman" w:hAnsi="Times New Roman"/>
                <w:sz w:val="13"/>
                <w:szCs w:val="13"/>
                <w:color w:val="auto"/>
              </w:rPr>
              <w:t>906</w:t>
            </w:r>
          </w:p>
        </w:tc>
      </w:tr>
      <w:tr>
        <w:trPr>
          <w:trHeight w:val="215"/>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Assuming a 5% annual return (assumes return only from realized capital gains and thus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2"/>
        </w:trPr>
        <w:tc>
          <w:tcPr>
            <w:tcW w:w="6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subject to the capital gains incentive fee)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171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404</w:t>
            </w:r>
          </w:p>
        </w:tc>
        <w:tc>
          <w:tcPr>
            <w:tcW w:w="16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593</w:t>
            </w:r>
          </w:p>
        </w:tc>
        <w:tc>
          <w:tcPr>
            <w:tcW w:w="1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927</w:t>
            </w:r>
          </w:p>
        </w:tc>
      </w:tr>
    </w:tbl>
    <w:p>
      <w:pPr>
        <w:spacing w:after="0" w:line="101" w:lineRule="exact"/>
        <w:rPr>
          <w:sz w:val="20"/>
          <w:szCs w:val="20"/>
          <w:color w:val="auto"/>
        </w:rPr>
      </w:pPr>
    </w:p>
    <w:p>
      <w:pPr>
        <w:ind w:left="1" w:firstLine="497"/>
        <w:spacing w:after="0" w:line="230" w:lineRule="auto"/>
        <w:rPr>
          <w:sz w:val="20"/>
          <w:szCs w:val="20"/>
          <w:color w:val="auto"/>
        </w:rPr>
      </w:pPr>
      <w:r>
        <w:rPr>
          <w:rFonts w:ascii="Times New Roman" w:cs="Times New Roman" w:eastAsia="Times New Roman" w:hAnsi="Times New Roman"/>
          <w:sz w:val="13"/>
          <w:szCs w:val="13"/>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31" w:right="339" w:bottom="1440" w:gutter="0" w:footer="0" w:header="0"/>
        </w:sectPr>
      </w:pPr>
    </w:p>
    <w:bookmarkStart w:id="38" w:name="page39"/>
    <w:bookmarkEnd w:id="38"/>
    <w:p>
      <w:pPr>
        <w:ind w:left="1"/>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Selected Financial Data</w:t>
      </w:r>
    </w:p>
    <w:p>
      <w:pPr>
        <w:spacing w:after="0" w:line="125" w:lineRule="exact"/>
        <w:rPr>
          <w:sz w:val="20"/>
          <w:szCs w:val="20"/>
          <w:color w:val="auto"/>
        </w:rPr>
      </w:pPr>
    </w:p>
    <w:p>
      <w:pPr>
        <w:ind w:left="1" w:right="120" w:firstLine="439"/>
        <w:spacing w:after="0" w:line="237" w:lineRule="auto"/>
        <w:rPr>
          <w:sz w:val="20"/>
          <w:szCs w:val="20"/>
          <w:color w:val="auto"/>
        </w:rPr>
      </w:pPr>
      <w:r>
        <w:rPr>
          <w:rFonts w:ascii="Times New Roman" w:cs="Times New Roman" w:eastAsia="Times New Roman" w:hAnsi="Times New Roman"/>
          <w:sz w:val="13"/>
          <w:szCs w:val="13"/>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For the years ended September 30,</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4080" w:type="dxa"/>
            <w:vAlign w:val="bottom"/>
            <w:tcBorders>
              <w:bottom w:val="single" w:sz="8" w:color="CCECFF"/>
            </w:tcBorders>
          </w:tcPr>
          <w:p>
            <w:pPr>
              <w:spacing w:after="0"/>
              <w:rPr>
                <w:sz w:val="12"/>
                <w:szCs w:val="12"/>
                <w:color w:val="auto"/>
              </w:rPr>
            </w:pPr>
          </w:p>
        </w:tc>
        <w:tc>
          <w:tcPr>
            <w:tcW w:w="98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28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220" w:type="dxa"/>
            <w:vAlign w:val="bottom"/>
            <w:tcBorders>
              <w:bottom w:val="single" w:sz="8" w:color="CCECFF"/>
            </w:tcBorders>
          </w:tcPr>
          <w:p>
            <w:pPr>
              <w:spacing w:after="0"/>
              <w:rPr>
                <w:sz w:val="12"/>
                <w:szCs w:val="12"/>
                <w:color w:val="auto"/>
              </w:rPr>
            </w:pPr>
          </w:p>
        </w:tc>
        <w:tc>
          <w:tcPr>
            <w:tcW w:w="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1" w:lineRule="exact"/>
              <w:rPr>
                <w:sz w:val="20"/>
                <w:szCs w:val="20"/>
                <w:color w:val="auto"/>
              </w:rPr>
            </w:pPr>
            <w:r>
              <w:rPr>
                <w:rFonts w:ascii="Times New Roman" w:cs="Times New Roman" w:eastAsia="Times New Roman" w:hAnsi="Times New Roman"/>
                <w:sz w:val="13"/>
                <w:szCs w:val="13"/>
                <w:b w:val="1"/>
                <w:bCs w:val="1"/>
                <w:color w:val="auto"/>
              </w:rPr>
              <w:t>2017</w:t>
            </w:r>
          </w:p>
        </w:tc>
        <w:tc>
          <w:tcPr>
            <w:tcW w:w="180" w:type="dxa"/>
            <w:vAlign w:val="bottom"/>
            <w:tcBorders>
              <w:bottom w:val="single" w:sz="8" w:color="CCECFF"/>
            </w:tcBorders>
          </w:tcPr>
          <w:p>
            <w:pPr>
              <w:spacing w:after="0"/>
              <w:rPr>
                <w:sz w:val="12"/>
                <w:szCs w:val="12"/>
                <w:color w:val="auto"/>
              </w:rPr>
            </w:pPr>
          </w:p>
        </w:tc>
        <w:tc>
          <w:tcPr>
            <w:tcW w:w="6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1" w:lineRule="exact"/>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CECFF"/>
            </w:tcBorders>
          </w:tcPr>
          <w:p>
            <w:pPr>
              <w:spacing w:after="0"/>
              <w:rPr>
                <w:sz w:val="12"/>
                <w:szCs w:val="12"/>
                <w:color w:val="auto"/>
              </w:rPr>
            </w:pPr>
          </w:p>
        </w:tc>
      </w:tr>
      <w:tr>
        <w:trPr>
          <w:trHeight w:val="141"/>
        </w:trPr>
        <w:tc>
          <w:tcPr>
            <w:tcW w:w="408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(Dollar amounts in thousands, except per share data)</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investment income</w:t>
            </w:r>
          </w:p>
        </w:tc>
        <w:tc>
          <w:tcPr>
            <w:tcW w:w="12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95,486</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92,947</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72,205</w:t>
            </w:r>
          </w:p>
        </w:tc>
        <w:tc>
          <w:tcPr>
            <w:tcW w:w="22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59,497</w:t>
            </w:r>
          </w:p>
        </w:tc>
        <w:tc>
          <w:tcPr>
            <w:tcW w:w="180" w:type="dxa"/>
            <w:vAlign w:val="bottom"/>
            <w:shd w:val="clear" w:color="auto" w:fill="CCECFF"/>
          </w:tcPr>
          <w:p>
            <w:pPr>
              <w:spacing w:after="0"/>
              <w:rPr>
                <w:sz w:val="12"/>
                <w:szCs w:val="12"/>
                <w:color w:val="auto"/>
              </w:rPr>
            </w:pPr>
          </w:p>
        </w:tc>
        <w:tc>
          <w:tcPr>
            <w:tcW w:w="2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46,301</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Total expenses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41,241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18,965</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43,385</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45,462</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30,964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33,445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27,336</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and unrealized (loss) gain</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(24,972)</w:t>
            </w:r>
          </w:p>
        </w:tc>
        <w:tc>
          <w:tcPr>
            <w:tcW w:w="2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(34,046)</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6,153</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18,413</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11,416</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33,490</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36,325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33,489</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asset value</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1"/>
                <w:szCs w:val="11"/>
                <w:color w:val="auto"/>
              </w:rPr>
              <w:t>(1)</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Net realized and unrealized (loss) gain </w:t>
            </w:r>
            <w:r>
              <w:rPr>
                <w:rFonts w:ascii="Times New Roman" w:cs="Times New Roman" w:eastAsia="Times New Roman" w:hAnsi="Times New Roman"/>
                <w:sz w:val="11"/>
                <w:szCs w:val="11"/>
                <w:color w:val="auto"/>
              </w:rPr>
              <w:t>(1)</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(0.65)</w:t>
            </w:r>
          </w:p>
        </w:tc>
        <w:tc>
          <w:tcPr>
            <w:tcW w:w="2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(0.88)</w:t>
            </w: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increase in net assets resulting from operations </w:t>
            </w:r>
            <w:r>
              <w:rPr>
                <w:rFonts w:ascii="Times New Roman" w:cs="Times New Roman" w:eastAsia="Times New Roman" w:hAnsi="Times New Roman"/>
                <w:sz w:val="11"/>
                <w:szCs w:val="11"/>
                <w:color w:val="auto"/>
              </w:rPr>
              <w:t>(1)</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Distributions declared </w:t>
            </w:r>
            <w:r>
              <w:rPr>
                <w:rFonts w:ascii="Times New Roman" w:cs="Times New Roman" w:eastAsia="Times New Roman" w:hAnsi="Times New Roman"/>
                <w:sz w:val="11"/>
                <w:szCs w:val="11"/>
                <w:color w:val="auto"/>
              </w:rPr>
              <w:t>(1), (2)</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 data:</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1,148,287</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1,152,376</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1,076,443</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747,345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631,420</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 portfolio</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1,086,928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1,081,707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1,000,613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710,499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598,888</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Debt payable </w:t>
            </w:r>
            <w:r>
              <w:rPr>
                <w:rFonts w:ascii="Times New Roman" w:cs="Times New Roman" w:eastAsia="Times New Roman" w:hAnsi="Times New Roman"/>
                <w:sz w:val="11"/>
                <w:szCs w:val="11"/>
                <w:color w:val="auto"/>
              </w:rPr>
              <w:t>(3)</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653,209</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623,551</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467,632</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256,858</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232,389</w:t>
            </w: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Total net asset value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477,270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503,058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535,842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457,906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375,907</w:t>
            </w:r>
          </w:p>
        </w:tc>
        <w:tc>
          <w:tcPr>
            <w:tcW w:w="120" w:type="dxa"/>
            <w:vAlign w:val="bottom"/>
          </w:tcPr>
          <w:p>
            <w:pPr>
              <w:spacing w:after="0"/>
              <w:rPr>
                <w:sz w:val="12"/>
                <w:szCs w:val="12"/>
                <w:color w:val="auto"/>
              </w:rPr>
            </w:pP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Other data:</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Total return </w:t>
            </w:r>
            <w:r>
              <w:rPr>
                <w:rFonts w:ascii="Times New Roman" w:cs="Times New Roman" w:eastAsia="Times New Roman" w:hAnsi="Times New Roman"/>
                <w:sz w:val="11"/>
                <w:szCs w:val="11"/>
                <w:color w:val="auto"/>
              </w:rPr>
              <w:t>(4)</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(17.15)%</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18.71%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21.77%</w:t>
            </w:r>
          </w:p>
        </w:tc>
      </w:tr>
      <w:tr>
        <w:trPr>
          <w:trHeight w:val="149"/>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Number of portfolio companies </w:t>
            </w:r>
            <w:r>
              <w:rPr>
                <w:rFonts w:ascii="Times New Roman" w:cs="Times New Roman" w:eastAsia="Times New Roman" w:hAnsi="Times New Roman"/>
                <w:sz w:val="11"/>
                <w:szCs w:val="11"/>
                <w:color w:val="auto"/>
              </w:rPr>
              <w:t>(5)</w:t>
            </w: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CFF"/>
          </w:tcPr>
          <w:p>
            <w:pPr>
              <w:spacing w:after="0"/>
              <w:rPr>
                <w:sz w:val="12"/>
                <w:szCs w:val="12"/>
                <w:color w:val="auto"/>
              </w:rPr>
            </w:pPr>
          </w:p>
        </w:tc>
      </w:tr>
      <w:tr>
        <w:trPr>
          <w:trHeight w:val="172"/>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Yield on debt portfolio </w:t>
            </w:r>
            <w:r>
              <w:rPr>
                <w:rFonts w:ascii="Times New Roman" w:cs="Times New Roman" w:eastAsia="Times New Roman" w:hAnsi="Times New Roman"/>
                <w:sz w:val="11"/>
                <w:szCs w:val="11"/>
                <w:color w:val="auto"/>
              </w:rPr>
              <w:t>(5)</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2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3455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361" w:hanging="361"/>
        <w:spacing w:after="0" w:line="235" w:lineRule="auto"/>
        <w:tabs>
          <w:tab w:leader="none" w:pos="361" w:val="left"/>
        </w:tabs>
        <w:numPr>
          <w:ilvl w:val="0"/>
          <w:numId w:val="50"/>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61" w:right="300" w:hanging="361"/>
        <w:spacing w:after="0"/>
        <w:tabs>
          <w:tab w:leader="none" w:pos="361" w:val="left"/>
        </w:tabs>
        <w:numPr>
          <w:ilvl w:val="0"/>
          <w:numId w:val="50"/>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0"/>
          <w:szCs w:val="10"/>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spacing w:after="0" w:line="52" w:lineRule="exact"/>
        <w:rPr>
          <w:rFonts w:ascii="Times New Roman" w:cs="Times New Roman" w:eastAsia="Times New Roman" w:hAnsi="Times New Roman"/>
          <w:sz w:val="17"/>
          <w:szCs w:val="17"/>
          <w:b w:val="1"/>
          <w:bCs w:val="1"/>
          <w:color w:val="auto"/>
          <w:vertAlign w:val="superscript"/>
        </w:rPr>
      </w:pPr>
    </w:p>
    <w:p>
      <w:pPr>
        <w:ind w:left="361" w:hanging="361"/>
        <w:spacing w:after="0" w:line="184" w:lineRule="auto"/>
        <w:tabs>
          <w:tab w:leader="none" w:pos="361" w:val="left"/>
        </w:tabs>
        <w:numPr>
          <w:ilvl w:val="0"/>
          <w:numId w:val="50"/>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At fair value, excluding the 2031 Asset-Backed Debt.</w:t>
      </w:r>
    </w:p>
    <w:p>
      <w:pPr>
        <w:ind w:left="361" w:hanging="361"/>
        <w:spacing w:after="0" w:line="184" w:lineRule="auto"/>
        <w:tabs>
          <w:tab w:leader="none" w:pos="361" w:val="left"/>
        </w:tabs>
        <w:numPr>
          <w:ilvl w:val="0"/>
          <w:numId w:val="50"/>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Based on the change in market price per share during the periods and takes into account distributions, if any, reinvested in accordance with our dividend reinvestment plan, which was terminated on November 22, 2017.</w:t>
      </w:r>
    </w:p>
    <w:p>
      <w:pPr>
        <w:ind w:left="361" w:hanging="361"/>
        <w:spacing w:after="0" w:line="190" w:lineRule="auto"/>
        <w:tabs>
          <w:tab w:leader="none" w:pos="361" w:val="left"/>
        </w:tabs>
        <w:numPr>
          <w:ilvl w:val="0"/>
          <w:numId w:val="50"/>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Unaudited, at year end.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39" w:name="page40"/>
    <w:bookmarkEnd w:id="39"/>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13"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2" w:lineRule="exact"/>
        <w:rPr>
          <w:sz w:val="20"/>
          <w:szCs w:val="20"/>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operating results;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prospects and the prospects of our prospective portfolio companies, including as a result of the current pandemic caused by COVID-19;</w:t>
      </w:r>
    </w:p>
    <w:p>
      <w:pPr>
        <w:spacing w:after="0" w:line="123" w:lineRule="exact"/>
        <w:rPr>
          <w:rFonts w:ascii="Times New Roman" w:cs="Times New Roman" w:eastAsia="Times New Roman" w:hAnsi="Times New Roman"/>
          <w:sz w:val="13"/>
          <w:szCs w:val="13"/>
          <w:color w:val="auto"/>
        </w:rPr>
      </w:pPr>
    </w:p>
    <w:p>
      <w:pPr>
        <w:ind w:left="720" w:right="320" w:hanging="362"/>
        <w:spacing w:after="0" w:line="254" w:lineRule="auto"/>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92"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continue to effectively manage our business due to the significant disruptions caused by the current COVID-19 pandemic;</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investments that we expect to make;</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expected financings and investments and ability to fund capital commitments to PSSL;</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adequacy of our cash resources and working capital;</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future legislation and regulation on our business and our portfolio companies; and</w:t>
      </w:r>
    </w:p>
    <w:p>
      <w:pPr>
        <w:spacing w:after="0" w:line="123" w:lineRule="exact"/>
        <w:rPr>
          <w:rFonts w:ascii="Times New Roman" w:cs="Times New Roman" w:eastAsia="Times New Roman" w:hAnsi="Times New Roman"/>
          <w:sz w:val="13"/>
          <w:szCs w:val="13"/>
          <w:color w:val="auto"/>
        </w:rPr>
      </w:pPr>
    </w:p>
    <w:p>
      <w:pPr>
        <w:ind w:left="720" w:hanging="362"/>
        <w:spacing w:after="0"/>
        <w:tabs>
          <w:tab w:leader="none" w:pos="7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the Brexit and other world economic and political issues.</w:t>
      </w:r>
    </w:p>
    <w:p>
      <w:pPr>
        <w:spacing w:after="0" w:line="123"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246"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89" w:lineRule="exact"/>
        <w:rPr>
          <w:sz w:val="20"/>
          <w:szCs w:val="20"/>
          <w:color w:val="auto"/>
        </w:rPr>
      </w:pPr>
    </w:p>
    <w:p>
      <w:pPr>
        <w:ind w:right="180" w:firstLine="439"/>
        <w:spacing w:after="0" w:line="237"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2"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2" w:lineRule="exact"/>
        <w:rPr>
          <w:sz w:val="20"/>
          <w:szCs w:val="20"/>
          <w:color w:val="auto"/>
        </w:rPr>
      </w:pPr>
    </w:p>
    <w:p>
      <w:pPr>
        <w:ind w:right="180" w:firstLine="439"/>
        <w:spacing w:after="0" w:line="254"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27"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92" w:lineRule="exact"/>
        <w:rPr>
          <w:sz w:val="20"/>
          <w:szCs w:val="20"/>
          <w:color w:val="auto"/>
        </w:rPr>
      </w:pPr>
    </w:p>
    <w:p>
      <w:pPr>
        <w:ind w:firstLine="439"/>
        <w:spacing w:after="0" w:line="228"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89" w:lineRule="exact"/>
        <w:rPr>
          <w:sz w:val="20"/>
          <w:szCs w:val="20"/>
          <w:color w:val="auto"/>
        </w:rPr>
      </w:pPr>
    </w:p>
    <w:p>
      <w:pPr>
        <w:ind w:right="20" w:firstLine="439"/>
        <w:spacing w:after="0" w:line="237"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27"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0"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COVID-19 Developments</w:t>
      </w:r>
    </w:p>
    <w:p>
      <w:pPr>
        <w:spacing w:after="0" w:line="127" w:lineRule="exact"/>
        <w:rPr>
          <w:sz w:val="20"/>
          <w:szCs w:val="20"/>
          <w:color w:val="auto"/>
        </w:rPr>
      </w:pPr>
    </w:p>
    <w:p>
      <w:pPr>
        <w:ind w:firstLine="439"/>
        <w:spacing w:after="0" w:line="226" w:lineRule="auto"/>
        <w:rPr>
          <w:sz w:val="20"/>
          <w:szCs w:val="20"/>
          <w:color w:val="auto"/>
        </w:rPr>
      </w:pPr>
      <w:r>
        <w:rPr>
          <w:rFonts w:ascii="Times New Roman" w:cs="Times New Roman" w:eastAsia="Times New Roman" w:hAnsi="Times New Roman"/>
          <w:sz w:val="13"/>
          <w:szCs w:val="13"/>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it is possible that a resurgence of COVID-19 will require additional closures in the future.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05" w:lineRule="exact"/>
        <w:rPr>
          <w:sz w:val="20"/>
          <w:szCs w:val="20"/>
          <w:color w:val="auto"/>
        </w:rPr>
      </w:pPr>
    </w:p>
    <w:p>
      <w:pPr>
        <w:ind w:right="160" w:firstLine="439"/>
        <w:spacing w:after="0" w:line="233" w:lineRule="auto"/>
        <w:rPr>
          <w:sz w:val="20"/>
          <w:szCs w:val="20"/>
          <w:color w:val="auto"/>
        </w:rPr>
      </w:pPr>
      <w:r>
        <w:rPr>
          <w:rFonts w:ascii="Times New Roman" w:cs="Times New Roman" w:eastAsia="Times New Roman" w:hAnsi="Times New Roman"/>
          <w:sz w:val="13"/>
          <w:szCs w:val="13"/>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01" w:lineRule="exact"/>
        <w:rPr>
          <w:sz w:val="20"/>
          <w:szCs w:val="20"/>
          <w:color w:val="auto"/>
        </w:rPr>
      </w:pPr>
    </w:p>
    <w:p>
      <w:pPr>
        <w:ind w:right="160" w:firstLine="439"/>
        <w:spacing w:after="0" w:line="266" w:lineRule="auto"/>
        <w:rPr>
          <w:sz w:val="20"/>
          <w:szCs w:val="20"/>
          <w:color w:val="auto"/>
        </w:rPr>
      </w:pPr>
      <w:r>
        <w:rPr>
          <w:rFonts w:ascii="Times New Roman" w:cs="Times New Roman" w:eastAsia="Times New Roman" w:hAnsi="Times New Roman"/>
          <w:sz w:val="12"/>
          <w:szCs w:val="12"/>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86" w:lineRule="exact"/>
        <w:rPr>
          <w:sz w:val="20"/>
          <w:szCs w:val="20"/>
          <w:color w:val="auto"/>
        </w:rPr>
      </w:pPr>
    </w:p>
    <w:p>
      <w:pPr>
        <w:ind w:left="800" w:hanging="367"/>
        <w:spacing w:after="0"/>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economic slowdowns;</w:t>
      </w:r>
    </w:p>
    <w:p>
      <w:pPr>
        <w:ind w:left="800" w:hanging="367"/>
        <w:spacing w:after="0" w:line="218" w:lineRule="auto"/>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interest rates, including LIBOR;</w:t>
      </w:r>
    </w:p>
    <w:p>
      <w:pPr>
        <w:ind w:left="800" w:hanging="367"/>
        <w:spacing w:after="0" w:line="218" w:lineRule="auto"/>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availability of credit, both in the United States and internationally;</w:t>
      </w:r>
    </w:p>
    <w:p>
      <w:pPr>
        <w:ind w:left="800" w:hanging="367"/>
        <w:spacing w:after="0" w:line="218" w:lineRule="auto"/>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disruptions to supply-chains and price volatility;</w:t>
      </w:r>
    </w:p>
    <w:p>
      <w:pPr>
        <w:ind w:left="800" w:hanging="367"/>
        <w:spacing w:after="0" w:line="218" w:lineRule="auto"/>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existing laws and regulations, or the imposition of new laws and regulations; and</w:t>
      </w:r>
    </w:p>
    <w:p>
      <w:pPr>
        <w:ind w:left="800" w:hanging="367"/>
        <w:spacing w:after="0"/>
        <w:tabs>
          <w:tab w:leader="none" w:pos="8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uncertainty regarding future governmental and regulatory policies.</w:t>
      </w:r>
    </w:p>
    <w:p>
      <w:pPr>
        <w:spacing w:after="0" w:line="109" w:lineRule="exact"/>
        <w:rPr>
          <w:sz w:val="20"/>
          <w:szCs w:val="20"/>
          <w:color w:val="auto"/>
        </w:rPr>
      </w:pPr>
    </w:p>
    <w:p>
      <w:pPr>
        <w:ind w:right="180" w:firstLine="439"/>
        <w:spacing w:after="0" w:line="228" w:lineRule="auto"/>
        <w:rPr>
          <w:sz w:val="20"/>
          <w:szCs w:val="20"/>
          <w:color w:val="auto"/>
        </w:rPr>
      </w:pPr>
      <w:r>
        <w:rPr>
          <w:rFonts w:ascii="Times New Roman" w:cs="Times New Roman" w:eastAsia="Times New Roman" w:hAnsi="Times New Roman"/>
          <w:sz w:val="13"/>
          <w:szCs w:val="13"/>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September 30, 2020, we had three portfolio companies on non-accrual status, and the continuing impact of the COVID-19 pandemic may result in additional portfolio investments being placed on non-accrual status in the future.</w:t>
      </w:r>
    </w:p>
    <w:p>
      <w:pPr>
        <w:spacing w:after="0" w:line="102" w:lineRule="exact"/>
        <w:rPr>
          <w:sz w:val="20"/>
          <w:szCs w:val="20"/>
          <w:color w:val="auto"/>
        </w:rPr>
      </w:pPr>
    </w:p>
    <w:p>
      <w:pPr>
        <w:ind w:right="100" w:firstLine="439"/>
        <w:spacing w:after="0" w:line="230" w:lineRule="auto"/>
        <w:rPr>
          <w:sz w:val="20"/>
          <w:szCs w:val="20"/>
          <w:color w:val="auto"/>
        </w:rPr>
      </w:pPr>
      <w:r>
        <w:rPr>
          <w:rFonts w:ascii="Times New Roman" w:cs="Times New Roman" w:eastAsia="Times New Roman" w:hAnsi="Times New Roman"/>
          <w:sz w:val="13"/>
          <w:szCs w:val="13"/>
          <w:color w:val="auto"/>
        </w:rPr>
        <w:t>We have had a significant reduction in our net asset value as of September 30, 2020 as compared to our net asset value as of September 30, 2019, which was primarily due to the immediate adverse economic effects of the COVID-19 pandemic, the continuing uncertainty surrounding its long-term impact as well as the re-pricing of credit risk in the broadly syndicated credit market. The decrease in net asset value as of September 30, 2020 as compared to prior year primarily resulted from a decrease in the fair value of some of our portfolio company investments, which led to an increase in unrealized depreciation in respect of our portfolio company investments. In addition, our investment valuations are inherently less certain than they would be absent the impact of the COVID-19 pandemic and related market volatility and the values assigned as of this date may materially differ from the values that may ultimately be realized.</w:t>
      </w:r>
    </w:p>
    <w:p>
      <w:pPr>
        <w:spacing w:after="0" w:line="101"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Additionally, as of September 30, 2020 and 2019, our asset coverage ratio, as computed in accordance with the 1940 Act, was 168% and 179%, respectively. Our Credit Facility includes standard covenants and events of default provisions. If we fail to make payments required under such facility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01" w:lineRule="exact"/>
        <w:rPr>
          <w:sz w:val="20"/>
          <w:szCs w:val="20"/>
          <w:color w:val="auto"/>
        </w:rPr>
      </w:pPr>
    </w:p>
    <w:p>
      <w:pPr>
        <w:ind w:right="120" w:firstLine="439"/>
        <w:spacing w:after="0" w:line="228" w:lineRule="auto"/>
        <w:rPr>
          <w:sz w:val="20"/>
          <w:szCs w:val="20"/>
          <w:color w:val="auto"/>
        </w:rPr>
      </w:pPr>
      <w:r>
        <w:rPr>
          <w:rFonts w:ascii="Times New Roman" w:cs="Times New Roman" w:eastAsia="Times New Roman" w:hAnsi="Times New Roman"/>
          <w:sz w:val="13"/>
          <w:szCs w:val="13"/>
          <w:color w:val="auto"/>
        </w:rPr>
        <w:t>We are also subject to financial risks, including changes in market interest rates. As of September 30, 2020,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41" w:name="page42"/>
    <w:bookmarkEnd w:id="41"/>
    <w:p>
      <w:pPr>
        <w:ind w:right="340"/>
        <w:spacing w:after="0" w:line="254" w:lineRule="auto"/>
        <w:rPr>
          <w:sz w:val="20"/>
          <w:szCs w:val="20"/>
          <w:color w:val="auto"/>
        </w:rPr>
      </w:pPr>
      <w:r>
        <w:rPr>
          <w:rFonts w:ascii="Times New Roman" w:cs="Times New Roman" w:eastAsia="Times New Roman" w:hAnsi="Times New Roman"/>
          <w:sz w:val="13"/>
          <w:szCs w:val="13"/>
          <w:color w:val="auto"/>
        </w:rPr>
        <w:t>the spread over LIBOR that we earn on such loans or a decrease in the interest rate of our floating interest rate liabilities tied to LIBOR. See “Item 7A. Quantitative and Qualitative Disclosures About Market Risk” below.</w:t>
      </w:r>
    </w:p>
    <w:p>
      <w:pPr>
        <w:spacing w:after="0" w:line="92" w:lineRule="exact"/>
        <w:rPr>
          <w:sz w:val="20"/>
          <w:szCs w:val="20"/>
          <w:color w:val="auto"/>
        </w:rPr>
      </w:pPr>
    </w:p>
    <w:p>
      <w:pPr>
        <w:ind w:firstLine="497"/>
        <w:spacing w:after="0" w:line="233" w:lineRule="auto"/>
        <w:rPr>
          <w:sz w:val="20"/>
          <w:szCs w:val="20"/>
          <w:color w:val="auto"/>
        </w:rPr>
      </w:pPr>
      <w:r>
        <w:rPr>
          <w:rFonts w:ascii="Times New Roman" w:cs="Times New Roman" w:eastAsia="Times New Roman" w:hAnsi="Times New Roman"/>
          <w:sz w:val="13"/>
          <w:szCs w:val="13"/>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15" w:lineRule="exact"/>
        <w:rPr>
          <w:sz w:val="20"/>
          <w:szCs w:val="20"/>
          <w:color w:val="auto"/>
        </w:rPr>
      </w:pPr>
    </w:p>
    <w:p>
      <w:pPr>
        <w:ind w:right="100" w:firstLine="439"/>
        <w:spacing w:after="0" w:line="225"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89" w:lineRule="exact"/>
        <w:rPr>
          <w:sz w:val="20"/>
          <w:szCs w:val="20"/>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23" w:lineRule="exact"/>
        <w:rPr>
          <w:rFonts w:ascii="Times New Roman" w:cs="Times New Roman" w:eastAsia="Times New Roman" w:hAnsi="Times New Roman"/>
          <w:sz w:val="13"/>
          <w:szCs w:val="13"/>
          <w:color w:val="auto"/>
        </w:rPr>
      </w:pPr>
    </w:p>
    <w:p>
      <w:pPr>
        <w:ind w:left="900" w:right="140" w:hanging="356"/>
        <w:spacing w:after="0" w:line="254"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incurred by the Investment Adviser in performing due diligence and reviews of investments;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agent and custodial fees;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associated with marketing efforts;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state, local and foreign taxes;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independent directors’ fees and expenses;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brokerage commissions;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23" w:lineRule="exact"/>
        <w:rPr>
          <w:rFonts w:ascii="Times New Roman" w:cs="Times New Roman" w:eastAsia="Times New Roman" w:hAnsi="Times New Roman"/>
          <w:sz w:val="13"/>
          <w:szCs w:val="13"/>
          <w:color w:val="auto"/>
        </w:rPr>
      </w:pPr>
    </w:p>
    <w:p>
      <w:pPr>
        <w:ind w:left="900" w:right="80" w:hanging="356"/>
        <w:spacing w:after="0" w:line="237"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Incentive fees, interest expense and costs relating to future offerings of securities would be additive to the expenses described above.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13"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As of September 30, 2020, our portfolio totaled $1,086.9 million and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01"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01"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For the year ended September 30, 2020, we invested $436.7 million in 19 new and 95 existing portfolio companies with a weighted average yield on debt investments of 8.0%. Sales and repayments of investments for the same period totaled $396.9 million.</w:t>
      </w:r>
    </w:p>
    <w:p>
      <w:pPr>
        <w:spacing w:after="0" w:line="80"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3"/>
          <w:szCs w:val="13"/>
          <w:color w:val="auto"/>
        </w:rPr>
        <w:t>For the year ended September 30, 2019, we invested $640.1 million in 28 new and 83 existing portfolio companies with a weighted average yield on debt investments of 8.8%. Sales and repayments of investments for the same period totaled $527.3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As of September 30, 2020, PSSL’s portfolio totaled $393.0 million, consisted of 45 companies with an average investment size of $8.7 million and had a weighted average yield on debt investments of</w:t>
      </w:r>
    </w:p>
    <w:p>
      <w:pPr>
        <w:spacing w:after="0" w:line="220" w:lineRule="auto"/>
        <w:rPr>
          <w:sz w:val="20"/>
          <w:szCs w:val="20"/>
          <w:color w:val="auto"/>
        </w:rPr>
      </w:pPr>
      <w:r>
        <w:rPr>
          <w:rFonts w:ascii="Times New Roman" w:cs="Times New Roman" w:eastAsia="Times New Roman" w:hAnsi="Times New Roman"/>
          <w:sz w:val="13"/>
          <w:szCs w:val="13"/>
          <w:color w:val="auto"/>
        </w:rPr>
        <w:t>6.8%. As of September 30, 2019, PSSL’s portfolio totaled $488.5 million, consisted of 45 companies with an average investment size of $10.9 million and had a weighted average yield on debt investments of</w:t>
      </w:r>
    </w:p>
    <w:p>
      <w:pPr>
        <w:spacing w:after="0"/>
        <w:rPr>
          <w:sz w:val="20"/>
          <w:szCs w:val="20"/>
          <w:color w:val="auto"/>
        </w:rPr>
      </w:pPr>
      <w:r>
        <w:rPr>
          <w:rFonts w:ascii="Times New Roman" w:cs="Times New Roman" w:eastAsia="Times New Roman" w:hAnsi="Times New Roman"/>
          <w:sz w:val="13"/>
          <w:szCs w:val="13"/>
          <w:color w:val="auto"/>
        </w:rPr>
        <w:t>7.6%.</w:t>
      </w:r>
    </w:p>
    <w:p>
      <w:pPr>
        <w:spacing w:after="0" w:line="109"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3"/>
          <w:szCs w:val="13"/>
          <w:color w:val="auto"/>
        </w:rPr>
        <w:t>For the year ended September 30, 2020, PSSL invested $87.1 million (of which $86.7 million was purchased from the Company) in 11 new and two existing portfolio companies with a weighted average yield on debt investments of 7.4%. PSSL’s sales and repayments of investments for the same period totaled $172.6 million.</w:t>
      </w:r>
    </w:p>
    <w:p>
      <w:pPr>
        <w:spacing w:after="0" w:line="92"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3"/>
          <w:szCs w:val="13"/>
          <w:color w:val="auto"/>
        </w:rPr>
        <w:t>For the year ended September 30, 2019, PSSL invested $228.6 million (of which $89.6 million was purchased from the Company) in 16 new and 16 existing portfolio companies with a weighted average yield on debt investments of 8.1%. PSSL’s sales and repayments of investments for the same period totaled $159.9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w:t>
      </w:r>
    </w:p>
    <w:p>
      <w:pPr>
        <w:spacing w:after="0" w:line="125" w:lineRule="exact"/>
        <w:rPr>
          <w:sz w:val="20"/>
          <w:szCs w:val="20"/>
          <w:color w:val="auto"/>
        </w:rPr>
      </w:pPr>
    </w:p>
    <w:p>
      <w:pPr>
        <w:ind w:right="40" w:firstLine="439"/>
        <w:spacing w:after="0" w:line="228"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27"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3" w:lineRule="exact"/>
        <w:rPr>
          <w:sz w:val="20"/>
          <w:szCs w:val="20"/>
          <w:color w:val="auto"/>
        </w:rPr>
      </w:pPr>
    </w:p>
    <w:p>
      <w:pPr>
        <w:ind w:right="480" w:firstLine="439"/>
        <w:spacing w:after="0" w:line="254"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0" w:lineRule="exact"/>
        <w:rPr>
          <w:sz w:val="20"/>
          <w:szCs w:val="20"/>
          <w:color w:val="auto"/>
        </w:rPr>
      </w:pPr>
    </w:p>
    <w:p>
      <w:pPr>
        <w:ind w:left="900" w:right="200" w:hanging="356"/>
        <w:spacing w:after="0" w:line="254"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valuation conclusions are then documented and discussed with the management of our Investment Adviser;</w:t>
      </w:r>
    </w:p>
    <w:p>
      <w:pPr>
        <w:spacing w:after="0" w:line="123" w:lineRule="exact"/>
        <w:rPr>
          <w:rFonts w:ascii="Times New Roman" w:cs="Times New Roman" w:eastAsia="Times New Roman" w:hAnsi="Times New Roman"/>
          <w:sz w:val="13"/>
          <w:szCs w:val="13"/>
          <w:color w:val="auto"/>
        </w:rPr>
      </w:pPr>
    </w:p>
    <w:p>
      <w:pPr>
        <w:ind w:left="900" w:right="20" w:hanging="356"/>
        <w:spacing w:after="0" w:line="237"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2" w:lineRule="exact"/>
        <w:rPr>
          <w:rFonts w:ascii="Times New Roman" w:cs="Times New Roman" w:eastAsia="Times New Roman" w:hAnsi="Times New Roman"/>
          <w:sz w:val="13"/>
          <w:szCs w:val="13"/>
          <w:color w:val="auto"/>
        </w:rPr>
      </w:pPr>
    </w:p>
    <w:p>
      <w:pPr>
        <w:ind w:left="900" w:right="20" w:hanging="356"/>
        <w:spacing w:after="0" w:line="254"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2" w:lineRule="exact"/>
        <w:rPr>
          <w:rFonts w:ascii="Times New Roman" w:cs="Times New Roman" w:eastAsia="Times New Roman" w:hAnsi="Times New Roman"/>
          <w:sz w:val="13"/>
          <w:szCs w:val="13"/>
          <w:color w:val="auto"/>
        </w:rPr>
      </w:pPr>
    </w:p>
    <w:p>
      <w:pPr>
        <w:ind w:left="900" w:right="360" w:hanging="356"/>
        <w:spacing w:after="0" w:line="254"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43" w:name="page44"/>
    <w:bookmarkEnd w:id="43"/>
    <w:p>
      <w:pPr>
        <w:ind w:right="140" w:firstLine="439"/>
        <w:spacing w:after="0" w:line="233"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9"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3" w:lineRule="exact"/>
        <w:rPr>
          <w:sz w:val="20"/>
          <w:szCs w:val="20"/>
          <w:color w:val="auto"/>
        </w:rPr>
      </w:pPr>
    </w:p>
    <w:p>
      <w:pPr>
        <w:ind w:left="540"/>
        <w:spacing w:after="0"/>
        <w:tabs>
          <w:tab w:leader="none" w:pos="134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23" w:lineRule="exact"/>
        <w:rPr>
          <w:sz w:val="20"/>
          <w:szCs w:val="20"/>
          <w:color w:val="auto"/>
        </w:rPr>
      </w:pPr>
    </w:p>
    <w:p>
      <w:pPr>
        <w:ind w:left="1360" w:right="120" w:hanging="817"/>
        <w:spacing w:after="0" w:line="254" w:lineRule="auto"/>
        <w:tabs>
          <w:tab w:leader="none" w:pos="134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2" w:lineRule="exact"/>
        <w:rPr>
          <w:sz w:val="20"/>
          <w:szCs w:val="20"/>
          <w:color w:val="auto"/>
        </w:rPr>
      </w:pPr>
    </w:p>
    <w:p>
      <w:pPr>
        <w:ind w:left="540"/>
        <w:spacing w:after="0"/>
        <w:tabs>
          <w:tab w:leader="none" w:pos="134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ind w:right="40" w:firstLine="439"/>
        <w:spacing w:after="0"/>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33"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2" w:lineRule="exact"/>
        <w:rPr>
          <w:sz w:val="20"/>
          <w:szCs w:val="20"/>
          <w:color w:val="auto"/>
        </w:rPr>
      </w:pPr>
    </w:p>
    <w:p>
      <w:pPr>
        <w:ind w:right="80" w:firstLine="439"/>
        <w:spacing w:after="0" w:line="22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and $4.5 million relating to amendment costs on the Credit Facility and debt issuance costs on the 2023 Notes during the years ended September 30, 2020 and 2019,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2031 Asset-Backed Debt.</w:t>
      </w:r>
    </w:p>
    <w:p>
      <w:pPr>
        <w:spacing w:after="0" w:line="105"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For the years September 30, 2020 and 2019, our Credit Facility and the 2023 Notes had a net change in unrealized depreciation (appreciation) of $14.2 million and less than $(0.1) million, respectively. As of September 30, 2020 and 2019, the net unrealized depreciation on our Credit Facility and the 2023 Notes totaled $18.8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15" w:lineRule="exact"/>
        <w:rPr>
          <w:sz w:val="20"/>
          <w:szCs w:val="20"/>
          <w:color w:val="auto"/>
        </w:rPr>
      </w:pPr>
    </w:p>
    <w:p>
      <w:pPr>
        <w:ind w:right="40" w:firstLine="439"/>
        <w:spacing w:after="0" w:line="22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00" w:hanging="356"/>
        <w:spacing w:after="0"/>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23" w:lineRule="exact"/>
        <w:rPr>
          <w:sz w:val="20"/>
          <w:szCs w:val="20"/>
          <w:color w:val="auto"/>
        </w:rPr>
      </w:pPr>
    </w:p>
    <w:p>
      <w:pPr>
        <w:ind w:right="100" w:firstLine="439"/>
        <w:spacing w:after="0" w:line="237"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i w:val="1"/>
          <w:iCs w:val="1"/>
          <w:color w:val="auto"/>
        </w:rPr>
        <w:t>Payment-in-Kind, or PIK, Interest</w:t>
      </w:r>
    </w:p>
    <w:p>
      <w:pPr>
        <w:spacing w:after="0" w:line="115" w:lineRule="exact"/>
        <w:rPr>
          <w:sz w:val="20"/>
          <w:szCs w:val="20"/>
          <w:color w:val="auto"/>
        </w:rPr>
      </w:pPr>
    </w:p>
    <w:p>
      <w:pPr>
        <w:ind w:right="20" w:firstLine="439"/>
        <w:spacing w:after="0" w:line="237"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27"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1"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89" w:lineRule="exact"/>
        <w:rPr>
          <w:sz w:val="20"/>
          <w:szCs w:val="20"/>
          <w:color w:val="auto"/>
        </w:rPr>
      </w:pPr>
    </w:p>
    <w:p>
      <w:pPr>
        <w:jc w:val="both"/>
        <w:ind w:right="120" w:firstLine="439"/>
        <w:spacing w:after="0" w:line="237"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2" w:lineRule="exact"/>
        <w:rPr>
          <w:sz w:val="20"/>
          <w:szCs w:val="20"/>
          <w:color w:val="auto"/>
        </w:rPr>
      </w:pPr>
    </w:p>
    <w:p>
      <w:pPr>
        <w:ind w:right="60" w:firstLine="439"/>
        <w:spacing w:after="0" w:line="254"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13"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Set forth below are the results of operations for the years ended September 30, 2020 and 2019. For information regarding results of operations for the year ended September 30, 2018, see the Company's Form 10-K for the fiscal year ended September 30, 2019, as filed with the SEC on November 20, 2019.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27" w:lineRule="exact"/>
        <w:rPr>
          <w:sz w:val="20"/>
          <w:szCs w:val="20"/>
          <w:color w:val="auto"/>
        </w:rPr>
      </w:pPr>
    </w:p>
    <w:p>
      <w:pPr>
        <w:ind w:right="260" w:firstLine="439"/>
        <w:spacing w:after="0" w:line="254" w:lineRule="auto"/>
        <w:rPr>
          <w:sz w:val="20"/>
          <w:szCs w:val="20"/>
          <w:color w:val="auto"/>
        </w:rPr>
      </w:pPr>
      <w:r>
        <w:rPr>
          <w:rFonts w:ascii="Times New Roman" w:cs="Times New Roman" w:eastAsia="Times New Roman" w:hAnsi="Times New Roman"/>
          <w:sz w:val="13"/>
          <w:szCs w:val="13"/>
          <w:color w:val="auto"/>
        </w:rPr>
        <w:t>Investment income for the year ended September 30, 2020 was $95.5 million and was attributable to $86.8 million from first lien secured debt and $8.7 million from other investments. The increase in investment income over the prior year was primarily due to the growth of our portfolio, partially offset by a decline in LIBOR.</w:t>
      </w:r>
    </w:p>
    <w:p>
      <w:pPr>
        <w:spacing w:after="0" w:line="80" w:lineRule="exact"/>
        <w:rPr>
          <w:sz w:val="20"/>
          <w:szCs w:val="20"/>
          <w:color w:val="auto"/>
        </w:rPr>
      </w:pPr>
    </w:p>
    <w:p>
      <w:pPr>
        <w:ind w:right="1100" w:firstLine="439"/>
        <w:spacing w:after="0" w:line="437" w:lineRule="auto"/>
        <w:rPr>
          <w:sz w:val="20"/>
          <w:szCs w:val="20"/>
          <w:color w:val="auto"/>
        </w:rPr>
      </w:pPr>
      <w:r>
        <w:rPr>
          <w:rFonts w:ascii="Times New Roman" w:cs="Times New Roman" w:eastAsia="Times New Roman" w:hAnsi="Times New Roman"/>
          <w:sz w:val="13"/>
          <w:szCs w:val="13"/>
          <w:color w:val="auto"/>
        </w:rPr>
        <w:t xml:space="preserve">Investment income for the year ended September 30, 2019 was $92.9 million and was attributable to $84.0 million from first lien secured debt and $8.9 million from other investments. </w:t>
      </w:r>
      <w:r>
        <w:rPr>
          <w:rFonts w:ascii="Times New Roman" w:cs="Times New Roman" w:eastAsia="Times New Roman" w:hAnsi="Times New Roman"/>
          <w:sz w:val="13"/>
          <w:szCs w:val="13"/>
          <w:b w:val="1"/>
          <w:bCs w:val="1"/>
          <w:i w:val="1"/>
          <w:iCs w:val="1"/>
          <w:color w:val="auto"/>
        </w:rPr>
        <w:t>Expenses</w:t>
      </w:r>
    </w:p>
    <w:p>
      <w:pPr>
        <w:spacing w:after="0" w:line="1" w:lineRule="exact"/>
        <w:rPr>
          <w:sz w:val="20"/>
          <w:szCs w:val="20"/>
          <w:color w:val="auto"/>
        </w:rPr>
      </w:pPr>
    </w:p>
    <w:p>
      <w:pPr>
        <w:ind w:right="20" w:firstLine="439"/>
        <w:spacing w:after="0" w:line="237" w:lineRule="auto"/>
        <w:rPr>
          <w:sz w:val="20"/>
          <w:szCs w:val="20"/>
          <w:color w:val="auto"/>
        </w:rPr>
      </w:pPr>
      <w:r>
        <w:rPr>
          <w:rFonts w:ascii="Times New Roman" w:cs="Times New Roman" w:eastAsia="Times New Roman" w:hAnsi="Times New Roman"/>
          <w:sz w:val="13"/>
          <w:szCs w:val="13"/>
          <w:color w:val="auto"/>
        </w:rPr>
        <w:t>Expenses for the year ended September 30, 2020 totaled $52.1 million. Base management fee for the same period totaled $11.4 million, incentive fee totaled $9.3 million, debt related interest and expenses totaled $27.1 million, general and administrative expenses totaled $3.9 million and provision for taxes totaled $0.4 million. The increase in expenses compared to the prior year was primarily due to the growth of our portfolio which resulted in higher Management Fees in the current year.</w:t>
      </w:r>
    </w:p>
    <w:p>
      <w:pPr>
        <w:spacing w:after="0" w:line="90" w:lineRule="exact"/>
        <w:rPr>
          <w:sz w:val="20"/>
          <w:szCs w:val="20"/>
          <w:color w:val="auto"/>
        </w:rPr>
      </w:pPr>
    </w:p>
    <w:p>
      <w:pPr>
        <w:ind w:right="80" w:firstLine="439"/>
        <w:spacing w:after="0" w:line="237" w:lineRule="auto"/>
        <w:rPr>
          <w:sz w:val="20"/>
          <w:szCs w:val="20"/>
          <w:color w:val="auto"/>
        </w:rPr>
      </w:pPr>
      <w:r>
        <w:rPr>
          <w:rFonts w:ascii="Times New Roman" w:cs="Times New Roman" w:eastAsia="Times New Roman" w:hAnsi="Times New Roman"/>
          <w:sz w:val="13"/>
          <w:szCs w:val="13"/>
          <w:color w:val="auto"/>
        </w:rPr>
        <w:t>Expenses for the year ended September 30, 2019 totaled $47.5 million. Base management fee for the same period totaled $10.2 million, incentive fee totaled $6.2 million (including zero on realized gains and $(1.4) million on net unrealized gains accrued but not payable), debt related interest and expenses totaled $27.1 million (including $4.5 million in Credit Facility amendment fees) and general and administrative expenses totaled $4.0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27" w:lineRule="exact"/>
        <w:rPr>
          <w:sz w:val="20"/>
          <w:szCs w:val="20"/>
          <w:color w:val="auto"/>
        </w:rPr>
      </w:pPr>
    </w:p>
    <w:p>
      <w:pPr>
        <w:ind w:right="320" w:firstLine="439"/>
        <w:spacing w:after="0" w:line="254" w:lineRule="auto"/>
        <w:rPr>
          <w:sz w:val="20"/>
          <w:szCs w:val="20"/>
          <w:color w:val="auto"/>
        </w:rPr>
      </w:pPr>
      <w:r>
        <w:rPr>
          <w:rFonts w:ascii="Times New Roman" w:cs="Times New Roman" w:eastAsia="Times New Roman" w:hAnsi="Times New Roman"/>
          <w:sz w:val="13"/>
          <w:szCs w:val="13"/>
          <w:color w:val="auto"/>
        </w:rPr>
        <w:t>Net investment income totaled $43.4 million, or $1.12 per share, and $45.5 million, or $1.17 per share, for the years ended September 30, 2020 and 2019, respectively. The decrease in net investment income compared to the prior year was primarily due to higher Management Fees due to the growth of our portfolio, partially offset by higher investment income in the current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15"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3"/>
          <w:szCs w:val="13"/>
          <w:color w:val="auto"/>
        </w:rPr>
        <w:t>Sales and repayments of investments for the years ended September 30, 2020 and 2019 totaled $396.9 million and $527.3 million, respectively. Net realized losses totaled $12.7 million and $31.4 million for the same periods, respectively. The change in realized gains/losses was primarily due to changes in the market conditions of our investments and the values at which they were realized.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the Credit Facility and the 2023 Notes</w:t>
      </w:r>
    </w:p>
    <w:p>
      <w:pPr>
        <w:spacing w:after="0" w:line="115"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For the years ended September 30, 2020 and 2019, we reported net change in unrealized depreciation on investments of $26.5 million and $2.6 million, respectively. As of September 30, 2020 and 2019, our net unrealized depreciation on investments totaled $29.9 million and $3.5 million, respectively. The net change in unrealized appreciation/depreciation on our investments for the year ended September 30, 2020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01" w:lineRule="exact"/>
        <w:rPr>
          <w:sz w:val="20"/>
          <w:szCs w:val="20"/>
          <w:color w:val="auto"/>
        </w:rPr>
      </w:pPr>
    </w:p>
    <w:p>
      <w:pPr>
        <w:ind w:right="380" w:firstLine="439"/>
        <w:spacing w:after="0" w:line="237" w:lineRule="auto"/>
        <w:rPr>
          <w:sz w:val="20"/>
          <w:szCs w:val="20"/>
          <w:color w:val="auto"/>
        </w:rPr>
      </w:pPr>
      <w:r>
        <w:rPr>
          <w:rFonts w:ascii="Times New Roman" w:cs="Times New Roman" w:eastAsia="Times New Roman" w:hAnsi="Times New Roman"/>
          <w:sz w:val="13"/>
          <w:szCs w:val="13"/>
          <w:color w:val="auto"/>
        </w:rPr>
        <w:t>For the year ended September 30, 2020 and 2019, our Credit Facility and the 2023 Notes had a net change in unrealized depreciation (appreciation) of $14.2 million and less than $(0.1) million, respectively. As of September 30, 2020 and 2019, our net unrealized depreciation on our Credit Facility and the 2023 Notes totaled $18.8 million and $4.7 million, respectively. The net change in unrealized depreciation for the year ended September 30, 2020 compared to the prior year was primarily due to changes in the capital markets.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5" w:name="page46"/>
    <w:bookmarkEnd w:id="45"/>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15" w:lineRule="exact"/>
        <w:rPr>
          <w:sz w:val="20"/>
          <w:szCs w:val="20"/>
          <w:color w:val="auto"/>
        </w:rPr>
      </w:pPr>
    </w:p>
    <w:p>
      <w:pPr>
        <w:ind w:left="1" w:right="260" w:firstLine="439"/>
        <w:spacing w:after="0" w:line="237" w:lineRule="auto"/>
        <w:rPr>
          <w:sz w:val="20"/>
          <w:szCs w:val="20"/>
          <w:color w:val="auto"/>
        </w:rPr>
      </w:pPr>
      <w:r>
        <w:rPr>
          <w:rFonts w:ascii="Times New Roman" w:cs="Times New Roman" w:eastAsia="Times New Roman" w:hAnsi="Times New Roman"/>
          <w:sz w:val="13"/>
          <w:szCs w:val="13"/>
          <w:color w:val="auto"/>
        </w:rPr>
        <w:t>Net change in net assets resulting from operations totaled $18.4 million, or $0.47 per share, and $11.4 million, or $0.29 per share, for the years ended September 30, 2020 and 2019, respectively. The decrease in net assets from operations for the year ended September 30, 2020 compared to the prior year was primarily due to depreciation of the portfolio primarily driven by the market disruption caused by the COVID-19 pandemic and the uncertainty surrounding its continued adverse economic impact, as discussed above under “COVID-19 Developments”.</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25" w:lineRule="exact"/>
        <w:rPr>
          <w:sz w:val="20"/>
          <w:szCs w:val="20"/>
          <w:color w:val="auto"/>
        </w:rPr>
      </w:pPr>
    </w:p>
    <w:p>
      <w:pPr>
        <w:ind w:left="1" w:right="60" w:firstLine="439"/>
        <w:spacing w:after="0" w:line="230"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2020, in accordance with the 1940 Act, with certain limited exceptions, we are only allowed to borrow amounts such that we are in compliance with a 150% asset coverage ratio requirement after such borrowing. For information regarding liquidity and capital resources for the year ended September 30, 2018, see the Company's Form 10-K for the fiscal year ended September 30, 2019, as filed with the SEC on November 20, 2019.</w:t>
      </w:r>
    </w:p>
    <w:p>
      <w:pPr>
        <w:spacing w:after="0" w:line="101" w:lineRule="exact"/>
        <w:rPr>
          <w:sz w:val="20"/>
          <w:szCs w:val="20"/>
          <w:color w:val="auto"/>
        </w:rPr>
      </w:pPr>
    </w:p>
    <w:p>
      <w:pPr>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was reduced from 200% (i.e., $1 of debt outstanding for each $1 of equity) to 150% (i.e., $2 of debt outstanding for each $1 of equity), effective as of April 5, 2019, subject to compliance with certain disclosure requirements. As of September 30, 2020 and 2019, our asset coverage ratio, as computed in accordance with the 1940 Act, was 168% and 179%, respectively.</w:t>
      </w:r>
    </w:p>
    <w:p>
      <w:pPr>
        <w:spacing w:after="0" w:line="101" w:lineRule="exact"/>
        <w:rPr>
          <w:sz w:val="20"/>
          <w:szCs w:val="20"/>
          <w:color w:val="auto"/>
        </w:rPr>
      </w:pPr>
    </w:p>
    <w:p>
      <w:pPr>
        <w:ind w:left="1" w:firstLine="439"/>
        <w:spacing w:after="0" w:line="237"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2020 and 2019, inclusive of the fee on the undrawn commitment on the Credit Facility, amendment costs and debt issuance costs, was 3.7% and 5.3%, respectively (excluding amendment and debt issuance costs, such amounts are 3.7% and 4.4%, respectively). As of September 30, 2020 and 2019, we had $211.4 million and $254.7 million of unused borrowing capacity under our Credit Facility, respectively, subject to leverage and borrowing base restrictions.</w:t>
      </w:r>
    </w:p>
    <w:p>
      <w:pPr>
        <w:spacing w:after="0" w:line="102" w:lineRule="exact"/>
        <w:rPr>
          <w:sz w:val="20"/>
          <w:szCs w:val="20"/>
          <w:color w:val="auto"/>
        </w:rPr>
      </w:pPr>
    </w:p>
    <w:p>
      <w:pPr>
        <w:ind w:left="1" w:firstLine="439"/>
        <w:spacing w:after="0" w:line="233" w:lineRule="auto"/>
        <w:rPr>
          <w:sz w:val="20"/>
          <w:szCs w:val="20"/>
          <w:color w:val="auto"/>
        </w:rPr>
      </w:pPr>
      <w:r>
        <w:rPr>
          <w:rFonts w:ascii="Times New Roman" w:cs="Times New Roman" w:eastAsia="Times New Roman" w:hAnsi="Times New Roman"/>
          <w:sz w:val="13"/>
          <w:szCs w:val="13"/>
          <w:color w:val="auto"/>
        </w:rPr>
        <w:t>Funding I’s multi-currency Credit Facility with the Lenders was $520 million as of September 30, 2020,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September 30, 2020 and 2019, Funding I had $308.6 million and $265.3 million of outstanding borrowings under the Credit Facility, respectively. The Credit Facility had a weighted average interest rate of 2.2% and 4.1%, exclusive of the fee on undrawn commitments, as of September 30, 2020 and 2019, respectively.</w:t>
      </w:r>
    </w:p>
    <w:p>
      <w:pPr>
        <w:spacing w:after="0" w:line="89" w:lineRule="exact"/>
        <w:rPr>
          <w:sz w:val="20"/>
          <w:szCs w:val="20"/>
          <w:color w:val="auto"/>
        </w:rPr>
      </w:pPr>
    </w:p>
    <w:p>
      <w:pPr>
        <w:ind w:left="1" w:right="240" w:firstLine="439"/>
        <w:spacing w:after="0" w:line="233"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left="1" w:right="80" w:firstLine="439"/>
        <w:spacing w:after="0" w:line="233"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2020, we were in compliance with the covenants relating to our Credit Facility.</w:t>
      </w:r>
    </w:p>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11" w:lineRule="exact"/>
        <w:rPr>
          <w:sz w:val="20"/>
          <w:szCs w:val="20"/>
          <w:color w:val="auto"/>
        </w:rPr>
      </w:pPr>
    </w:p>
    <w:p>
      <w:pPr>
        <w:ind w:left="1" w:right="80" w:firstLine="439"/>
        <w:spacing w:after="0" w:line="230"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In November 2017, we issued $138.6 million of our 2023 Notes. The 2023 Notes were issued pursuant to a deed of trust between the Company and Mishmeret Trust Company, Ltd. as trustee.</w:t>
      </w:r>
    </w:p>
    <w:p>
      <w:pPr>
        <w:spacing w:after="0" w:line="123" w:lineRule="exact"/>
        <w:rPr>
          <w:sz w:val="20"/>
          <w:szCs w:val="20"/>
          <w:color w:val="auto"/>
        </w:rPr>
      </w:pPr>
    </w:p>
    <w:p>
      <w:pPr>
        <w:ind w:left="1" w:right="40" w:firstLine="439"/>
        <w:spacing w:after="0" w:line="233" w:lineRule="auto"/>
        <w:rPr>
          <w:sz w:val="20"/>
          <w:szCs w:val="20"/>
          <w:color w:val="auto"/>
        </w:rPr>
      </w:pPr>
      <w:r>
        <w:rPr>
          <w:rFonts w:ascii="Times New Roman" w:cs="Times New Roman" w:eastAsia="Times New Roman" w:hAnsi="Times New Roman"/>
          <w:sz w:val="13"/>
          <w:szCs w:val="13"/>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01" w:lineRule="exact"/>
        <w:rPr>
          <w:sz w:val="20"/>
          <w:szCs w:val="20"/>
          <w:color w:val="auto"/>
        </w:rPr>
      </w:pPr>
    </w:p>
    <w:p>
      <w:pPr>
        <w:ind w:left="1" w:right="120" w:firstLine="439"/>
        <w:spacing w:after="0" w:line="254" w:lineRule="auto"/>
        <w:rPr>
          <w:sz w:val="20"/>
          <w:szCs w:val="20"/>
          <w:color w:val="auto"/>
        </w:rPr>
      </w:pPr>
      <w:r>
        <w:rPr>
          <w:rFonts w:ascii="Times New Roman" w:cs="Times New Roman" w:eastAsia="Times New Roman" w:hAnsi="Times New Roman"/>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2" w:lineRule="exact"/>
        <w:rPr>
          <w:sz w:val="20"/>
          <w:szCs w:val="20"/>
          <w:color w:val="auto"/>
        </w:rPr>
      </w:pPr>
    </w:p>
    <w:p>
      <w:pPr>
        <w:ind w:left="1" w:right="40" w:firstLine="439"/>
        <w:spacing w:after="0" w:line="146" w:lineRule="exact"/>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LIBOR plus 4.0%, (vi) $8.0 million Class C-2 Secured Deferrable Fixed Rate Notes due 2031, which bear interest at 5.4%, and</w:t>
      </w:r>
    </w:p>
    <w:p>
      <w:pPr>
        <w:spacing w:after="0" w:line="2" w:lineRule="exact"/>
        <w:rPr>
          <w:sz w:val="20"/>
          <w:szCs w:val="20"/>
          <w:color w:val="auto"/>
        </w:rPr>
      </w:pPr>
    </w:p>
    <w:p>
      <w:pPr>
        <w:jc w:val="both"/>
        <w:ind w:left="1" w:right="120" w:hanging="1"/>
        <w:spacing w:after="0" w:line="146" w:lineRule="exact"/>
        <w:tabs>
          <w:tab w:leader="none" w:pos="26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September 30, 2020 and 2019, the Company had $228.0 million of 2031 Asset-Backed Debt outstanding with a weighted average interest rate of 2.7% and 4.2%, respectively.</w:t>
      </w:r>
    </w:p>
    <w:p>
      <w:pPr>
        <w:spacing w:after="0" w:line="102" w:lineRule="exact"/>
        <w:rPr>
          <w:sz w:val="20"/>
          <w:szCs w:val="20"/>
          <w:color w:val="auto"/>
        </w:rPr>
      </w:pPr>
    </w:p>
    <w:p>
      <w:pPr>
        <w:ind w:left="1" w:right="240" w:firstLine="439"/>
        <w:spacing w:after="0" w:line="254"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2" w:right="339" w:bottom="1440" w:gutter="0" w:footer="0" w:header="0"/>
        </w:sectPr>
      </w:pPr>
    </w:p>
    <w:bookmarkStart w:id="46" w:name="page47"/>
    <w:bookmarkEnd w:id="46"/>
    <w:p>
      <w:pPr>
        <w:ind w:left="1" w:right="60"/>
        <w:spacing w:after="0" w:line="254" w:lineRule="auto"/>
        <w:rPr>
          <w:sz w:val="20"/>
          <w:szCs w:val="20"/>
          <w:color w:val="auto"/>
        </w:rPr>
      </w:pPr>
      <w:r>
        <w:rPr>
          <w:rFonts w:ascii="Times New Roman" w:cs="Times New Roman" w:eastAsia="Times New Roman" w:hAnsi="Times New Roman"/>
          <w:sz w:val="13"/>
          <w:szCs w:val="13"/>
          <w:color w:val="auto"/>
        </w:rPr>
        <w:t>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92" w:lineRule="exact"/>
        <w:rPr>
          <w:sz w:val="20"/>
          <w:szCs w:val="20"/>
          <w:color w:val="auto"/>
        </w:rPr>
      </w:pPr>
    </w:p>
    <w:p>
      <w:pPr>
        <w:ind w:left="1" w:right="60" w:firstLine="439"/>
        <w:spacing w:after="0" w:line="237" w:lineRule="auto"/>
        <w:rPr>
          <w:sz w:val="20"/>
          <w:szCs w:val="20"/>
          <w:color w:val="auto"/>
        </w:rPr>
      </w:pPr>
      <w:r>
        <w:rPr>
          <w:rFonts w:ascii="Times New Roman" w:cs="Times New Roman" w:eastAsia="Times New Roman" w:hAnsi="Times New Roman"/>
          <w:sz w:val="13"/>
          <w:szCs w:val="13"/>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02" w:lineRule="exact"/>
        <w:rPr>
          <w:sz w:val="20"/>
          <w:szCs w:val="20"/>
          <w:color w:val="auto"/>
        </w:rPr>
      </w:pPr>
    </w:p>
    <w:p>
      <w:pPr>
        <w:jc w:val="both"/>
        <w:ind w:left="1" w:right="380" w:firstLine="439"/>
        <w:spacing w:after="0" w:line="237"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02" w:lineRule="exact"/>
        <w:rPr>
          <w:sz w:val="20"/>
          <w:szCs w:val="20"/>
          <w:color w:val="auto"/>
        </w:rPr>
      </w:pPr>
    </w:p>
    <w:p>
      <w:pPr>
        <w:ind w:left="1" w:right="120" w:firstLine="439"/>
        <w:spacing w:after="0" w:line="233" w:lineRule="auto"/>
        <w:rPr>
          <w:sz w:val="20"/>
          <w:szCs w:val="20"/>
          <w:color w:val="auto"/>
        </w:rPr>
      </w:pPr>
      <w:r>
        <w:rPr>
          <w:rFonts w:ascii="Times New Roman" w:cs="Times New Roman" w:eastAsia="Times New Roman" w:hAnsi="Times New Roman"/>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2020 and 2019, we did not issue any shares.</w:t>
      </w:r>
    </w:p>
    <w:p>
      <w:pPr>
        <w:spacing w:after="0" w:line="89" w:lineRule="exact"/>
        <w:rPr>
          <w:sz w:val="20"/>
          <w:szCs w:val="20"/>
          <w:color w:val="auto"/>
        </w:rPr>
      </w:pPr>
    </w:p>
    <w:p>
      <w:pPr>
        <w:ind w:left="1" w:right="120" w:firstLine="439"/>
        <w:spacing w:after="0" w:line="254" w:lineRule="auto"/>
        <w:rPr>
          <w:sz w:val="20"/>
          <w:szCs w:val="20"/>
          <w:color w:val="auto"/>
        </w:rPr>
      </w:pPr>
      <w:r>
        <w:rPr>
          <w:rFonts w:ascii="Times New Roman" w:cs="Times New Roman" w:eastAsia="Times New Roman" w:hAnsi="Times New Roman"/>
          <w:sz w:val="13"/>
          <w:szCs w:val="13"/>
          <w:color w:val="auto"/>
        </w:rPr>
        <w:t>As of September 30, 2020 and 2019, we had cash equivalents of $57.5 million and $63.3 million, respectively, available for investing and general corporate purposes. We believe our liquidity and capital resources are sufficient to take advantage of market opportunities.</w:t>
      </w:r>
    </w:p>
    <w:p>
      <w:pPr>
        <w:spacing w:after="0" w:line="92" w:lineRule="exact"/>
        <w:rPr>
          <w:sz w:val="20"/>
          <w:szCs w:val="20"/>
          <w:color w:val="auto"/>
        </w:rPr>
      </w:pPr>
    </w:p>
    <w:p>
      <w:pPr>
        <w:ind w:left="1" w:right="320" w:firstLine="439"/>
        <w:spacing w:after="0" w:line="254" w:lineRule="auto"/>
        <w:rPr>
          <w:sz w:val="20"/>
          <w:szCs w:val="20"/>
          <w:color w:val="auto"/>
        </w:rPr>
      </w:pPr>
      <w:r>
        <w:rPr>
          <w:rFonts w:ascii="Times New Roman" w:cs="Times New Roman" w:eastAsia="Times New Roman" w:hAnsi="Times New Roman"/>
          <w:sz w:val="13"/>
          <w:szCs w:val="13"/>
          <w:color w:val="auto"/>
        </w:rPr>
        <w:t>Our operating activities used cash of $4.9 million for the year ended September 30, 2020, and our financing activities used cash of $0.9 million for the same period. Our operating activities used cash primarily for our investment activities and our financing activities used cash primarily for paying down our Credit Facility and paying distributions to stockholders.</w:t>
      </w:r>
    </w:p>
    <w:p>
      <w:pPr>
        <w:spacing w:after="0" w:line="92" w:lineRule="exact"/>
        <w:rPr>
          <w:sz w:val="20"/>
          <w:szCs w:val="20"/>
          <w:color w:val="auto"/>
        </w:rPr>
      </w:pPr>
    </w:p>
    <w:p>
      <w:pPr>
        <w:ind w:left="1" w:right="120" w:firstLine="439"/>
        <w:spacing w:after="0" w:line="254" w:lineRule="auto"/>
        <w:rPr>
          <w:sz w:val="20"/>
          <w:szCs w:val="20"/>
          <w:color w:val="auto"/>
        </w:rPr>
      </w:pPr>
      <w:r>
        <w:rPr>
          <w:rFonts w:ascii="Times New Roman" w:cs="Times New Roman" w:eastAsia="Times New Roman" w:hAnsi="Times New Roman"/>
          <w:sz w:val="13"/>
          <w:szCs w:val="13"/>
          <w:color w:val="auto"/>
        </w:rPr>
        <w:t>Our operating activities used cash of $121.4 million for the year ended September 30, 2019, and our financing activities provided cash of $111.7 million for the same period. Our operating activities used cash primarily for our investment activities and our financing activities provided cash primarily from the issuance of 2031 Asset-Backed Debt.</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Senior Securities</w:t>
      </w:r>
    </w:p>
    <w:p>
      <w:pPr>
        <w:spacing w:after="0" w:line="125" w:lineRule="exact"/>
        <w:rPr>
          <w:sz w:val="20"/>
          <w:szCs w:val="20"/>
          <w:color w:val="auto"/>
        </w:rPr>
      </w:pPr>
    </w:p>
    <w:p>
      <w:pPr>
        <w:ind w:left="1" w:right="540" w:firstLine="730"/>
        <w:spacing w:after="0" w:line="254" w:lineRule="auto"/>
        <w:rPr>
          <w:sz w:val="20"/>
          <w:szCs w:val="20"/>
          <w:color w:val="auto"/>
        </w:rPr>
      </w:pPr>
      <w:r>
        <w:rPr>
          <w:rFonts w:ascii="Times New Roman" w:cs="Times New Roman" w:eastAsia="Times New Roman" w:hAnsi="Times New Roman"/>
          <w:sz w:val="13"/>
          <w:szCs w:val="13"/>
          <w:color w:val="auto"/>
        </w:rPr>
        <w:t>Information about our senior securities is shown in the following table as of September 30, 2020, 2019, 2018, 2017, 2016, 2015, 2014, 2013, 2012 and 2011. The report of RSM US LLP, an independent registered public accounting firm, on the Senior Securities table as of September 30, 2020, is attached as an exhibit to this Report.</w:t>
      </w:r>
    </w:p>
    <w:tbl>
      <w:tblPr>
        <w:tblLayout w:type="fixed"/>
        <w:tblInd w:w="1" w:type="dxa"/>
        <w:tblCellMar>
          <w:top w:w="0" w:type="dxa"/>
          <w:left w:w="0" w:type="dxa"/>
          <w:bottom w:w="0" w:type="dxa"/>
          <w:right w:w="0" w:type="dxa"/>
        </w:tblCellMar>
      </w:tblPr>
      <w:tr>
        <w:trPr>
          <w:trHeight w:val="140"/>
        </w:trPr>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Total Amount</w:t>
            </w: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Asset Coverage</w:t>
            </w:r>
          </w:p>
        </w:tc>
        <w:tc>
          <w:tcPr>
            <w:tcW w:w="24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36"/>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Class and Year</w:t>
            </w:r>
          </w:p>
        </w:tc>
        <w:tc>
          <w:tcPr>
            <w:tcW w:w="16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24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Market Value</w:t>
            </w:r>
          </w:p>
        </w:tc>
        <w:tc>
          <w:tcPr>
            <w:tcW w:w="0" w:type="dxa"/>
            <w:vAlign w:val="bottom"/>
          </w:tcPr>
          <w:p>
            <w:pPr>
              <w:spacing w:after="0"/>
              <w:rPr>
                <w:sz w:val="1"/>
                <w:szCs w:val="1"/>
                <w:color w:val="auto"/>
              </w:rPr>
            </w:pPr>
          </w:p>
        </w:tc>
      </w:tr>
      <w:tr>
        <w:trPr>
          <w:trHeight w:val="158"/>
        </w:trPr>
        <w:tc>
          <w:tcPr>
            <w:tcW w:w="4020" w:type="dxa"/>
            <w:vAlign w:val="bottom"/>
            <w:gridSpan w:val="2"/>
            <w:vMerge w:val="continue"/>
          </w:tcPr>
          <w:p>
            <w:pPr>
              <w:spacing w:after="0"/>
              <w:rPr>
                <w:sz w:val="13"/>
                <w:szCs w:val="13"/>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11"/>
                <w:szCs w:val="11"/>
                <w:b w:val="1"/>
                <w:bCs w:val="1"/>
                <w:color w:val="auto"/>
              </w:rPr>
              <w:t>(1)</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1"/>
                <w:szCs w:val="11"/>
                <w:b w:val="1"/>
                <w:bCs w:val="1"/>
                <w:color w:val="auto"/>
              </w:rPr>
              <w:t>(2)</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141"/>
        </w:trPr>
        <w:tc>
          <w:tcPr>
            <w:tcW w:w="370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Credit Facility</w:t>
            </w:r>
          </w:p>
        </w:tc>
        <w:tc>
          <w:tcPr>
            <w:tcW w:w="320" w:type="dxa"/>
            <w:vAlign w:val="bottom"/>
            <w:tcBorders>
              <w:top w:val="single" w:sz="8" w:color="CCECFF"/>
            </w:tcBorders>
            <w:shd w:val="clear" w:color="auto" w:fill="CCECFF"/>
          </w:tcPr>
          <w:p>
            <w:pPr>
              <w:spacing w:after="0"/>
              <w:rPr>
                <w:sz w:val="12"/>
                <w:szCs w:val="12"/>
                <w:color w:val="auto"/>
              </w:rPr>
            </w:pPr>
          </w:p>
        </w:tc>
        <w:tc>
          <w:tcPr>
            <w:tcW w:w="166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1500" w:type="dxa"/>
            <w:vAlign w:val="bottom"/>
            <w:tcBorders>
              <w:top w:val="single" w:sz="8" w:color="auto"/>
            </w:tcBorders>
            <w:shd w:val="clear" w:color="auto" w:fill="CCECFF"/>
          </w:tcPr>
          <w:p>
            <w:pPr>
              <w:spacing w:after="0"/>
              <w:rPr>
                <w:sz w:val="12"/>
                <w:szCs w:val="12"/>
                <w:color w:val="auto"/>
              </w:rPr>
            </w:pPr>
          </w:p>
        </w:tc>
        <w:tc>
          <w:tcPr>
            <w:tcW w:w="420" w:type="dxa"/>
            <w:vAlign w:val="bottom"/>
            <w:tcBorders>
              <w:top w:val="single" w:sz="8" w:color="CCECFF"/>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2020</w:t>
            </w:r>
          </w:p>
        </w:tc>
        <w:tc>
          <w:tcPr>
            <w:tcW w:w="1660" w:type="dxa"/>
            <w:vAlign w:val="bottom"/>
          </w:tcPr>
          <w:p>
            <w:pPr>
              <w:jc w:val="right"/>
              <w:ind w:right="153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308,599</w:t>
            </w:r>
          </w:p>
        </w:tc>
        <w:tc>
          <w:tcPr>
            <w:tcW w:w="420" w:type="dxa"/>
            <w:vAlign w:val="bottom"/>
          </w:tcPr>
          <w:p>
            <w:pPr>
              <w:spacing w:after="0"/>
              <w:rPr>
                <w:sz w:val="12"/>
                <w:szCs w:val="12"/>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2019</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265,308</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2018</w:t>
            </w:r>
          </w:p>
        </w:tc>
        <w:tc>
          <w:tcPr>
            <w:tcW w:w="1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333,728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2017</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253,783</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2016</w:t>
            </w:r>
          </w:p>
        </w:tc>
        <w:tc>
          <w:tcPr>
            <w:tcW w:w="1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232,908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2015</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29,600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13,598</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2014</w:t>
            </w:r>
          </w:p>
        </w:tc>
        <w:tc>
          <w:tcPr>
            <w:tcW w:w="1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146,400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2013</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99,600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2012</w:t>
            </w:r>
          </w:p>
        </w:tc>
        <w:tc>
          <w:tcPr>
            <w:tcW w:w="1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75,500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2011</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24,650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4,735</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2023 Notes</w:t>
            </w: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2020</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138,580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2019</w:t>
            </w:r>
          </w:p>
        </w:tc>
        <w:tc>
          <w:tcPr>
            <w:tcW w:w="1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138,580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420" w:type="dxa"/>
            <w:vAlign w:val="bottom"/>
          </w:tcPr>
          <w:p>
            <w:pPr>
              <w:spacing w:after="0"/>
              <w:rPr>
                <w:sz w:val="12"/>
                <w:szCs w:val="12"/>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2018</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138,580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2031 Asset-Backed Debt</w:t>
            </w: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Fiscal 2020</w:t>
            </w:r>
          </w:p>
        </w:tc>
        <w:tc>
          <w:tcPr>
            <w:tcW w:w="16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4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420" w:type="dxa"/>
            <w:vAlign w:val="bottom"/>
            <w:shd w:val="clear" w:color="auto" w:fill="CCECFF"/>
          </w:tcPr>
          <w:p>
            <w:pPr>
              <w:spacing w:after="0"/>
              <w:rPr>
                <w:sz w:val="12"/>
                <w:szCs w:val="12"/>
                <w:color w:val="auto"/>
              </w:rPr>
            </w:pPr>
          </w:p>
        </w:tc>
        <w:tc>
          <w:tcPr>
            <w:tcW w:w="2400" w:type="dxa"/>
            <w:vAlign w:val="bottom"/>
            <w:shd w:val="clear" w:color="auto" w:fill="CCECFF"/>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2019</w:t>
            </w:r>
          </w:p>
        </w:tc>
        <w:tc>
          <w:tcPr>
            <w:tcW w:w="1660" w:type="dxa"/>
            <w:vAlign w:val="bottom"/>
          </w:tcPr>
          <w:p>
            <w:pPr>
              <w:jc w:val="right"/>
              <w:ind w:right="153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42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420" w:type="dxa"/>
            <w:vAlign w:val="bottom"/>
          </w:tcPr>
          <w:p>
            <w:pPr>
              <w:spacing w:after="0"/>
              <w:rPr>
                <w:sz w:val="14"/>
                <w:szCs w:val="14"/>
                <w:color w:val="auto"/>
              </w:rPr>
            </w:pPr>
          </w:p>
        </w:tc>
        <w:tc>
          <w:tcPr>
            <w:tcW w:w="240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375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ind w:left="441" w:hanging="441"/>
        <w:spacing w:after="0" w:line="225" w:lineRule="auto"/>
        <w:tabs>
          <w:tab w:leader="none" w:pos="441" w:val="left"/>
        </w:tabs>
        <w:numPr>
          <w:ilvl w:val="0"/>
          <w:numId w:val="57"/>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Total cost of each class of senior securities outstanding at the end of the period presented in thousands (000s).</w:t>
      </w:r>
    </w:p>
    <w:p>
      <w:pPr>
        <w:spacing w:after="0" w:line="108" w:lineRule="exact"/>
        <w:rPr>
          <w:rFonts w:ascii="Times New Roman" w:cs="Times New Roman" w:eastAsia="Times New Roman" w:hAnsi="Times New Roman"/>
          <w:sz w:val="18"/>
          <w:szCs w:val="18"/>
          <w:b w:val="1"/>
          <w:bCs w:val="1"/>
          <w:color w:val="auto"/>
          <w:vertAlign w:val="superscript"/>
        </w:rPr>
      </w:pPr>
    </w:p>
    <w:p>
      <w:pPr>
        <w:ind w:left="441" w:right="540" w:hanging="441"/>
        <w:spacing w:after="0" w:line="189" w:lineRule="auto"/>
        <w:tabs>
          <w:tab w:leader="none" w:pos="441" w:val="left"/>
        </w:tabs>
        <w:numPr>
          <w:ilvl w:val="0"/>
          <w:numId w:val="57"/>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41" w:lineRule="exact"/>
        <w:rPr>
          <w:rFonts w:ascii="Times New Roman" w:cs="Times New Roman" w:eastAsia="Times New Roman" w:hAnsi="Times New Roman"/>
          <w:sz w:val="18"/>
          <w:szCs w:val="18"/>
          <w:b w:val="1"/>
          <w:bCs w:val="1"/>
          <w:color w:val="auto"/>
          <w:vertAlign w:val="superscript"/>
        </w:rPr>
      </w:pPr>
    </w:p>
    <w:p>
      <w:pPr>
        <w:ind w:left="441" w:hanging="441"/>
        <w:spacing w:after="0"/>
        <w:tabs>
          <w:tab w:leader="none" w:pos="441" w:val="left"/>
        </w:tabs>
        <w:numPr>
          <w:ilvl w:val="0"/>
          <w:numId w:val="57"/>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Not applicable, as senior securities are not registered for public trading in the United States of America.</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5" w:lineRule="exact"/>
        <w:rPr>
          <w:sz w:val="20"/>
          <w:szCs w:val="20"/>
          <w:color w:val="auto"/>
        </w:rPr>
      </w:pPr>
    </w:p>
    <w:p>
      <w:pPr>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2020 and 2019, PSSL had total assets of $406.4 million and $506.7 million, respectively. As of the same dates, we and Kemper had remaining commitments to fund first lien secured debt and equity interests in PSSL in an aggregate amount of $25.3 million and $10.5 million, respectively. PSSL invests in portfolio companies in the same industries in which we may directly invest.</w:t>
      </w:r>
    </w:p>
    <w:p>
      <w:pPr>
        <w:spacing w:after="0" w:line="76" w:lineRule="exact"/>
        <w:rPr>
          <w:sz w:val="20"/>
          <w:szCs w:val="20"/>
          <w:color w:val="auto"/>
        </w:rPr>
      </w:pPr>
    </w:p>
    <w:p>
      <w:pPr>
        <w:ind w:left="1" w:right="160" w:firstLine="439"/>
        <w:spacing w:after="0" w:line="237" w:lineRule="auto"/>
        <w:rPr>
          <w:sz w:val="20"/>
          <w:szCs w:val="20"/>
          <w:color w:val="auto"/>
        </w:rPr>
      </w:pPr>
      <w:r>
        <w:rPr>
          <w:rFonts w:ascii="Times New Roman" w:cs="Times New Roman" w:eastAsia="Times New Roman" w:hAnsi="Times New Roman"/>
          <w:sz w:val="13"/>
          <w:szCs w:val="13"/>
          <w:color w:val="auto"/>
        </w:rPr>
        <w:t>We provide capital to PSSL in the form of first lien secured debt and equity interests. As of September 30, 2020 and 2019, we and Kemper owned 87.5% and 12.5%, respectively, of each of the outstanding first lien secured debt and equity interests. As of the same dates, our investment in PSSL consisted of first lien secured debt of $125.4 million (additional $15.5 million unfunded) and $122.2 million (additional $6.4 million unfunded), respectively, and equity interests of $53.7 million (additional $6.6 million unfunded) and $52.4 million (additional $2.8 million unfunded), respectively.</w:t>
      </w:r>
    </w:p>
    <w:p>
      <w:pPr>
        <w:spacing w:after="0" w:line="102" w:lineRule="exact"/>
        <w:rPr>
          <w:sz w:val="20"/>
          <w:szCs w:val="20"/>
          <w:color w:val="auto"/>
        </w:rPr>
      </w:pPr>
    </w:p>
    <w:p>
      <w:pPr>
        <w:ind w:left="1" w:right="200" w:firstLine="439"/>
        <w:spacing w:after="0" w:line="230" w:lineRule="auto"/>
        <w:rPr>
          <w:sz w:val="20"/>
          <w:szCs w:val="20"/>
          <w:color w:val="auto"/>
        </w:rPr>
      </w:pPr>
      <w:r>
        <w:rPr>
          <w:rFonts w:ascii="Times New Roman" w:cs="Times New Roman" w:eastAsia="Times New Roman" w:hAnsi="Times New Roman"/>
          <w:sz w:val="13"/>
          <w:szCs w:val="13"/>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20" w:right="339" w:bottom="1440" w:gutter="0" w:footer="0" w:header="0"/>
        </w:sectPr>
      </w:pPr>
    </w:p>
    <w:bookmarkStart w:id="47" w:name="page48"/>
    <w:bookmarkEnd w:id="47"/>
    <w:p>
      <w:pPr>
        <w:ind w:right="140" w:firstLine="439"/>
        <w:spacing w:after="0" w:line="254" w:lineRule="auto"/>
        <w:rPr>
          <w:sz w:val="20"/>
          <w:szCs w:val="20"/>
          <w:color w:val="auto"/>
        </w:rPr>
      </w:pPr>
      <w:r>
        <w:rPr>
          <w:rFonts w:ascii="Times New Roman" w:cs="Times New Roman" w:eastAsia="Times New Roman" w:hAnsi="Times New Roman"/>
          <w:sz w:val="13"/>
          <w:szCs w:val="13"/>
          <w:color w:val="auto"/>
        </w:rPr>
        <w:t>Additionally, PSSL has entered into a $325.0 million senior secured revolving credit facility which bears interest at LIBOR (or an alternative risk-free floating interest rate index) plus 225 basis points, or the PSSL Credit Facility, with Capital One, N.A. through its wholly-owned subsidiary, PennantPark Senior Secured Loan Facility LLC, or PSSL Subsidiary, subject to leverage and borrowing base restrictions.</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00" w:type="dxa"/>
            <w:vAlign w:val="bottom"/>
          </w:tcPr>
          <w:p>
            <w:pPr>
              <w:spacing w:after="0"/>
              <w:rPr>
                <w:sz w:val="13"/>
                <w:szCs w:val="13"/>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40" w:type="dxa"/>
            <w:vAlign w:val="bottom"/>
          </w:tcPr>
          <w:p>
            <w:pPr>
              <w:spacing w:after="0"/>
              <w:rPr>
                <w:sz w:val="13"/>
                <w:szCs w:val="13"/>
                <w:color w:val="auto"/>
              </w:rPr>
            </w:pPr>
          </w:p>
        </w:tc>
      </w:tr>
      <w:tr>
        <w:trPr>
          <w:trHeight w:val="141"/>
        </w:trPr>
        <w:tc>
          <w:tcPr>
            <w:tcW w:w="444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investments</w:t>
            </w:r>
          </w:p>
        </w:tc>
        <w:tc>
          <w:tcPr>
            <w:tcW w:w="2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7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392,986,090</w:t>
            </w:r>
          </w:p>
        </w:tc>
        <w:tc>
          <w:tcPr>
            <w:tcW w:w="32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488,549,847</w:t>
            </w:r>
          </w:p>
        </w:tc>
        <w:tc>
          <w:tcPr>
            <w:tcW w:w="120" w:type="dxa"/>
            <w:vAlign w:val="bottom"/>
            <w:tcBorders>
              <w:top w:val="single" w:sz="8" w:color="CCECFF"/>
            </w:tcBorders>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40" w:type="dxa"/>
            <w:vAlign w:val="bottom"/>
          </w:tcPr>
          <w:p>
            <w:pPr>
              <w:spacing w:after="0"/>
              <w:rPr>
                <w:sz w:val="12"/>
                <w:szCs w:val="12"/>
                <w:color w:val="auto"/>
              </w:rPr>
            </w:pPr>
          </w:p>
        </w:tc>
      </w:tr>
      <w:tr>
        <w:trPr>
          <w:trHeight w:val="149"/>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3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440" w:type="dxa"/>
            <w:vAlign w:val="bottom"/>
          </w:tcPr>
          <w:p>
            <w:pPr>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9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20,614,860</w:t>
            </w:r>
          </w:p>
        </w:tc>
        <w:tc>
          <w:tcPr>
            <w:tcW w:w="3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22,026,186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9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93,320,993</w:t>
            </w:r>
          </w:p>
        </w:tc>
        <w:tc>
          <w:tcPr>
            <w:tcW w:w="3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102,872,275</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r>
      <w:tr>
        <w:trPr>
          <w:trHeight w:val="759"/>
        </w:trPr>
        <w:tc>
          <w:tcPr>
            <w:tcW w:w="4440" w:type="dxa"/>
            <w:vAlign w:val="bottom"/>
          </w:tcPr>
          <w:p>
            <w:pPr>
              <w:spacing w:after="0"/>
              <w:rPr>
                <w:sz w:val="24"/>
                <w:szCs w:val="24"/>
                <w:color w:val="auto"/>
              </w:rPr>
            </w:pPr>
          </w:p>
        </w:tc>
        <w:tc>
          <w:tcPr>
            <w:tcW w:w="2740" w:type="dxa"/>
            <w:vAlign w:val="bottom"/>
          </w:tcPr>
          <w:p>
            <w:pPr>
              <w:jc w:val="right"/>
              <w:ind w:right="1414"/>
              <w:spacing w:after="0"/>
              <w:rPr>
                <w:sz w:val="20"/>
                <w:szCs w:val="20"/>
                <w:color w:val="auto"/>
              </w:rPr>
            </w:pPr>
            <w:r>
              <w:rPr>
                <w:rFonts w:ascii="Times New Roman" w:cs="Times New Roman" w:eastAsia="Times New Roman" w:hAnsi="Times New Roman"/>
                <w:sz w:val="13"/>
                <w:szCs w:val="13"/>
                <w:color w:val="auto"/>
              </w:rPr>
              <w:t>46</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9"/>
        </w:trPr>
        <w:tc>
          <w:tcPr>
            <w:tcW w:w="444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48" w:name="page49"/>
    <w:bookmarkEnd w:id="48"/>
    <w:p>
      <w:pPr>
        <w:ind w:left="441"/>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2020:</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32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120" w:type="dxa"/>
            <w:vAlign w:val="bottom"/>
          </w:tcPr>
          <w:p>
            <w:pPr>
              <w:spacing w:after="0"/>
              <w:rPr>
                <w:sz w:val="9"/>
                <w:szCs w:val="9"/>
                <w:color w:val="auto"/>
              </w:rPr>
            </w:pPr>
          </w:p>
        </w:tc>
        <w:tc>
          <w:tcPr>
            <w:tcW w:w="940" w:type="dxa"/>
            <w:vAlign w:val="bottom"/>
            <w:gridSpan w:val="3"/>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w w:val="99"/>
              </w:rPr>
              <w:t>Spread Above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1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r>
      <w:tr>
        <w:trPr>
          <w:trHeight w:val="116"/>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Debt—838.2%</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Technologies,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07/24/2025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4,856,155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4,795,251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4,686,189</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American Auto Auction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01/02/2024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Transportation: Consumer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7,670,399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7,596,860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7,440,287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05/16/2022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10,901,843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10,774,172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10,792,825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Cadence Aerospace,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11/14/2023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11,802,082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11,730,187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11,322,915</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Cardenas Markets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11/29/2023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4,779,776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4,759,527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4,779,776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Centauri Group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02/12/2024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5,330,847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5,330,847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5,304,193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08/31/2023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9,663,392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9,595,826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8,986,954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179,976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Holdings, LLC (Revolver)</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8,836,683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8,756,358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8,704,133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7,403,183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7,370,405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7,292,135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11/03/2025</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8,022,149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7,950,609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7,875,344</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05/31/2024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Banking, Finance, Insurance and Real Estate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5.46%</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L+525A</w:t>
            </w:r>
          </w:p>
        </w:tc>
        <w:tc>
          <w:tcPr>
            <w:tcW w:w="1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10,000,000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7,411,600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6,809,125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GCOM Software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11/14/2022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16,646,228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16,562,972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16,646,228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Good2Grow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11/18/2024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Beverages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9,499,183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9,429,133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9,427,938</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GSM Holdings,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06/03/2024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19,470,523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19,354,235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19,275,817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IMIA Holdings,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10/26/2025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12,143,568</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12,097,717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12,022,132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Impact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06/27/2023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8.37%</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L+737</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9,290,185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9,216,206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9,336,636</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09/29/2023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8,587,606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8,587,606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8,458,792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12/20/2023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L+700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19,650,000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19,436,214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19,217,700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10/31/2024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8.50%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9,975,861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9,902,990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9,188,766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Retail</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6,843,750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6,872,048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6,631,320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Manna Pro Products,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12/08/2023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4,313,910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4,273,019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4,197,866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8"/>
                <w:szCs w:val="8"/>
                <w:color w:val="auto"/>
              </w:rPr>
              <w:t>(4)</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01/27/2023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85"/>
              </w:rPr>
              <w:t>(5)</w:t>
            </w:r>
          </w:p>
        </w:tc>
        <w:tc>
          <w:tcPr>
            <w:tcW w:w="520" w:type="dxa"/>
            <w:vAlign w:val="bottom"/>
          </w:tcPr>
          <w:p>
            <w:pPr>
              <w:spacing w:after="0"/>
              <w:rPr>
                <w:sz w:val="10"/>
                <w:szCs w:val="10"/>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C</w:t>
            </w:r>
          </w:p>
        </w:tc>
        <w:tc>
          <w:tcPr>
            <w:tcW w:w="1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5,730,254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4,449,786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3,623,691</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MeritDirect,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05/23/2024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Advertising, Printing &amp; Publishing</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4,812,500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4,771,073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4,583,906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09/28/2022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5,949,731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5,927,114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5,877,737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Milani Group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06/06/2024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14,662,500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14,568,019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13,379,531</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03/27/2024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7,803,419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7,825,029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7,101,111</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09/29/2025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5.19%</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9,792,594</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9,717,936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9,156,076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Plant Health Intermediate,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1,594,030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1,579,915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1,570,120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8"/>
              </w:rPr>
              <w:t>05/8/2026</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5.72%</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4,025,520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3,990,707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3,824,244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12/20/2024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4,925,000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4,860,858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4,836,350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11,904,617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11,904,617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11,041,532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10/14/2024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4.93%</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11,175,938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11,090,654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10,840,659</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Snak Club,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07/19/2021</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4,561,971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4,561,971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4,493,542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01/17/2024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6,214,305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6,149,172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6,145,948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STV Group Incorporated</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12/11/2026</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5.40%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7,762,222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7,692,023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7,684,600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TeleGuam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11/20/2025</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8,309,797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8,272,104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8,060,503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07/18/2025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4,950,000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4,783,595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4,764,375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Infosoft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09/16/2024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6M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8,602,807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8,584,634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8,602,807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11/24/2025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8,924,066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8,837,614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8,656,344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TVC Enterprises,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01/18/2024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9,747,335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9,747,335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9,674,230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06/16/2025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6,910,465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6,797,117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6,772,256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UBEO,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04/03/2024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21,930,702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21,762,065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20,614,860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Associates,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08/30/2024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11,463,443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11,311,325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11,119,540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09/26/2024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10,594,047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10,440,520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10,594,047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Whitney, Bradley &amp; Brown,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10/18/2022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8.50%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254,095</w:t>
            </w: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250,910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251,557</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392,309,962</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382,299,150</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Debt—19.5%</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04/29/2024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964,045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964,045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889,813</w:t>
            </w:r>
          </w:p>
        </w:tc>
        <w:tc>
          <w:tcPr>
            <w:tcW w:w="120" w:type="dxa"/>
            <w:vAlign w:val="bottom"/>
          </w:tcPr>
          <w:p>
            <w:pPr>
              <w:spacing w:after="0"/>
              <w:rPr>
                <w:sz w:val="10"/>
                <w:szCs w:val="10"/>
                <w:color w:val="auto"/>
              </w:rPr>
            </w:pPr>
          </w:p>
        </w:tc>
      </w:tr>
      <w:tr>
        <w:trPr>
          <w:trHeight w:val="123"/>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(PIK 9.50%)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Term Loan B</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03/26/2021</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9.00%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120" w:type="dxa"/>
            <w:vAlign w:val="bottom"/>
            <w:shd w:val="clear" w:color="auto" w:fill="CCECFF"/>
          </w:tcPr>
          <w:p>
            <w:pPr>
              <w:spacing w:after="0"/>
              <w:rPr>
                <w:sz w:val="10"/>
                <w:szCs w:val="10"/>
                <w:color w:val="auto"/>
              </w:rPr>
            </w:pPr>
          </w:p>
        </w:tc>
      </w:tr>
      <w:tr>
        <w:trPr>
          <w:trHeight w:val="124"/>
        </w:trPr>
        <w:tc>
          <w:tcPr>
            <w:tcW w:w="21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(PIK 9.00%)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Term Loan 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02/02/2026</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9.00%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120" w:type="dxa"/>
            <w:vAlign w:val="bottom"/>
          </w:tcPr>
          <w:p>
            <w:pPr>
              <w:spacing w:after="0"/>
              <w:rPr>
                <w:sz w:val="10"/>
                <w:szCs w:val="10"/>
                <w:color w:val="auto"/>
              </w:rPr>
            </w:pPr>
          </w:p>
        </w:tc>
      </w:tr>
      <w:tr>
        <w:trPr>
          <w:trHeight w:val="123"/>
        </w:trPr>
        <w:tc>
          <w:tcPr>
            <w:tcW w:w="2120" w:type="dxa"/>
            <w:vAlign w:val="bottom"/>
            <w:tcBorders>
              <w:bottom w:val="single" w:sz="8" w:color="CCECFF"/>
            </w:tcBorders>
          </w:tcPr>
          <w:p>
            <w:pPr>
              <w:spacing w:after="0"/>
              <w:rPr>
                <w:sz w:val="10"/>
                <w:szCs w:val="10"/>
                <w:color w:val="auto"/>
              </w:rPr>
            </w:pPr>
          </w:p>
        </w:tc>
        <w:tc>
          <w:tcPr>
            <w:tcW w:w="96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820" w:type="dxa"/>
            <w:vAlign w:val="bottom"/>
            <w:tcBorders>
              <w:bottom w:val="single" w:sz="8" w:color="CCEC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(PIK 9.00%)</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8,957,504</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8,883,272</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Equity Securities—4.0%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 Company Inc.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1,713,105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Series A-1</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5,034,310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1,803,668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Series B</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1,065,021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236,521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6,983,936</w:t>
            </w: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1,803,668</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Investments—861.6%</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408,251,402</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392,986,090</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Equivalents—24.4%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6,005,963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6,005,963</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US Bank Cash</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5,109,410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5,115,516</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11,115,373</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11,121,479</w:t>
            </w:r>
          </w:p>
        </w:tc>
        <w:tc>
          <w:tcPr>
            <w:tcW w:w="120" w:type="dxa"/>
            <w:vAlign w:val="bottom"/>
            <w:shd w:val="clear" w:color="auto" w:fill="CCECFF"/>
          </w:tcPr>
          <w:p>
            <w:pPr>
              <w:spacing w:after="0"/>
              <w:rPr>
                <w:sz w:val="10"/>
                <w:szCs w:val="10"/>
                <w:color w:val="auto"/>
              </w:rPr>
            </w:pPr>
          </w:p>
        </w:tc>
      </w:tr>
      <w:tr>
        <w:trPr>
          <w:trHeight w:val="15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Equivalents—886.0%</w:t>
            </w:r>
          </w:p>
        </w:tc>
        <w:tc>
          <w:tcPr>
            <w:tcW w:w="12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254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520" w:type="dxa"/>
            <w:vAlign w:val="bottom"/>
            <w:tcBorders>
              <w:bottom w:val="single" w:sz="8" w:color="CCECFF"/>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419,366,775</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404,107,569</w:t>
            </w:r>
          </w:p>
        </w:tc>
        <w:tc>
          <w:tcPr>
            <w:tcW w:w="120" w:type="dxa"/>
            <w:vAlign w:val="bottom"/>
            <w:tcBorders>
              <w:bottom w:val="single" w:sz="8" w:color="CCECFF"/>
            </w:tcBorders>
          </w:tcPr>
          <w:p>
            <w:pPr>
              <w:spacing w:after="0"/>
              <w:rPr>
                <w:sz w:val="13"/>
                <w:szCs w:val="13"/>
                <w:color w:val="auto"/>
              </w:rPr>
            </w:pPr>
          </w:p>
        </w:tc>
      </w:tr>
      <w:tr>
        <w:trPr>
          <w:trHeight w:val="101"/>
        </w:trPr>
        <w:tc>
          <w:tcPr>
            <w:tcW w:w="3080" w:type="dxa"/>
            <w:vAlign w:val="bottom"/>
            <w:gridSpan w:val="2"/>
            <w:shd w:val="clear" w:color="auto" w:fill="CCEC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Liabilities in Excess of Other Assets—(786.0)%</w:t>
            </w:r>
          </w:p>
        </w:tc>
        <w:tc>
          <w:tcPr>
            <w:tcW w:w="12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25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80"/>
              <w:spacing w:after="0" w:line="101" w:lineRule="exact"/>
              <w:rPr>
                <w:sz w:val="20"/>
                <w:szCs w:val="20"/>
                <w:color w:val="auto"/>
              </w:rPr>
            </w:pPr>
            <w:r>
              <w:rPr>
                <w:rFonts w:ascii="Times New Roman" w:cs="Times New Roman" w:eastAsia="Times New Roman" w:hAnsi="Times New Roman"/>
                <w:sz w:val="10"/>
                <w:szCs w:val="10"/>
                <w:color w:val="auto"/>
              </w:rPr>
              <w:t>(358,495,484)</w:t>
            </w: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45,612,085</w:t>
            </w:r>
          </w:p>
        </w:tc>
        <w:tc>
          <w:tcPr>
            <w:tcW w:w="120" w:type="dxa"/>
            <w:vAlign w:val="bottom"/>
          </w:tcPr>
          <w:p>
            <w:pPr>
              <w:spacing w:after="0"/>
              <w:rPr>
                <w:sz w:val="10"/>
                <w:szCs w:val="10"/>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9" w:lineRule="exact"/>
        <w:rPr>
          <w:sz w:val="20"/>
          <w:szCs w:val="20"/>
          <w:color w:val="auto"/>
        </w:rPr>
      </w:pPr>
    </w:p>
    <w:p>
      <w:pPr>
        <w:ind w:left="361" w:right="120" w:hanging="361"/>
        <w:spacing w:after="0" w:line="247" w:lineRule="auto"/>
        <w:tabs>
          <w:tab w:leader="none" w:pos="361"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8"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Canadian Dollars (C$) as denoted.</w:t>
      </w:r>
    </w:p>
    <w:p>
      <w:pPr>
        <w:spacing w:after="0" w:line="9"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Non-income producing security.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20" w:right="339" w:bottom="1440" w:gutter="0" w:footer="0" w:header="0"/>
        </w:sectPr>
      </w:pPr>
    </w:p>
    <w:bookmarkStart w:id="49" w:name="page50"/>
    <w:bookmarkEnd w:id="49"/>
    <w:p>
      <w:pPr>
        <w:ind w:left="441"/>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2019:</w:t>
      </w:r>
    </w:p>
    <w:p>
      <w:pPr>
        <w:spacing w:after="0" w:line="139"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44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gridSpan w:val="3"/>
          </w:tcPr>
          <w:p>
            <w:pPr>
              <w:jc w:val="center"/>
              <w:ind w:right="160"/>
              <w:spacing w:after="0" w:line="112" w:lineRule="exact"/>
              <w:rPr>
                <w:sz w:val="20"/>
                <w:szCs w:val="20"/>
                <w:color w:val="auto"/>
              </w:rPr>
            </w:pPr>
            <w:r>
              <w:rPr>
                <w:rFonts w:ascii="Times New Roman" w:cs="Times New Roman" w:eastAsia="Times New Roman" w:hAnsi="Times New Roman"/>
                <w:sz w:val="10"/>
                <w:szCs w:val="10"/>
                <w:b w:val="1"/>
                <w:bCs w:val="1"/>
                <w:color w:val="auto"/>
                <w:w w:val="99"/>
              </w:rPr>
              <w:t>Spread Above</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12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r>
      <w:tr>
        <w:trPr>
          <w:trHeight w:val="116"/>
        </w:trPr>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Debt—830.5%</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Technologies,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07/24/2025</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8.28%</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4,927,149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American Auto Auction Group,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01/02/2024</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Transportation: Consumer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7,749,274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7,674,216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7,671,781</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05/16/2022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8.52%</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13,772,261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13,531,751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13,772,261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Cadence Aerospace,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11/14/2023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8.54%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11,735,208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11,644,440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11,680,054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Cardenas Markets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11/29/2023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7.79%</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7,348,866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7,311,507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7,128,400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Centauri Group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02/12/2024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7.36%</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10,422,726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10,413,416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10,396,669</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08/31/2023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7.87%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10,127,447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10,040,432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9,874,261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179,170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Holdings, LLC (Revolver)</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 (Revolver) </w:t>
            </w:r>
            <w:r>
              <w:rPr>
                <w:rFonts w:ascii="Times New Roman" w:cs="Times New Roman" w:eastAsia="Times New Roman" w:hAnsi="Times New Roman"/>
                <w:sz w:val="8"/>
                <w:szCs w:val="8"/>
                <w:color w:val="auto"/>
              </w:rPr>
              <w:t>(5)</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324,080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Deva Holdings,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10/31/2023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7.54%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12,312,500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12,157,345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12,189,375</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7.85%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8,166,594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8,116,022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8,084,928</w:t>
            </w:r>
          </w:p>
        </w:tc>
        <w:tc>
          <w:tcPr>
            <w:tcW w:w="120" w:type="dxa"/>
            <w:vAlign w:val="bottom"/>
            <w:shd w:val="clear" w:color="auto" w:fill="CCECFF"/>
          </w:tcPr>
          <w:p>
            <w:pPr>
              <w:spacing w:after="0"/>
              <w:rPr>
                <w:sz w:val="10"/>
                <w:szCs w:val="10"/>
                <w:color w:val="auto"/>
              </w:rPr>
            </w:pPr>
          </w:p>
        </w:tc>
      </w:tr>
      <w:tr>
        <w:trPr>
          <w:trHeight w:val="13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8"/>
                <w:szCs w:val="8"/>
                <w:color w:val="auto"/>
              </w:rPr>
              <w:t>(3), (4)</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05/31/2024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Banking, Finance, Insurance and Real Estate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6.26%</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L+525A</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7,376,173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6,542,165</w:t>
            </w:r>
          </w:p>
        </w:tc>
        <w:tc>
          <w:tcPr>
            <w:tcW w:w="120" w:type="dxa"/>
            <w:vAlign w:val="bottom"/>
          </w:tcPr>
          <w:p>
            <w:pPr>
              <w:spacing w:after="0"/>
              <w:rPr>
                <w:sz w:val="11"/>
                <w:szCs w:val="11"/>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Software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11/14/2022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8.37%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17,384,864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17,263,748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17,384,864</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Good2Grow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11/18/2024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Beverages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11,752,655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11,649,126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11,576,366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Good Source Solutions,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06/29/2023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14,357,813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14,241,579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14,135,267</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GSM Holdings,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06/03/2024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19,669,098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19,524,460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19,472,406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IMIA Holdings,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10/28/2024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6.60%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12,406,250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12,351,255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12,344,219</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Impact Group,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06/27/2023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9,390,185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9,296,753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9,296,283</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Infrastructure Supply Operations Pty Ltd.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12/12/2023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5.80%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L+425A</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10,973,919</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9,717,138</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09/29/2023</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12/20/2023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7.30%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19,850,000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19,586,294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19,609,815</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10/31/2024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9,837,686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9,916,068</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Leap Legal Software Pty Ltd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09/12/2022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6.80%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L+575A</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14,755,747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10,483,859</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9,952,014</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Long's Drugs Incorporated</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08/19/2022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17,820,000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17,688,160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17,641,800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Retail</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7,078,125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7,118,977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6,575,083</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Manna Pro Products,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12/08/2023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8.05%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6,877,500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6,797,207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6,688,369</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8"/>
                <w:szCs w:val="8"/>
                <w:color w:val="auto"/>
              </w:rPr>
              <w:t>(4)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01/27/2021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7.20%</w:t>
            </w:r>
          </w:p>
        </w:tc>
        <w:tc>
          <w:tcPr>
            <w:tcW w:w="500" w:type="dxa"/>
            <w:vAlign w:val="bottom"/>
            <w:shd w:val="clear" w:color="auto" w:fill="CCECFF"/>
          </w:tcPr>
          <w:p>
            <w:pPr>
              <w:spacing w:after="0"/>
              <w:rPr>
                <w:sz w:val="11"/>
                <w:szCs w:val="11"/>
                <w:color w:val="auto"/>
              </w:rPr>
            </w:pP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P+275C</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5,760,254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4,461,926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4,350,645</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09/28/2022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6,009,982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5,977,867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6,009,982</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Milani Group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06/06/2024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14,812,500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14,691,710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14,664,375</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Olde Thompson,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05/14/2024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6.54%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11,876,667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11,757,900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11,876,667</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03/27/2024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6.54%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7,883,419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7,909,754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6,779,740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Pestell Minerals and Ingredients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7.57%</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9,840,202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9,825,750</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Pestell Minerals and Ingredients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06/01/2023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7.23%</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L+525C</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3,242,655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2,412,626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2,424,644</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09/29/2025</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7.04%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9,892,519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9,804,058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9,397,893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Plant Health Intermediate,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1,758,406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1,736,386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1,740,822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8"/>
              </w:rPr>
              <w:t>05/8/2026</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4,189,500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4,148,451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4,184,263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10/14/2024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6.66%</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11,289,688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11,189,470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11,176,791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Snak Club,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07/19/2021</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4,687,495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4,687,495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4,359,370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Sonny's Enterprises,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12/01/2022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15,224,842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15,227,900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15,224,842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07/18/2025</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7.29%</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4,804,110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4,762,500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Infosoft Group,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12/02/2021</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7.43%</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6M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8,823,392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8,790,069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8,735,157</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TVC Enterprises,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01/18/2024</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7.55%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06/16/2025</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8.28%</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7,075,000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6,937,888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6,933,500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UBEO,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04/03/2024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6.78%</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22,248,673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22,045,879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22,026,186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Associates,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08/30/2024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7.04%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11,572,122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11,388,612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11,572,122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09/26/2024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8.83%</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16,001,734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15,724,459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16,121,747</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Whitney, Bradley &amp; Brown,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10/18/2022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9.55%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5,466,024</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5,389,938</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5,466,024</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478,935,867</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474,289,532</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Debt—14.8%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04/29/2024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120" w:type="dxa"/>
            <w:vAlign w:val="bottom"/>
          </w:tcPr>
          <w:p>
            <w:pPr>
              <w:spacing w:after="0"/>
              <w:rPr>
                <w:sz w:val="10"/>
                <w:szCs w:val="10"/>
                <w:color w:val="auto"/>
              </w:rPr>
            </w:pPr>
          </w:p>
        </w:tc>
      </w:tr>
      <w:tr>
        <w:trPr>
          <w:trHeight w:val="123"/>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10.60%)</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Term Loan B</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03/26/2021</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6M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120" w:type="dxa"/>
            <w:vAlign w:val="bottom"/>
            <w:shd w:val="clear" w:color="auto" w:fill="CCECFF"/>
          </w:tcPr>
          <w:p>
            <w:pPr>
              <w:spacing w:after="0"/>
              <w:rPr>
                <w:sz w:val="10"/>
                <w:szCs w:val="10"/>
                <w:color w:val="auto"/>
              </w:rPr>
            </w:pPr>
          </w:p>
        </w:tc>
      </w:tr>
      <w:tr>
        <w:trPr>
          <w:trHeight w:val="124"/>
        </w:trPr>
        <w:tc>
          <w:tcPr>
            <w:tcW w:w="2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8.00%)</w:t>
            </w: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Term Loan 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02/02/2026</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7,607,291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7,607,291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7,569,255</w:t>
            </w:r>
          </w:p>
        </w:tc>
        <w:tc>
          <w:tcPr>
            <w:tcW w:w="120" w:type="dxa"/>
            <w:vAlign w:val="bottom"/>
          </w:tcPr>
          <w:p>
            <w:pPr>
              <w:spacing w:after="0"/>
              <w:rPr>
                <w:sz w:val="10"/>
                <w:szCs w:val="10"/>
                <w:color w:val="auto"/>
              </w:rPr>
            </w:pPr>
          </w:p>
        </w:tc>
      </w:tr>
      <w:tr>
        <w:trPr>
          <w:trHeight w:val="123"/>
        </w:trPr>
        <w:tc>
          <w:tcPr>
            <w:tcW w:w="2120" w:type="dxa"/>
            <w:vAlign w:val="bottom"/>
            <w:tcBorders>
              <w:bottom w:val="single" w:sz="8" w:color="CCECFF"/>
            </w:tcBorders>
          </w:tcPr>
          <w:p>
            <w:pPr>
              <w:spacing w:after="0"/>
              <w:rPr>
                <w:sz w:val="10"/>
                <w:szCs w:val="10"/>
                <w:color w:val="auto"/>
              </w:rPr>
            </w:pPr>
          </w:p>
        </w:tc>
        <w:tc>
          <w:tcPr>
            <w:tcW w:w="9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8.00%)</w:t>
            </w: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8,493,383</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8,455,347</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Equity Securities—10.2%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 Company Inc.</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1,713,106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1,124,929</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Series A-1</w:t>
            </w:r>
          </w:p>
        </w:tc>
        <w:tc>
          <w:tcPr>
            <w:tcW w:w="120" w:type="dxa"/>
            <w:vAlign w:val="bottom"/>
          </w:tcPr>
          <w:p>
            <w:pPr>
              <w:spacing w:after="0"/>
              <w:rPr>
                <w:sz w:val="10"/>
                <w:szCs w:val="1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5,034,310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4,680,039</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Series B</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1,065,021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236,524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6,983,940</w:t>
            </w: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5,804,968</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Investments—855.5%</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494,413,190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488,549,847</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Equivalents—26.8%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12,166,301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12,166,301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US Bank Cash</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3,156,230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3,128,580</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15,322,531</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15,294,881</w:t>
            </w:r>
          </w:p>
        </w:tc>
        <w:tc>
          <w:tcPr>
            <w:tcW w:w="120" w:type="dxa"/>
            <w:vAlign w:val="bottom"/>
            <w:shd w:val="clear" w:color="auto" w:fill="CCECFF"/>
          </w:tcPr>
          <w:p>
            <w:pPr>
              <w:spacing w:after="0"/>
              <w:rPr>
                <w:sz w:val="10"/>
                <w:szCs w:val="10"/>
                <w:color w:val="auto"/>
              </w:rPr>
            </w:pPr>
          </w:p>
        </w:tc>
      </w:tr>
      <w:tr>
        <w:trPr>
          <w:trHeight w:val="15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Equivalents—882.3%</w:t>
            </w:r>
          </w:p>
        </w:tc>
        <w:tc>
          <w:tcPr>
            <w:tcW w:w="12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268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500" w:type="dxa"/>
            <w:vAlign w:val="bottom"/>
            <w:tcBorders>
              <w:bottom w:val="single" w:sz="8" w:color="CCECFF"/>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509,735,721</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503,844,728</w:t>
            </w:r>
          </w:p>
        </w:tc>
        <w:tc>
          <w:tcPr>
            <w:tcW w:w="120" w:type="dxa"/>
            <w:vAlign w:val="bottom"/>
            <w:tcBorders>
              <w:bottom w:val="single" w:sz="8" w:color="CCECFF"/>
            </w:tcBorders>
          </w:tcPr>
          <w:p>
            <w:pPr>
              <w:spacing w:after="0"/>
              <w:rPr>
                <w:sz w:val="13"/>
                <w:szCs w:val="13"/>
                <w:color w:val="auto"/>
              </w:rPr>
            </w:pPr>
          </w:p>
        </w:tc>
      </w:tr>
      <w:tr>
        <w:trPr>
          <w:trHeight w:val="101"/>
        </w:trPr>
        <w:tc>
          <w:tcPr>
            <w:tcW w:w="3040" w:type="dxa"/>
            <w:vAlign w:val="bottom"/>
            <w:gridSpan w:val="2"/>
            <w:shd w:val="clear" w:color="auto" w:fill="CCEC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Liabilities in Excess of Other Assets—(782.3)%</w:t>
            </w:r>
          </w:p>
        </w:tc>
        <w:tc>
          <w:tcPr>
            <w:tcW w:w="12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26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80"/>
              <w:spacing w:after="0" w:line="101" w:lineRule="exact"/>
              <w:rPr>
                <w:sz w:val="20"/>
                <w:szCs w:val="20"/>
                <w:color w:val="auto"/>
              </w:rPr>
            </w:pPr>
            <w:r>
              <w:rPr>
                <w:rFonts w:ascii="Times New Roman" w:cs="Times New Roman" w:eastAsia="Times New Roman" w:hAnsi="Times New Roman"/>
                <w:sz w:val="10"/>
                <w:szCs w:val="10"/>
                <w:color w:val="auto"/>
              </w:rPr>
              <w:t>(446,736,922)</w:t>
            </w: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57,107,806</w:t>
            </w:r>
          </w:p>
        </w:tc>
        <w:tc>
          <w:tcPr>
            <w:tcW w:w="120" w:type="dxa"/>
            <w:vAlign w:val="bottom"/>
          </w:tcPr>
          <w:p>
            <w:pPr>
              <w:spacing w:after="0"/>
              <w:rPr>
                <w:sz w:val="10"/>
                <w:szCs w:val="10"/>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9" w:lineRule="exact"/>
        <w:rPr>
          <w:sz w:val="20"/>
          <w:szCs w:val="20"/>
          <w:color w:val="auto"/>
        </w:rPr>
      </w:pPr>
    </w:p>
    <w:p>
      <w:pPr>
        <w:ind w:left="361" w:right="220" w:hanging="361"/>
        <w:spacing w:after="0" w:line="259" w:lineRule="auto"/>
        <w:tabs>
          <w:tab w:leader="none" w:pos="361"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Canadian Dollars (C$) as denoted.</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6" w:right="339" w:bottom="1440" w:gutter="0" w:footer="0" w:header="0"/>
        </w:sectPr>
      </w:pPr>
    </w:p>
    <w:bookmarkStart w:id="50" w:name="page51"/>
    <w:bookmarkEnd w:id="50"/>
    <w:tbl>
      <w:tblPr>
        <w:tblLayout w:type="fixed"/>
        <w:tblInd w:w="1" w:type="dxa"/>
        <w:tblCellMar>
          <w:top w:w="0" w:type="dxa"/>
          <w:left w:w="0" w:type="dxa"/>
          <w:bottom w:w="0" w:type="dxa"/>
          <w:right w:w="0" w:type="dxa"/>
        </w:tblCellMar>
      </w:tblPr>
      <w:tr>
        <w:trPr>
          <w:trHeight w:val="172"/>
        </w:trPr>
        <w:tc>
          <w:tcPr>
            <w:tcW w:w="43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Below is the financial information for PSSL:</w:t>
            </w: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20" w:type="dxa"/>
            <w:vAlign w:val="bottom"/>
            <w:gridSpan w:val="2"/>
          </w:tcPr>
          <w:p>
            <w:pPr>
              <w:jc w:val="right"/>
              <w:ind w:right="1265"/>
              <w:spacing w:after="0"/>
              <w:rPr>
                <w:sz w:val="20"/>
                <w:szCs w:val="20"/>
                <w:color w:val="auto"/>
              </w:rPr>
            </w:pPr>
            <w:r>
              <w:rPr>
                <w:rFonts w:ascii="Times New Roman" w:cs="Times New Roman" w:eastAsia="Times New Roman" w:hAnsi="Times New Roman"/>
                <w:sz w:val="13"/>
                <w:szCs w:val="13"/>
                <w:b w:val="1"/>
                <w:bCs w:val="1"/>
                <w:color w:val="auto"/>
              </w:rPr>
              <w:t>Statements of Assets and Liabilities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41"/>
        </w:trPr>
        <w:tc>
          <w:tcPr>
            <w:tcW w:w="436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Investments at fair value (cost—$408,251,402 and $494,413,190, respectively)</w:t>
            </w:r>
          </w:p>
        </w:tc>
        <w:tc>
          <w:tcPr>
            <w:tcW w:w="352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392,986,090</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488,549,847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 (cost—$11,115,373 and $15,322,531, respectively)</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11,121,479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15,294,881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2,235,595</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1,855,545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62,812</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996,333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406,405,976</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506,696,606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216,969,469</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308,724,305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payable to members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143,290,000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credit facility</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490,858</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1,152,544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payable on members notes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other expenses</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10,845</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22,754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360,793,891</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449,588,800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1"/>
                <w:szCs w:val="11"/>
                <w:color w:val="auto"/>
              </w:rPr>
              <w:t>(1)</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Members' equity</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45,612,085</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57,107,806</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3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406,405,976</w:t>
            </w:r>
          </w:p>
        </w:tc>
        <w:tc>
          <w:tcPr>
            <w:tcW w:w="2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506,696,606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61" w:hanging="361"/>
        <w:spacing w:after="0" w:line="195" w:lineRule="auto"/>
        <w:tabs>
          <w:tab w:leader="none" w:pos="361" w:val="left"/>
        </w:tabs>
        <w:numPr>
          <w:ilvl w:val="0"/>
          <w:numId w:val="60"/>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As of both September 30, 2020 and 2019, PSSL had no unfunded commitments to fund investments.</w:t>
      </w:r>
    </w:p>
    <w:p>
      <w:pPr>
        <w:spacing w:after="0" w:line="293"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60" w:type="dxa"/>
            <w:vAlign w:val="bottom"/>
            <w:gridSpan w:val="2"/>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Statements of Operations</w:t>
            </w: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40" w:type="dxa"/>
            <w:vAlign w:val="bottom"/>
          </w:tcPr>
          <w:p>
            <w:pPr>
              <w:spacing w:after="0"/>
              <w:rPr>
                <w:sz w:val="15"/>
                <w:szCs w:val="15"/>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4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11"/>
        </w:trPr>
        <w:tc>
          <w:tcPr>
            <w:tcW w:w="2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44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460" w:type="dxa"/>
            <w:vAlign w:val="bottom"/>
            <w:gridSpan w:val="2"/>
          </w:tcPr>
          <w:p>
            <w:pPr>
              <w:jc w:val="center"/>
              <w:ind w:right="46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5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6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w:t>
            </w:r>
          </w:p>
        </w:tc>
        <w:tc>
          <w:tcPr>
            <w:tcW w:w="206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33,260,154</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39,288,981</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17,744,486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CEC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income</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138,795</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785,111</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280,080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33,398,949</w:t>
            </w:r>
          </w:p>
        </w:tc>
        <w:tc>
          <w:tcPr>
            <w:tcW w:w="30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40,074,092</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18,024,566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 and expenses on credit facility</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11,865,971</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16,487,783</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7,654,035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Interest expense on members notes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13,531,037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14,247,817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6,060,468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1,200,000</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CEC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Other general and administrative expenses </w:t>
            </w:r>
            <w:r>
              <w:rPr>
                <w:rFonts w:ascii="Times New Roman" w:cs="Times New Roman" w:eastAsia="Times New Roman" w:hAnsi="Times New Roman"/>
                <w:sz w:val="11"/>
                <w:szCs w:val="11"/>
                <w:color w:val="auto"/>
              </w:rPr>
              <w:t>(1)</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485,660</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454,600</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692,736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expenses</w:t>
            </w:r>
          </w:p>
        </w:tc>
        <w:tc>
          <w:tcPr>
            <w:tcW w:w="1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27,082,668</w:t>
            </w:r>
          </w:p>
        </w:tc>
        <w:tc>
          <w:tcPr>
            <w:tcW w:w="30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32,340,200</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15,057,239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tcBorders>
              <w:bottom w:val="single" w:sz="8" w:color="CCECFF"/>
            </w:tcBorders>
            <w:gridSpan w:val="2"/>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investment income</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6,316,281</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7,733,892</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2,967,327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60" w:type="dxa"/>
            <w:vAlign w:val="bottom"/>
            <w:gridSpan w:val="2"/>
            <w:shd w:val="clear" w:color="auto" w:fill="CCEC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Realized and unrealized (loss) gain on investments and credit facility foreign</w:t>
            </w:r>
          </w:p>
        </w:tc>
        <w:tc>
          <w:tcPr>
            <w:tcW w:w="19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60" w:type="dxa"/>
            <w:vAlign w:val="bottom"/>
            <w:shd w:val="clear" w:color="auto" w:fill="CCECFF"/>
          </w:tcPr>
          <w:p>
            <w:pPr>
              <w:spacing w:after="0"/>
              <w:rPr>
                <w:sz w:val="10"/>
                <w:szCs w:val="10"/>
                <w:color w:val="auto"/>
              </w:rPr>
            </w:pPr>
          </w:p>
        </w:tc>
        <w:tc>
          <w:tcPr>
            <w:tcW w:w="300" w:type="dxa"/>
            <w:vAlign w:val="bottom"/>
            <w:tcBorders>
              <w:right w:val="single" w:sz="8" w:color="CCECFF"/>
            </w:tcBorders>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currency translations:</w:t>
            </w:r>
          </w:p>
        </w:tc>
        <w:tc>
          <w:tcPr>
            <w:tcW w:w="1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300" w:type="dxa"/>
            <w:vAlign w:val="bottom"/>
            <w:tcBorders>
              <w:right w:val="single" w:sz="8" w:color="CCECFF"/>
            </w:tcBorders>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realized (loss) gain on investments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(992,974)</w:t>
            </w:r>
          </w:p>
        </w:tc>
        <w:tc>
          <w:tcPr>
            <w:tcW w:w="14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(885,069)</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change in unrealized (depreciation) appreciation on:</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Investments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(9,368,121)</w:t>
            </w:r>
          </w:p>
        </w:tc>
        <w:tc>
          <w:tcPr>
            <w:tcW w:w="14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(5,976,299)</w:t>
            </w:r>
          </w:p>
        </w:tc>
        <w:tc>
          <w:tcPr>
            <w:tcW w:w="14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(364,201)</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Credit facility foreign currency translation</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(2,210,907)</w:t>
            </w: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1,887,878</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220"/>
              <w:spacing w:after="0" w:line="139" w:lineRule="exact"/>
              <w:rPr>
                <w:sz w:val="20"/>
                <w:szCs w:val="20"/>
                <w:color w:val="auto"/>
              </w:rPr>
            </w:pPr>
            <w:r>
              <w:rPr>
                <w:rFonts w:ascii="Times New Roman" w:cs="Times New Roman" w:eastAsia="Times New Roman" w:hAnsi="Times New Roman"/>
                <w:sz w:val="13"/>
                <w:szCs w:val="13"/>
                <w:b w:val="1"/>
                <w:bCs w:val="1"/>
                <w:color w:val="auto"/>
              </w:rPr>
              <w:t>Net change in unrealized (depreciation) appreciation on investments and credit</w:t>
            </w: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(11,579,028)</w:t>
            </w:r>
          </w:p>
        </w:tc>
        <w:tc>
          <w:tcPr>
            <w:tcW w:w="140" w:type="dxa"/>
            <w:vAlign w:val="bottom"/>
          </w:tcPr>
          <w:p>
            <w:pPr>
              <w:spacing w:after="0"/>
              <w:rPr>
                <w:sz w:val="10"/>
                <w:szCs w:val="10"/>
                <w:color w:val="auto"/>
              </w:rPr>
            </w:pPr>
          </w:p>
        </w:tc>
        <w:tc>
          <w:tcPr>
            <w:tcW w:w="1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(4,088,421)</w:t>
            </w: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facility foreign currency translations</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C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Net realized and unrealized (loss) gain from investments and credit facility foreign</w:t>
            </w:r>
          </w:p>
        </w:tc>
        <w:tc>
          <w:tcPr>
            <w:tcW w:w="19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60" w:type="dxa"/>
            <w:vAlign w:val="bottom"/>
            <w:gridSpan w:val="2"/>
            <w:vMerge w:val="continue"/>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4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(12,572,002)</w:t>
            </w:r>
          </w:p>
        </w:tc>
        <w:tc>
          <w:tcPr>
            <w:tcW w:w="140" w:type="dxa"/>
            <w:vAlign w:val="bottom"/>
            <w:shd w:val="clear" w:color="auto" w:fill="CCECFF"/>
          </w:tcPr>
          <w:p>
            <w:pPr>
              <w:spacing w:after="0"/>
              <w:rPr>
                <w:sz w:val="10"/>
                <w:szCs w:val="10"/>
                <w:color w:val="auto"/>
              </w:rPr>
            </w:pPr>
          </w:p>
        </w:tc>
        <w:tc>
          <w:tcPr>
            <w:tcW w:w="1460" w:type="dxa"/>
            <w:vAlign w:val="bottom"/>
            <w:tcBorders>
              <w:right w:val="single" w:sz="8" w:color="CCECFF"/>
            </w:tcBorders>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(4,973,490)</w:t>
            </w:r>
          </w:p>
        </w:tc>
        <w:tc>
          <w:tcPr>
            <w:tcW w:w="140" w:type="dxa"/>
            <w:vAlign w:val="bottom"/>
            <w:shd w:val="clear" w:color="auto" w:fill="CCECFF"/>
          </w:tcPr>
          <w:p>
            <w:pPr>
              <w:spacing w:after="0"/>
              <w:rPr>
                <w:sz w:val="10"/>
                <w:szCs w:val="10"/>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629,913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currency translations</w:t>
            </w:r>
          </w:p>
        </w:tc>
        <w:tc>
          <w:tcPr>
            <w:tcW w:w="1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40" w:type="dxa"/>
            <w:vAlign w:val="bottom"/>
            <w:gridSpan w:val="2"/>
            <w:vMerge w:val="continue"/>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60" w:type="dxa"/>
            <w:vAlign w:val="bottom"/>
            <w:tcBorders>
              <w:right w:val="single" w:sz="8" w:color="CCECFF"/>
            </w:tcBorders>
            <w:gridSpan w:val="2"/>
            <w:vMerge w:val="continue"/>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(decrease) increase in members' equity resulting from operations</w:t>
            </w:r>
          </w:p>
        </w:tc>
        <w:tc>
          <w:tcPr>
            <w:tcW w:w="19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(6,255,721)</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2,760,402</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1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3,597,240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61" w:hanging="361"/>
        <w:spacing w:after="0" w:line="195" w:lineRule="auto"/>
        <w:tabs>
          <w:tab w:leader="none" w:pos="361" w:val="left"/>
        </w:tabs>
        <w:numPr>
          <w:ilvl w:val="0"/>
          <w:numId w:val="61"/>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No management or incentive fees are payable by PSSL. If any fees were to be charged, they would be separately disclosed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6" w:right="339" w:bottom="1440" w:gutter="0" w:footer="0" w:header="0"/>
        </w:sectPr>
      </w:pPr>
    </w:p>
    <w:bookmarkStart w:id="51" w:name="page52"/>
    <w:bookmarkEnd w:id="51"/>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Contractual Obligations</w:t>
      </w:r>
    </w:p>
    <w:p>
      <w:pPr>
        <w:spacing w:after="0" w:line="127" w:lineRule="exact"/>
        <w:rPr>
          <w:sz w:val="20"/>
          <w:szCs w:val="20"/>
          <w:color w:val="auto"/>
        </w:rPr>
      </w:pPr>
    </w:p>
    <w:p>
      <w:pPr>
        <w:ind w:left="1" w:right="360" w:firstLine="730"/>
        <w:spacing w:after="0" w:line="254" w:lineRule="auto"/>
        <w:rPr>
          <w:sz w:val="20"/>
          <w:szCs w:val="20"/>
          <w:color w:val="auto"/>
        </w:rPr>
      </w:pPr>
      <w:r>
        <w:rPr>
          <w:rFonts w:ascii="Times New Roman" w:cs="Times New Roman" w:eastAsia="Times New Roman" w:hAnsi="Times New Roman"/>
          <w:sz w:val="13"/>
          <w:szCs w:val="13"/>
          <w:color w:val="auto"/>
        </w:rPr>
        <w:t>A summary of our significant contractual payment obligations at cost as of September 30, 2020, including borrowings under our Credit Facility, 2023 Notes, 2031 Asset-Backed Debt and other contractual obligations, is as follows:</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Payments due by period (millions)</w:t>
            </w: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1"/>
              <w:spacing w:after="0" w:line="119"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center"/>
              <w:ind w:right="214"/>
              <w:spacing w:after="0" w:line="119" w:lineRule="exact"/>
              <w:rPr>
                <w:sz w:val="20"/>
                <w:szCs w:val="20"/>
                <w:color w:val="auto"/>
              </w:rPr>
            </w:pPr>
            <w:r>
              <w:rPr>
                <w:rFonts w:ascii="Times New Roman" w:cs="Times New Roman" w:eastAsia="Times New Roman" w:hAnsi="Times New Roman"/>
                <w:sz w:val="13"/>
                <w:szCs w:val="13"/>
                <w:b w:val="1"/>
                <w:bCs w:val="1"/>
                <w:color w:val="auto"/>
              </w:rPr>
              <w:t>1-3</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74"/>
              <w:spacing w:after="0" w:line="119" w:lineRule="exact"/>
              <w:rPr>
                <w:sz w:val="20"/>
                <w:szCs w:val="20"/>
                <w:color w:val="auto"/>
              </w:rPr>
            </w:pPr>
            <w:r>
              <w:rPr>
                <w:rFonts w:ascii="Times New Roman" w:cs="Times New Roman" w:eastAsia="Times New Roman" w:hAnsi="Times New Roman"/>
                <w:sz w:val="13"/>
                <w:szCs w:val="13"/>
                <w:b w:val="1"/>
                <w:bCs w:val="1"/>
                <w:color w:val="auto"/>
              </w:rPr>
              <w:t>3-5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54"/>
              <w:spacing w:after="0" w:line="119"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80" w:type="dxa"/>
            <w:vAlign w:val="bottom"/>
          </w:tcPr>
          <w:p>
            <w:pPr>
              <w:spacing w:after="0"/>
              <w:rPr>
                <w:sz w:val="13"/>
                <w:szCs w:val="13"/>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0" w:type="dxa"/>
            <w:vAlign w:val="bottom"/>
          </w:tcPr>
          <w:p>
            <w:pPr>
              <w:spacing w:after="0"/>
              <w:rPr>
                <w:sz w:val="1"/>
                <w:szCs w:val="1"/>
                <w:color w:val="auto"/>
              </w:rPr>
            </w:pPr>
          </w:p>
        </w:tc>
      </w:tr>
      <w:tr>
        <w:trPr>
          <w:trHeight w:val="141"/>
        </w:trPr>
        <w:tc>
          <w:tcPr>
            <w:tcW w:w="21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Credit Facility</w:t>
            </w:r>
          </w:p>
        </w:tc>
        <w:tc>
          <w:tcPr>
            <w:tcW w:w="1740" w:type="dxa"/>
            <w:vAlign w:val="bottom"/>
            <w:tcBorders>
              <w:top w:val="single" w:sz="8" w:color="CCECFF"/>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jc w:val="right"/>
              <w:ind w:right="7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308.6</w:t>
            </w:r>
          </w:p>
        </w:tc>
        <w:tc>
          <w:tcPr>
            <w:tcW w:w="240" w:type="dxa"/>
            <w:vAlign w:val="bottom"/>
            <w:tcBorders>
              <w:top w:val="single" w:sz="8" w:color="CCECFF"/>
            </w:tcBorders>
            <w:shd w:val="clear" w:color="auto" w:fill="CCECFF"/>
          </w:tcPr>
          <w:p>
            <w:pPr>
              <w:spacing w:after="0"/>
              <w:rPr>
                <w:sz w:val="12"/>
                <w:szCs w:val="12"/>
                <w:color w:val="auto"/>
              </w:rPr>
            </w:pPr>
          </w:p>
        </w:tc>
        <w:tc>
          <w:tcPr>
            <w:tcW w:w="960" w:type="dxa"/>
            <w:vAlign w:val="bottom"/>
            <w:tcBorders>
              <w:top w:val="single" w:sz="8" w:color="auto"/>
            </w:tcBorders>
            <w:shd w:val="clear" w:color="auto" w:fill="CCEC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308.6</w:t>
            </w:r>
          </w:p>
        </w:tc>
        <w:tc>
          <w:tcPr>
            <w:tcW w:w="26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2023 Notes</w:t>
            </w: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2031 Asset-Backed Debt</w:t>
            </w:r>
          </w:p>
        </w:tc>
        <w:tc>
          <w:tcPr>
            <w:tcW w:w="17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5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 xml:space="preserve">Total debt outstanding </w:t>
            </w:r>
            <w:r>
              <w:rPr>
                <w:rFonts w:ascii="Times New Roman" w:cs="Times New Roman" w:eastAsia="Times New Roman" w:hAnsi="Times New Roman"/>
                <w:sz w:val="11"/>
                <w:szCs w:val="11"/>
                <w:color w:val="auto"/>
              </w:rPr>
              <w:t>(1)</w:t>
            </w:r>
          </w:p>
        </w:tc>
        <w:tc>
          <w:tcPr>
            <w:tcW w:w="1740" w:type="dxa"/>
            <w:vAlign w:val="bottom"/>
          </w:tcPr>
          <w:p>
            <w:pPr>
              <w:spacing w:after="0"/>
              <w:rPr>
                <w:sz w:val="12"/>
                <w:szCs w:val="12"/>
                <w:color w:val="auto"/>
              </w:rPr>
            </w:pPr>
          </w:p>
        </w:tc>
        <w:tc>
          <w:tcPr>
            <w:tcW w:w="860" w:type="dxa"/>
            <w:vAlign w:val="bottom"/>
            <w:tcBorders>
              <w:top w:val="single" w:sz="8" w:color="auto"/>
            </w:tcBorders>
          </w:tcPr>
          <w:p>
            <w:pPr>
              <w:jc w:val="right"/>
              <w:ind w:right="7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675.2</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20.8</w:t>
            </w: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41.6</w:t>
            </w: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384.8</w:t>
            </w:r>
          </w:p>
        </w:tc>
        <w:tc>
          <w:tcPr>
            <w:tcW w:w="260" w:type="dxa"/>
            <w:vAlign w:val="bottom"/>
          </w:tcPr>
          <w:p>
            <w:pPr>
              <w:spacing w:after="0"/>
              <w:rPr>
                <w:sz w:val="12"/>
                <w:szCs w:val="12"/>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Unfunded commitments to PSSL</w:t>
            </w:r>
          </w:p>
        </w:tc>
        <w:tc>
          <w:tcPr>
            <w:tcW w:w="17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5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color w:val="auto"/>
              </w:rPr>
              <w:t xml:space="preserve">Unfunded investments </w:t>
            </w:r>
            <w:r>
              <w:rPr>
                <w:rFonts w:ascii="Times New Roman" w:cs="Times New Roman" w:eastAsia="Times New Roman" w:hAnsi="Times New Roman"/>
                <w:sz w:val="11"/>
                <w:szCs w:val="11"/>
                <w:color w:val="auto"/>
              </w:rPr>
              <w:t>(2)</w:t>
            </w:r>
          </w:p>
        </w:tc>
        <w:tc>
          <w:tcPr>
            <w:tcW w:w="1740" w:type="dxa"/>
            <w:vAlign w:val="bottom"/>
            <w:tcBorders>
              <w:bottom w:val="single" w:sz="8" w:color="CCEC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240" w:type="dxa"/>
            <w:vAlign w:val="bottom"/>
            <w:tcBorders>
              <w:bottom w:val="single" w:sz="8" w:color="CCEC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26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20" w:type="dxa"/>
            <w:vAlign w:val="bottom"/>
            <w:tcBorders>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contractual obligations</w:t>
            </w:r>
          </w:p>
        </w:tc>
        <w:tc>
          <w:tcPr>
            <w:tcW w:w="174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auto"/>
            </w:tcBorders>
            <w:shd w:val="clear" w:color="auto" w:fill="CCECFF"/>
          </w:tcPr>
          <w:p>
            <w:pPr>
              <w:jc w:val="right"/>
              <w:ind w:right="7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770.6</w:t>
            </w:r>
          </w:p>
        </w:tc>
        <w:tc>
          <w:tcPr>
            <w:tcW w:w="24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35.2</w:t>
            </w:r>
          </w:p>
        </w:tc>
        <w:tc>
          <w:tcPr>
            <w:tcW w:w="2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56.2</w:t>
            </w:r>
          </w:p>
        </w:tc>
        <w:tc>
          <w:tcPr>
            <w:tcW w:w="2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423.6</w:t>
            </w:r>
          </w:p>
        </w:tc>
        <w:tc>
          <w:tcPr>
            <w:tcW w:w="26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255.6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61" w:hanging="361"/>
        <w:spacing w:after="0" w:line="190" w:lineRule="auto"/>
        <w:tabs>
          <w:tab w:leader="none" w:pos="361" w:val="left"/>
        </w:tabs>
        <w:numPr>
          <w:ilvl w:val="0"/>
          <w:numId w:val="62"/>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annualized weighted average cost of debt as of September 30, 2020, excluding amendment costs and debt issuance costs, was 2.8% exclusive of the fee on the undrawn commitment on the Credit Facility.</w:t>
      </w:r>
    </w:p>
    <w:p>
      <w:pPr>
        <w:ind w:left="361" w:hanging="361"/>
        <w:spacing w:after="0" w:line="190" w:lineRule="auto"/>
        <w:tabs>
          <w:tab w:leader="none" w:pos="361" w:val="left"/>
        </w:tabs>
        <w:numPr>
          <w:ilvl w:val="0"/>
          <w:numId w:val="62"/>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Unfunded debt and equity investments are disclosed in the Consolidated Schedule of Investments and Note 12 of our Consolidated Financial Statements.</w:t>
      </w:r>
    </w:p>
    <w:p>
      <w:pPr>
        <w:spacing w:after="0" w:line="109" w:lineRule="exact"/>
        <w:rPr>
          <w:sz w:val="20"/>
          <w:szCs w:val="20"/>
          <w:color w:val="auto"/>
        </w:rPr>
      </w:pPr>
    </w:p>
    <w:p>
      <w:pPr>
        <w:ind w:left="1" w:right="120" w:firstLine="439"/>
        <w:spacing w:after="0" w:line="233"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2020,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01" w:lineRule="exact"/>
        <w:rPr>
          <w:sz w:val="20"/>
          <w:szCs w:val="20"/>
          <w:color w:val="auto"/>
        </w:rPr>
      </w:pPr>
    </w:p>
    <w:p>
      <w:pPr>
        <w:ind w:left="1" w:right="40" w:firstLine="439"/>
        <w:spacing w:after="0" w:line="233"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89" w:lineRule="exact"/>
        <w:rPr>
          <w:sz w:val="20"/>
          <w:szCs w:val="20"/>
          <w:color w:val="auto"/>
        </w:rPr>
      </w:pPr>
    </w:p>
    <w:p>
      <w:pPr>
        <w:ind w:left="1" w:right="60" w:firstLine="439"/>
        <w:spacing w:after="0" w:line="237"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Recent Developments</w:t>
      </w:r>
    </w:p>
    <w:p>
      <w:pPr>
        <w:spacing w:after="0" w:line="127" w:lineRule="exact"/>
        <w:rPr>
          <w:sz w:val="20"/>
          <w:szCs w:val="20"/>
          <w:color w:val="auto"/>
        </w:rPr>
      </w:pPr>
    </w:p>
    <w:p>
      <w:pPr>
        <w:ind w:left="1" w:right="60" w:firstLine="439"/>
        <w:spacing w:after="0" w:line="228" w:lineRule="auto"/>
        <w:rPr>
          <w:sz w:val="20"/>
          <w:szCs w:val="20"/>
          <w:color w:val="auto"/>
        </w:rPr>
      </w:pPr>
      <w:r>
        <w:rPr>
          <w:rFonts w:ascii="Times New Roman" w:cs="Times New Roman" w:eastAsia="Times New Roman" w:hAnsi="Times New Roman"/>
          <w:sz w:val="13"/>
          <w:szCs w:val="13"/>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$2.3 million common stock fair valuation as of September 30, 2020 would increase to an estimated $9.0 million, which includes a combination of cash and stock, assuming the transaction closes based on the agreed terms. This would represent a net asset value increase of $0.17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8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27"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currently engage in no off-balance sheet arrangements other than our funding requirements for the unfunded investments described above.</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15" w:lineRule="exact"/>
        <w:rPr>
          <w:sz w:val="20"/>
          <w:szCs w:val="20"/>
          <w:color w:val="auto"/>
        </w:rPr>
      </w:pPr>
    </w:p>
    <w:p>
      <w:pPr>
        <w:jc w:val="both"/>
        <w:ind w:left="1" w:right="40" w:firstLine="439"/>
        <w:spacing w:after="0" w:line="237"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02" w:lineRule="exact"/>
        <w:rPr>
          <w:sz w:val="20"/>
          <w:szCs w:val="20"/>
          <w:color w:val="auto"/>
        </w:rPr>
      </w:pPr>
    </w:p>
    <w:p>
      <w:pPr>
        <w:ind w:left="1" w:firstLine="439"/>
        <w:spacing w:after="0" w:line="233"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01" w:lineRule="exact"/>
        <w:rPr>
          <w:sz w:val="20"/>
          <w:szCs w:val="20"/>
          <w:color w:val="auto"/>
        </w:rPr>
      </w:pPr>
    </w:p>
    <w:p>
      <w:pPr>
        <w:ind w:left="1" w:right="140" w:firstLine="439"/>
        <w:spacing w:after="0" w:line="233" w:lineRule="auto"/>
        <w:rPr>
          <w:sz w:val="20"/>
          <w:szCs w:val="20"/>
          <w:color w:val="auto"/>
        </w:rPr>
      </w:pPr>
      <w:r>
        <w:rPr>
          <w:rFonts w:ascii="Times New Roman" w:cs="Times New Roman" w:eastAsia="Times New Roman" w:hAnsi="Times New Roman"/>
          <w:sz w:val="13"/>
          <w:szCs w:val="13"/>
          <w:color w:val="auto"/>
        </w:rPr>
        <w:t>During both years ended September 30, 2020 and 2019, we declared distributions of $1.14 per share for total distributions of $44.2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intend to continue to make monthly distributions to our stockholders. Our monthly distributions, if any, are determined by our board of directors quarterly.</w:t>
      </w:r>
    </w:p>
    <w:p>
      <w:pPr>
        <w:spacing w:after="0" w:line="123"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On November 22, 2017, we terminated our dividend reinvestment plan. The termination of the plan applies to the reinvestment of cash distributions paid on or after December 22, 2017.</w:t>
      </w:r>
    </w:p>
    <w:p>
      <w:pPr>
        <w:spacing w:after="0" w:line="111" w:lineRule="exact"/>
        <w:rPr>
          <w:sz w:val="20"/>
          <w:szCs w:val="20"/>
          <w:color w:val="auto"/>
        </w:rPr>
      </w:pPr>
    </w:p>
    <w:p>
      <w:pPr>
        <w:ind w:left="1" w:right="80" w:firstLine="439"/>
        <w:spacing w:after="0" w:line="233"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27"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new definition of “significant subsidiary” under Rule 1-02(w)(2) of Regulation S-X, which is tailored to investment companies, (i) modifies the investment test and the income test, and (ii) eliminates the asset test currently in the definition of “significant subsidiary.”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We evaluated the impact of adopting the Final Rules on our consolidated financial statements and because the new definition of “significant subsidiary” contained therein is specific to investment companies, we elected to early adopt the Final Rules for our year ended September 30, 2020. The adoption of the Final Rules did not have a material impact on our financial statements.</w:t>
      </w:r>
    </w:p>
    <w:p>
      <w:pPr>
        <w:spacing w:after="0" w:line="2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7A.</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125" w:lineRule="exact"/>
        <w:rPr>
          <w:sz w:val="20"/>
          <w:szCs w:val="20"/>
          <w:color w:val="auto"/>
        </w:rPr>
      </w:pPr>
    </w:p>
    <w:p>
      <w:pPr>
        <w:ind w:firstLine="439"/>
        <w:spacing w:after="0" w:line="230"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September 30, 2020, our debt portfolio consisted of 99%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1"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0" w:type="dxa"/>
            <w:vAlign w:val="bottom"/>
          </w:tcPr>
          <w:p>
            <w:pPr>
              <w:jc w:val="center"/>
              <w:ind w:left="598"/>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0" w:type="dxa"/>
            <w:vAlign w:val="bottom"/>
          </w:tcPr>
          <w:p>
            <w:pPr>
              <w:spacing w:after="0"/>
              <w:rPr>
                <w:sz w:val="1"/>
                <w:szCs w:val="1"/>
                <w:color w:val="auto"/>
              </w:rPr>
            </w:pPr>
          </w:p>
        </w:tc>
      </w:tr>
      <w:tr>
        <w:trPr>
          <w:trHeight w:val="136"/>
        </w:trPr>
        <w:tc>
          <w:tcPr>
            <w:tcW w:w="3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2800" w:type="dxa"/>
            <w:vAlign w:val="bottom"/>
          </w:tcPr>
          <w:p>
            <w:pPr>
              <w:jc w:val="center"/>
              <w:ind w:left="598"/>
              <w:spacing w:after="0" w:line="136" w:lineRule="exact"/>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80" w:type="dxa"/>
            <w:vAlign w:val="bottom"/>
            <w:gridSpan w:val="2"/>
          </w:tcPr>
          <w:p>
            <w:pPr>
              <w:jc w:val="center"/>
              <w:ind w:right="640"/>
              <w:spacing w:after="0" w:line="136" w:lineRule="exact"/>
              <w:rPr>
                <w:sz w:val="20"/>
                <w:szCs w:val="20"/>
                <w:color w:val="auto"/>
              </w:rPr>
            </w:pPr>
            <w:r>
              <w:rPr>
                <w:rFonts w:ascii="Times New Roman" w:cs="Times New Roman" w:eastAsia="Times New Roman" w:hAnsi="Times New Roman"/>
                <w:sz w:val="13"/>
                <w:szCs w:val="13"/>
                <w:b w:val="1"/>
                <w:bCs w:val="1"/>
                <w:color w:val="auto"/>
                <w:w w:val="99"/>
              </w:rPr>
              <w:t>Net of Interest</w:t>
            </w:r>
          </w:p>
        </w:tc>
        <w:tc>
          <w:tcPr>
            <w:tcW w:w="0" w:type="dxa"/>
            <w:vAlign w:val="bottom"/>
          </w:tcPr>
          <w:p>
            <w:pPr>
              <w:spacing w:after="0"/>
              <w:rPr>
                <w:sz w:val="1"/>
                <w:szCs w:val="1"/>
                <w:color w:val="auto"/>
              </w:rPr>
            </w:pPr>
          </w:p>
        </w:tc>
      </w:tr>
      <w:tr>
        <w:trPr>
          <w:trHeight w:val="158"/>
        </w:trPr>
        <w:tc>
          <w:tcPr>
            <w:tcW w:w="3820" w:type="dxa"/>
            <w:vAlign w:val="bottom"/>
            <w:gridSpan w:val="2"/>
            <w:vMerge w:val="continue"/>
          </w:tcPr>
          <w:p>
            <w:pPr>
              <w:spacing w:after="0"/>
              <w:rPr>
                <w:sz w:val="13"/>
                <w:szCs w:val="13"/>
                <w:color w:val="auto"/>
              </w:rPr>
            </w:pPr>
          </w:p>
        </w:tc>
        <w:tc>
          <w:tcPr>
            <w:tcW w:w="2800" w:type="dxa"/>
            <w:vAlign w:val="bottom"/>
          </w:tcPr>
          <w:p>
            <w:pPr>
              <w:jc w:val="center"/>
              <w:ind w:left="59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Expense Per Share</w:t>
            </w:r>
          </w:p>
        </w:tc>
        <w:tc>
          <w:tcPr>
            <w:tcW w:w="0" w:type="dxa"/>
            <w:vAlign w:val="bottom"/>
          </w:tcPr>
          <w:p>
            <w:pPr>
              <w:spacing w:after="0"/>
              <w:rPr>
                <w:sz w:val="1"/>
                <w:szCs w:val="1"/>
                <w:color w:val="auto"/>
              </w:rPr>
            </w:pPr>
          </w:p>
        </w:tc>
      </w:tr>
      <w:tr>
        <w:trPr>
          <w:trHeight w:val="141"/>
        </w:trPr>
        <w:tc>
          <w:tcPr>
            <w:tcW w:w="358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Down 1%</w:t>
            </w:r>
          </w:p>
        </w:tc>
        <w:tc>
          <w:tcPr>
            <w:tcW w:w="240" w:type="dxa"/>
            <w:vAlign w:val="bottom"/>
            <w:tcBorders>
              <w:top w:val="single" w:sz="8" w:color="CCECFF"/>
            </w:tcBorders>
            <w:shd w:val="clear" w:color="auto" w:fill="CCECFF"/>
          </w:tcPr>
          <w:p>
            <w:pPr>
              <w:spacing w:after="0"/>
              <w:rPr>
                <w:sz w:val="12"/>
                <w:szCs w:val="12"/>
                <w:color w:val="auto"/>
              </w:rPr>
            </w:pPr>
          </w:p>
        </w:tc>
        <w:tc>
          <w:tcPr>
            <w:tcW w:w="2800" w:type="dxa"/>
            <w:vAlign w:val="bottom"/>
            <w:tcBorders>
              <w:top w:val="single" w:sz="8" w:color="auto"/>
            </w:tcBorders>
            <w:shd w:val="clear" w:color="auto" w:fill="CCECFF"/>
          </w:tcPr>
          <w:p>
            <w:pPr>
              <w:jc w:val="right"/>
              <w:ind w:right="267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232</w:t>
            </w:r>
          </w:p>
        </w:tc>
        <w:tc>
          <w:tcPr>
            <w:tcW w:w="340" w:type="dxa"/>
            <w:vAlign w:val="bottom"/>
            <w:tcBorders>
              <w:top w:val="single" w:sz="8" w:color="CCECFF"/>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29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Up 1%</w:t>
            </w:r>
          </w:p>
        </w:tc>
        <w:tc>
          <w:tcPr>
            <w:tcW w:w="280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(2,225)</w:t>
            </w:r>
          </w:p>
        </w:tc>
        <w:tc>
          <w:tcPr>
            <w:tcW w:w="520" w:type="dxa"/>
            <w:vAlign w:val="bottom"/>
          </w:tcPr>
          <w:p>
            <w:pPr>
              <w:spacing w:after="0"/>
              <w:rPr>
                <w:sz w:val="12"/>
                <w:szCs w:val="12"/>
                <w:color w:val="auto"/>
              </w:rPr>
            </w:pP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3"/>
                <w:szCs w:val="13"/>
                <w:color w:val="auto"/>
                <w:w w:val="98"/>
              </w:rPr>
              <w:t>Up 2%</w:t>
            </w:r>
          </w:p>
        </w:tc>
        <w:tc>
          <w:tcPr>
            <w:tcW w:w="28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3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8"/>
              </w:rPr>
              <w:t>Up 3%</w:t>
            </w:r>
          </w:p>
        </w:tc>
        <w:tc>
          <w:tcPr>
            <w:tcW w:w="28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7,633</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3"/>
                <w:szCs w:val="13"/>
                <w:color w:val="auto"/>
                <w:w w:val="98"/>
              </w:rPr>
              <w:t>Up 4%</w:t>
            </w:r>
          </w:p>
        </w:tc>
        <w:tc>
          <w:tcPr>
            <w:tcW w:w="2800" w:type="dxa"/>
            <w:vAlign w:val="bottom"/>
            <w:shd w:val="clear" w:color="auto" w:fill="CCECFF"/>
          </w:tcPr>
          <w:p>
            <w:pPr>
              <w:jc w:val="right"/>
              <w:ind w:right="267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12,561</w:t>
            </w:r>
          </w:p>
        </w:tc>
        <w:tc>
          <w:tcPr>
            <w:tcW w:w="34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2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right="80" w:firstLine="439"/>
        <w:spacing w:after="0" w:line="237"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2"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80"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7560" w:type="dxa"/>
            <w:vAlign w:val="bottom"/>
          </w:tcPr>
          <w:p>
            <w:pPr>
              <w:jc w:val="right"/>
              <w:ind w:right="3794"/>
              <w:spacing w:after="0"/>
              <w:rPr>
                <w:sz w:val="20"/>
                <w:szCs w:val="20"/>
                <w:color w:val="auto"/>
              </w:rPr>
            </w:pPr>
            <w:r>
              <w:rPr>
                <w:rFonts w:ascii="Times New Roman" w:cs="Times New Roman" w:eastAsia="Times New Roman" w:hAnsi="Times New Roman"/>
                <w:sz w:val="13"/>
                <w:szCs w:val="13"/>
                <w:b w:val="1"/>
                <w:bCs w:val="1"/>
                <w:color w:val="auto"/>
              </w:rPr>
              <w:t>Consolidated Financial Statements and Supplementary Data</w:t>
            </w:r>
          </w:p>
        </w:tc>
        <w:tc>
          <w:tcPr>
            <w:tcW w:w="3020" w:type="dxa"/>
            <w:vAlign w:val="bottom"/>
          </w:tcPr>
          <w:p>
            <w:pPr>
              <w:spacing w:after="0"/>
              <w:rPr>
                <w:sz w:val="15"/>
                <w:szCs w:val="15"/>
                <w:color w:val="auto"/>
              </w:rPr>
            </w:pPr>
          </w:p>
        </w:tc>
      </w:tr>
      <w:tr>
        <w:trPr>
          <w:trHeight w:val="273"/>
        </w:trPr>
        <w:tc>
          <w:tcPr>
            <w:tcW w:w="70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30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55">
              <w:r>
                <w:rPr>
                  <w:rFonts w:ascii="Times New Roman" w:cs="Times New Roman" w:eastAsia="Times New Roman" w:hAnsi="Times New Roman"/>
                  <w:sz w:val="13"/>
                  <w:szCs w:val="13"/>
                  <w:u w:val="single" w:color="auto"/>
                  <w:color w:val="0000EE"/>
                </w:rPr>
                <w:t>Management’s Report on Internal Control Over Financial Reporting</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56">
              <w:r>
                <w:rPr>
                  <w:rFonts w:ascii="Times New Roman" w:cs="Times New Roman" w:eastAsia="Times New Roman" w:hAnsi="Times New Roman"/>
                  <w:sz w:val="13"/>
                  <w:szCs w:val="13"/>
                  <w:u w:val="single" w:color="auto"/>
                  <w:color w:val="0000EE"/>
                </w:rPr>
                <w:t>Report of Independent Registered Public Accounting Firm</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57">
              <w:r>
                <w:rPr>
                  <w:rFonts w:ascii="Times New Roman" w:cs="Times New Roman" w:eastAsia="Times New Roman" w:hAnsi="Times New Roman"/>
                  <w:sz w:val="13"/>
                  <w:szCs w:val="13"/>
                  <w:u w:val="single" w:color="auto"/>
                  <w:color w:val="0000EE"/>
                </w:rPr>
                <w:t>Report of Independent Registered Public Accounting Firm On Internal Control Over Financial Reporting</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58">
              <w:r>
                <w:rPr>
                  <w:rFonts w:ascii="Times New Roman" w:cs="Times New Roman" w:eastAsia="Times New Roman" w:hAnsi="Times New Roman"/>
                  <w:sz w:val="13"/>
                  <w:szCs w:val="13"/>
                  <w:u w:val="single" w:color="auto"/>
                  <w:color w:val="0000EE"/>
                </w:rPr>
                <w:t>Consolidated Statements of Assets and Liabilities as of September 30, 2020 and 2019</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59">
              <w:r>
                <w:rPr>
                  <w:rFonts w:ascii="Times New Roman" w:cs="Times New Roman" w:eastAsia="Times New Roman" w:hAnsi="Times New Roman"/>
                  <w:sz w:val="13"/>
                  <w:szCs w:val="13"/>
                  <w:u w:val="single" w:color="auto"/>
                  <w:color w:val="0000EE"/>
                </w:rPr>
                <w:t>Consolidated Statements of Operations for the years ended September 30, 2020, 2019 and 2018</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60">
              <w:r>
                <w:rPr>
                  <w:rFonts w:ascii="Times New Roman" w:cs="Times New Roman" w:eastAsia="Times New Roman" w:hAnsi="Times New Roman"/>
                  <w:sz w:val="13"/>
                  <w:szCs w:val="13"/>
                  <w:u w:val="single" w:color="auto"/>
                  <w:color w:val="0000EE"/>
                </w:rPr>
                <w:t>Consolidated Statements of Changes in Net Assets for the years ended September 30, 2020, 2019 and 2018</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61">
              <w:r>
                <w:rPr>
                  <w:rFonts w:ascii="Times New Roman" w:cs="Times New Roman" w:eastAsia="Times New Roman" w:hAnsi="Times New Roman"/>
                  <w:sz w:val="13"/>
                  <w:szCs w:val="13"/>
                  <w:u w:val="single" w:color="auto"/>
                  <w:color w:val="0000EE"/>
                </w:rPr>
                <w:t>Consolidated Statements of Cash Flows for the years ended September 30, 2020, 2019 and 2018</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62">
              <w:r>
                <w:rPr>
                  <w:rFonts w:ascii="Times New Roman" w:cs="Times New Roman" w:eastAsia="Times New Roman" w:hAnsi="Times New Roman"/>
                  <w:sz w:val="13"/>
                  <w:szCs w:val="13"/>
                  <w:u w:val="single" w:color="auto"/>
                  <w:color w:val="0000EE"/>
                </w:rPr>
                <w:t>Consolidated Schedules of Investments as of September 30, 2020 and 2019</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273"/>
        </w:trPr>
        <w:tc>
          <w:tcPr>
            <w:tcW w:w="8260" w:type="dxa"/>
            <w:vAlign w:val="bottom"/>
            <w:gridSpan w:val="2"/>
          </w:tcPr>
          <w:p>
            <w:pPr>
              <w:spacing w:after="0"/>
              <w:rPr>
                <w:rFonts w:ascii="Times New Roman" w:cs="Times New Roman" w:eastAsia="Times New Roman" w:hAnsi="Times New Roman"/>
                <w:sz w:val="13"/>
                <w:szCs w:val="13"/>
                <w:u w:val="single" w:color="auto"/>
                <w:color w:val="0000EE"/>
              </w:rPr>
            </w:pPr>
            <w:hyperlink w:anchor="page70">
              <w:r>
                <w:rPr>
                  <w:rFonts w:ascii="Times New Roman" w:cs="Times New Roman" w:eastAsia="Times New Roman" w:hAnsi="Times New Roman"/>
                  <w:sz w:val="13"/>
                  <w:szCs w:val="13"/>
                  <w:u w:val="single" w:color="auto"/>
                  <w:color w:val="0000EE"/>
                </w:rPr>
                <w:t>Notes to the Consolidated Financial Statements</w:t>
              </w:r>
            </w:hyperlink>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471"/>
        </w:trPr>
        <w:tc>
          <w:tcPr>
            <w:tcW w:w="700" w:type="dxa"/>
            <w:vAlign w:val="bottom"/>
          </w:tcPr>
          <w:p>
            <w:pPr>
              <w:spacing w:after="0"/>
              <w:rPr>
                <w:sz w:val="24"/>
                <w:szCs w:val="24"/>
                <w:color w:val="auto"/>
              </w:rPr>
            </w:pPr>
          </w:p>
        </w:tc>
        <w:tc>
          <w:tcPr>
            <w:tcW w:w="7560" w:type="dxa"/>
            <w:vAlign w:val="bottom"/>
          </w:tcPr>
          <w:p>
            <w:pPr>
              <w:jc w:val="right"/>
              <w:ind w:right="2494"/>
              <w:spacing w:after="0"/>
              <w:rPr>
                <w:sz w:val="20"/>
                <w:szCs w:val="20"/>
                <w:color w:val="auto"/>
              </w:rPr>
            </w:pPr>
            <w:r>
              <w:rPr>
                <w:rFonts w:ascii="Times New Roman" w:cs="Times New Roman" w:eastAsia="Times New Roman" w:hAnsi="Times New Roman"/>
                <w:sz w:val="13"/>
                <w:szCs w:val="13"/>
                <w:color w:val="auto"/>
              </w:rPr>
              <w:t>52</w:t>
            </w:r>
          </w:p>
        </w:tc>
        <w:tc>
          <w:tcPr>
            <w:tcW w:w="3020" w:type="dxa"/>
            <w:vAlign w:val="bottom"/>
          </w:tcPr>
          <w:p>
            <w:pPr>
              <w:spacing w:after="0"/>
              <w:rPr>
                <w:sz w:val="24"/>
                <w:szCs w:val="24"/>
                <w:color w:val="auto"/>
              </w:rPr>
            </w:pPr>
          </w:p>
        </w:tc>
      </w:tr>
      <w:tr>
        <w:trPr>
          <w:trHeight w:val="89"/>
        </w:trPr>
        <w:tc>
          <w:tcPr>
            <w:tcW w:w="700" w:type="dxa"/>
            <w:vAlign w:val="bottom"/>
            <w:tcBorders>
              <w:bottom w:val="single" w:sz="8" w:color="9A9A9A"/>
            </w:tcBorders>
          </w:tcPr>
          <w:p>
            <w:pPr>
              <w:spacing w:after="0"/>
              <w:rPr>
                <w:sz w:val="7"/>
                <w:szCs w:val="7"/>
                <w:color w:val="auto"/>
              </w:rPr>
            </w:pPr>
          </w:p>
        </w:tc>
        <w:tc>
          <w:tcPr>
            <w:tcW w:w="756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251" w:lineRule="exact"/>
        <w:rPr>
          <w:sz w:val="20"/>
          <w:szCs w:val="20"/>
          <w:color w:val="auto"/>
        </w:rPr>
      </w:pPr>
    </w:p>
    <w:p>
      <w:pPr>
        <w:jc w:val="both"/>
        <w:ind w:firstLine="439"/>
        <w:spacing w:after="0" w:line="237" w:lineRule="auto"/>
        <w:rPr>
          <w:sz w:val="20"/>
          <w:szCs w:val="20"/>
          <w:color w:val="auto"/>
        </w:rPr>
      </w:pPr>
      <w:r>
        <w:rPr>
          <w:rFonts w:ascii="Times New Roman" w:cs="Times New Roman" w:eastAsia="Times New Roman" w:hAnsi="Times New Roman"/>
          <w:sz w:val="13"/>
          <w:szCs w:val="13"/>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2020. Our internal control system is a process designed to provide reasonable assurance to our management and board of directors regarding the preparation and fair presentation of published financial statements.</w:t>
      </w:r>
    </w:p>
    <w:p>
      <w:pPr>
        <w:spacing w:after="0" w:line="102"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01"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jc w:val="both"/>
        <w:ind w:right="80" w:firstLine="439"/>
        <w:spacing w:after="0" w:line="237" w:lineRule="auto"/>
        <w:rPr>
          <w:sz w:val="20"/>
          <w:szCs w:val="20"/>
          <w:color w:val="auto"/>
        </w:rPr>
      </w:pPr>
      <w:r>
        <w:rPr>
          <w:rFonts w:ascii="Times New Roman" w:cs="Times New Roman" w:eastAsia="Times New Roman" w:hAnsi="Times New Roman"/>
          <w:sz w:val="13"/>
          <w:szCs w:val="13"/>
          <w:color w:val="auto"/>
        </w:rPr>
        <w:t xml:space="preserve">Management assessed the effectiveness of the Company’s internal control over financial reporting as of September 30, 2020. In making this assessment, we used the criteria set forth by the Committee of Sponsoring Organizations of the Treadway Commission in 2013 </w:t>
      </w:r>
      <w:r>
        <w:rPr>
          <w:rFonts w:ascii="Times New Roman" w:cs="Times New Roman" w:eastAsia="Times New Roman" w:hAnsi="Times New Roman"/>
          <w:sz w:val="13"/>
          <w:szCs w:val="13"/>
          <w:i w:val="1"/>
          <w:iCs w:val="1"/>
          <w:color w:val="auto"/>
        </w:rPr>
        <w:t>Internal Control—Integrated Framework</w:t>
      </w:r>
      <w:r>
        <w:rPr>
          <w:rFonts w:ascii="Times New Roman" w:cs="Times New Roman" w:eastAsia="Times New Roman" w:hAnsi="Times New Roman"/>
          <w:sz w:val="13"/>
          <w:szCs w:val="13"/>
          <w:color w:val="auto"/>
        </w:rPr>
        <w:t>. Based on the assessment management believes that, as of September 30, 2020, our internal control over financial reporting is effective based on those criteria.</w:t>
      </w:r>
    </w:p>
    <w:p>
      <w:pPr>
        <w:spacing w:after="0" w:line="102" w:lineRule="exact"/>
        <w:rPr>
          <w:sz w:val="20"/>
          <w:szCs w:val="20"/>
          <w:color w:val="auto"/>
        </w:rPr>
      </w:pPr>
    </w:p>
    <w:p>
      <w:pPr>
        <w:jc w:val="both"/>
        <w:ind w:right="80" w:firstLine="439"/>
        <w:spacing w:after="0" w:line="254" w:lineRule="auto"/>
        <w:rPr>
          <w:sz w:val="20"/>
          <w:szCs w:val="20"/>
          <w:color w:val="auto"/>
        </w:rPr>
      </w:pPr>
      <w:r>
        <w:rPr>
          <w:rFonts w:ascii="Times New Roman" w:cs="Times New Roman" w:eastAsia="Times New Roman" w:hAnsi="Times New Roman"/>
          <w:sz w:val="13"/>
          <w:szCs w:val="13"/>
          <w:color w:val="auto"/>
        </w:rPr>
        <w:t>The Company’s independent registered public accounting firm has issued an audit report on the effectiveness of our internal control over financial reporting as of September 30, 2020. This report appears on page 55.</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its Subsidiaries: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2020 and 2019, and the related consolidated statements of operations, changes in net assets and cash flows for each of the three years in the period ended September 30, 2020, and the related notes to the consolidated financial statements of the Company (collectively, the financial statements). In our opinion, the financial statements present fairly, in all material respects, the financial position of the Company as of September 30, 2020 and 2019, and the results of its operations and its cash flows for each of the three years in the period ended September 30, 2020, in conformity with accounting principles generally accepted in the United States of America, and in our opinion, the related financial statement schedules, when considered in relation to the basic consolidated financial statements taken as a whole, presents fairly in all material respects the information set forth therein.</w:t>
      </w:r>
    </w:p>
    <w:p>
      <w:pPr>
        <w:spacing w:after="0" w:line="10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PennantPark Floating Rate Capital Ltd. and its Subsidiaries’ internal control over financial reporting as of September 30, 2020,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and our report dated November 18, 2020 expressed an unqualified opinion on the effectiveness of the Company’s internal control over financial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3"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2020, by correspondence with the custodians and brokers or by other appropriate auditing procedures where replies from brokers were not received. We believe that our audits provide a reasonable basis for our opinion.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18, 2020</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its Subsidiaries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Internal Control Over Financial Reporting</w:t>
      </w:r>
    </w:p>
    <w:p>
      <w:pPr>
        <w:spacing w:after="0" w:line="3"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3"/>
          <w:szCs w:val="13"/>
          <w:color w:val="auto"/>
        </w:rPr>
        <w:t xml:space="preserve">We have audited PennantPark Floating Rate Capital Ltd. and its Subsidiaries' (collectively referred to as the Company) internal control over financial reporting as of September 30, 2020,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In our opinion, the Company maintained, in all material respects, effective internal control over financial reporting as of September 30, 2020,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w:t>
      </w:r>
    </w:p>
    <w:p>
      <w:pPr>
        <w:spacing w:after="0" w:line="10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statements of assets and liabilities, including the consolidated schedules of investments as of September 30, 2020 and 2019, the related consolidated statements of operations, changes in net assets and cash flows for each of the three years in the period ended September 30, 2020, and the related notes to the consolidated financial statements (collectively, the financial statements) of the Company and our report dated November 18, 2020 expressed an unqualified opinion.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3"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3"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18, 2020</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41"/>
        </w:trPr>
        <w:tc>
          <w:tcPr>
            <w:tcW w:w="68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Assets</w:t>
            </w:r>
          </w:p>
        </w:tc>
        <w:tc>
          <w:tcPr>
            <w:tcW w:w="9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140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1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Non-controlled, non-affiliated investments (cost—$915,874,757 and $886,955,156, respectively)</w:t>
            </w:r>
          </w:p>
        </w:tc>
        <w:tc>
          <w:tcPr>
            <w:tcW w:w="106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910,552,309</w:t>
            </w:r>
          </w:p>
        </w:tc>
        <w:tc>
          <w:tcPr>
            <w:tcW w:w="280" w:type="dxa"/>
            <w:vAlign w:val="bottom"/>
            <w:shd w:val="clear" w:color="auto" w:fill="CCECFF"/>
          </w:tcPr>
          <w:p>
            <w:pPr>
              <w:spacing w:after="0"/>
              <w:rPr>
                <w:sz w:val="12"/>
                <w:szCs w:val="12"/>
                <w:color w:val="auto"/>
              </w:rPr>
            </w:pPr>
          </w:p>
        </w:tc>
        <w:tc>
          <w:tcPr>
            <w:tcW w:w="140" w:type="dxa"/>
            <w:vAlign w:val="bottom"/>
            <w:gridSpan w:val="2"/>
            <w:shd w:val="clear" w:color="auto" w:fill="CCECFF"/>
          </w:tcPr>
          <w:p>
            <w:pPr>
              <w:jc w:val="right"/>
              <w:ind w:right="5"/>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889,113,264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Non-controlled, affiliated investments (cost—$21,964,181 and $23,645,693, respectively)</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11,086,834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20,430,565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Controlled, affiliated investments (cost—$179,112,500 and $174,562,500, respectively)</w:t>
            </w:r>
          </w:p>
        </w:tc>
        <w:tc>
          <w:tcPr>
            <w:tcW w:w="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165,289,324</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172,163,080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auto"/>
              </w:rPr>
              <w:t>Total of investments (cost—$1,116,951,438 and $1,085,172,349 , respectively)</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1,086,928,467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1,081,706,909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 (cost—$57,534,421 and $63,367,237, respectively)</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57,511,928</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63,337,728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3,673,502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3,892,292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8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2,997,546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173,318</w:t>
            </w:r>
          </w:p>
        </w:tc>
        <w:tc>
          <w:tcPr>
            <w:tcW w:w="28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441,337</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1,148,287,215</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1,152,375,812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Distributions payable</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3,683,347</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3,683,347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3,800,000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12,033,794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 at fair value (cost—$308,598,500 and $265,307,500, respectively) (See Notes 5 and 11)</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299,047,275</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263,988,583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2023 Notes payable, at fair value (par—$138,579,858 and $138,579,858, respectively) (See Notes 5 and 11)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129,295,008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135,240,084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2031 Asset-Backed Debt, net (par—$228,000,000 and $228,000,000, respectively) (See Notes 5 and 11)</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224,866,334</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224,321,845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 on debt</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3,601,479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3,275,481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Base management fee payable (See Note 3)</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2,776,477</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2,728,019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Performance-based incentive fee payable (See Note 3)</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2,071,622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2,532,205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other expenses</w:t>
            </w:r>
          </w:p>
        </w:tc>
        <w:tc>
          <w:tcPr>
            <w:tcW w:w="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1,875,281</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1,514,943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tcBorders>
              <w:bottom w:val="single" w:sz="8" w:color="CCECFF"/>
            </w:tcBorders>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671,016,823</w:t>
            </w:r>
          </w:p>
        </w:tc>
        <w:tc>
          <w:tcPr>
            <w:tcW w:w="28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649,318,301</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Commitments and contingencies (See Note 12)</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20" w:type="dxa"/>
            <w:vAlign w:val="bottom"/>
            <w:shd w:val="clear" w:color="auto" w:fill="CCECFF"/>
          </w:tcPr>
          <w:p>
            <w:pPr>
              <w:spacing w:after="0" w:line="129" w:lineRule="exact"/>
              <w:rPr>
                <w:sz w:val="20"/>
                <w:szCs w:val="20"/>
                <w:color w:val="auto"/>
              </w:rPr>
            </w:pPr>
            <w:r>
              <w:rPr>
                <w:rFonts w:ascii="Times New Roman" w:cs="Times New Roman" w:eastAsia="Times New Roman" w:hAnsi="Times New Roman"/>
                <w:sz w:val="13"/>
                <w:szCs w:val="13"/>
                <w:color w:val="auto"/>
              </w:rPr>
              <w:t>Common stock, 38,772,074 and 38,772,074 shares issued and outstanding, respectively</w:t>
            </w: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38,772</w:t>
            </w:r>
          </w:p>
        </w:tc>
        <w:tc>
          <w:tcPr>
            <w:tcW w:w="28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Par value $0.001 per share and 100,000,000 shares authorized</w:t>
            </w: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00" w:type="dxa"/>
            <w:vAlign w:val="bottom"/>
            <w:vMerge w:val="continue"/>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20" w:type="dxa"/>
            <w:vAlign w:val="bottom"/>
            <w:vMerge w:val="continue"/>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538,151,528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538,632,828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Distributable income</w:t>
            </w: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(60,919,908)</w:t>
            </w:r>
          </w:p>
        </w:tc>
        <w:tc>
          <w:tcPr>
            <w:tcW w:w="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5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(35,614,089)</w:t>
            </w:r>
          </w:p>
        </w:tc>
        <w:tc>
          <w:tcPr>
            <w:tcW w:w="0" w:type="dxa"/>
            <w:vAlign w:val="bottom"/>
          </w:tcPr>
          <w:p>
            <w:pPr>
              <w:spacing w:after="0"/>
              <w:rPr>
                <w:sz w:val="1"/>
                <w:szCs w:val="1"/>
                <w:color w:val="auto"/>
              </w:rPr>
            </w:pPr>
          </w:p>
        </w:tc>
      </w:tr>
      <w:tr>
        <w:trPr>
          <w:trHeight w:val="141"/>
        </w:trPr>
        <w:tc>
          <w:tcPr>
            <w:tcW w:w="6820" w:type="dxa"/>
            <w:vAlign w:val="bottom"/>
            <w:tcBorders>
              <w:bottom w:val="single" w:sz="8" w:color="CCECFF"/>
            </w:tcBorders>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net assets</w:t>
            </w:r>
          </w:p>
        </w:tc>
        <w:tc>
          <w:tcPr>
            <w:tcW w:w="920" w:type="dxa"/>
            <w:vAlign w:val="bottom"/>
            <w:tcBorders>
              <w:bottom w:val="single" w:sz="8" w:color="CCEC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477,270,392</w:t>
            </w:r>
          </w:p>
        </w:tc>
        <w:tc>
          <w:tcPr>
            <w:tcW w:w="28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503,057,511</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20" w:type="dxa"/>
            <w:vAlign w:val="bottom"/>
            <w:tcBorders>
              <w:bottom w:val="single" w:sz="8" w:color="CCECFF"/>
            </w:tcBorders>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9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1,148,287,215</w:t>
            </w:r>
          </w:p>
        </w:tc>
        <w:tc>
          <w:tcPr>
            <w:tcW w:w="2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1,152,375,812</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0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8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12.31</w:t>
            </w: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12.97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Investment income:</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73,250,887</w:t>
            </w:r>
          </w:p>
        </w:tc>
        <w:tc>
          <w:tcPr>
            <w:tcW w:w="100" w:type="dxa"/>
            <w:vAlign w:val="bottom"/>
            <w:shd w:val="clear" w:color="auto" w:fill="CCECFF"/>
          </w:tcPr>
          <w:p>
            <w:pPr>
              <w:spacing w:after="0"/>
              <w:rPr>
                <w:sz w:val="12"/>
                <w:szCs w:val="12"/>
                <w:color w:val="auto"/>
              </w:rPr>
            </w:pPr>
          </w:p>
        </w:tc>
        <w:tc>
          <w:tcPr>
            <w:tcW w:w="460" w:type="dxa"/>
            <w:vAlign w:val="bottom"/>
            <w:gridSpan w:val="2"/>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69,319,954</w:t>
            </w:r>
          </w:p>
        </w:tc>
        <w:tc>
          <w:tcPr>
            <w:tcW w:w="260" w:type="dxa"/>
            <w:vAlign w:val="bottom"/>
            <w:shd w:val="clear" w:color="auto" w:fill="CCECFF"/>
          </w:tcPr>
          <w:p>
            <w:pPr>
              <w:spacing w:after="0"/>
              <w:rPr>
                <w:sz w:val="12"/>
                <w:szCs w:val="12"/>
                <w:color w:val="auto"/>
              </w:rPr>
            </w:pPr>
          </w:p>
        </w:tc>
        <w:tc>
          <w:tcPr>
            <w:tcW w:w="280" w:type="dxa"/>
            <w:vAlign w:val="bottom"/>
            <w:gridSpan w:val="2"/>
            <w:shd w:val="clear" w:color="auto" w:fill="CCEC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62,469,275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income</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3,565,134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3,497,784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882,934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1,237,675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Other income</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36,170</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127,734</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11,801,245</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12,464,035</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5,302,909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Borders>
              <w:bottom w:val="single" w:sz="8" w:color="CCECFF"/>
            </w:tcBorders>
          </w:tcPr>
          <w:p>
            <w:pPr>
              <w:ind w:left="220"/>
              <w:spacing w:after="0"/>
              <w:rPr>
                <w:sz w:val="20"/>
                <w:szCs w:val="20"/>
                <w:color w:val="auto"/>
              </w:rPr>
            </w:pPr>
            <w:r>
              <w:rPr>
                <w:rFonts w:ascii="Times New Roman" w:cs="Times New Roman" w:eastAsia="Times New Roman" w:hAnsi="Times New Roman"/>
                <w:sz w:val="13"/>
                <w:szCs w:val="13"/>
                <w:color w:val="auto"/>
              </w:rPr>
              <w:t>Dividend</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5,950,000</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6,300,000</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2,187,500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95,486,370</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92,947,182</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72,204,579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Base management fee (See Note 3)</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11,428,302</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10,209,566</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8,351,653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Performance-based incentive fee (See Note 3)</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9,300,311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6,204,112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2,399,249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 and expenses on debt (See Note 11)</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27,108,452</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22,540,098</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14,359,908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Administrative services expenses (See Note 3)</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1,550,000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2,464,306</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2,464,306</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2,460,582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Expenses before amendment costs, debt issuance costs and provision for taxes</w:t>
            </w:r>
          </w:p>
        </w:tc>
        <w:tc>
          <w:tcPr>
            <w:tcW w:w="28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51,701,371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42,968,082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29,571,392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Credit Facility amendment costs and debt issuance costs (See Notes 5 and 11)</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4,517,292</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10,869,098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Provision for taxes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top w:val="single" w:sz="8" w:color="CCECFF"/>
            </w:tcBorders>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expenses</w:t>
            </w:r>
          </w:p>
        </w:tc>
        <w:tc>
          <w:tcPr>
            <w:tcW w:w="280" w:type="dxa"/>
            <w:vAlign w:val="bottom"/>
            <w:tcBorders>
              <w:top w:val="single" w:sz="8" w:color="auto"/>
              <w:bottom w:val="single" w:sz="8" w:color="auto"/>
            </w:tcBorders>
            <w:shd w:val="clear" w:color="auto" w:fill="CCECFF"/>
          </w:tcPr>
          <w:p>
            <w:pPr>
              <w:spacing w:after="0"/>
              <w:rPr>
                <w:sz w:val="12"/>
                <w:szCs w:val="12"/>
                <w:color w:val="auto"/>
              </w:rPr>
            </w:pP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52,101,371</w:t>
            </w:r>
          </w:p>
        </w:tc>
        <w:tc>
          <w:tcPr>
            <w:tcW w:w="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auto"/>
              <w:bottom w:val="single" w:sz="8" w:color="auto"/>
            </w:tcBorders>
            <w:shd w:val="clear" w:color="auto" w:fill="CCECFF"/>
          </w:tcPr>
          <w:p>
            <w:pPr>
              <w:spacing w:after="0"/>
              <w:rPr>
                <w:sz w:val="12"/>
                <w:szCs w:val="12"/>
                <w:color w:val="auto"/>
              </w:rPr>
            </w:pPr>
          </w:p>
        </w:tc>
        <w:tc>
          <w:tcPr>
            <w:tcW w:w="10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47,485,374</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spacing w:after="0"/>
              <w:rPr>
                <w:sz w:val="12"/>
                <w:szCs w:val="12"/>
                <w:color w:val="auto"/>
              </w:rPr>
            </w:pPr>
          </w:p>
        </w:tc>
        <w:tc>
          <w:tcPr>
            <w:tcW w:w="10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41,240,490</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investment income</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43,384,999</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45,461,808</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30,964,089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Realized and unrealized (loss) gain on investments and debt:</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 on:</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(6,998,886)</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3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(18,802,365)</w:t>
            </w: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(2,327,118)</w:t>
            </w: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Controlled and non-controlled, affiliated investments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(5,683,145)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(12,621,504)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6660" w:type="dxa"/>
            <w:vAlign w:val="bottom"/>
            <w:tcBorders>
              <w:top w:val="single" w:sz="8" w:color="CCECFF"/>
            </w:tcBorders>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realized loss on investments</w:t>
            </w:r>
          </w:p>
        </w:tc>
        <w:tc>
          <w:tcPr>
            <w:tcW w:w="280" w:type="dxa"/>
            <w:vAlign w:val="bottom"/>
            <w:tcBorders>
              <w:top w:val="single" w:sz="8" w:color="auto"/>
            </w:tcBorders>
            <w:shd w:val="clear" w:color="auto" w:fill="CCECFF"/>
          </w:tcPr>
          <w:p>
            <w:pPr>
              <w:spacing w:after="0"/>
              <w:rPr>
                <w:sz w:val="12"/>
                <w:szCs w:val="12"/>
                <w:color w:val="auto"/>
              </w:rPr>
            </w:pPr>
          </w:p>
        </w:tc>
        <w:tc>
          <w:tcPr>
            <w:tcW w:w="10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(12,682,031)</w:t>
            </w:r>
          </w:p>
        </w:tc>
        <w:tc>
          <w:tcPr>
            <w:tcW w:w="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auto"/>
            </w:tcBorders>
            <w:shd w:val="clear" w:color="auto" w:fill="CCECFF"/>
          </w:tcPr>
          <w:p>
            <w:pPr>
              <w:spacing w:after="0"/>
              <w:rPr>
                <w:sz w:val="12"/>
                <w:szCs w:val="12"/>
                <w:color w:val="auto"/>
              </w:rPr>
            </w:pP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(31,423,869)</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(2,327,118)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(depreciation) appreciation on:</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(7,390,333)</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2,640,050</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(3,857,170)</w:t>
            </w: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Controlled and non-controlled, affiliated investments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(19,076,975)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(5,245,396)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960,087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Debt depreciation (appreciation) (See Note 5 and 11)</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14,177,384</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3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(16,487)</w:t>
            </w: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7,750,334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change in unrealized (depreciation) appreciation on investments and debt</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(12,289,924)</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(2,621,833)</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4,853,251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realized and unrealized (loss) gain from investments and debt</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(24,971,955)</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(34,045,702)</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2,526,133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60" w:type="dxa"/>
            <w:vAlign w:val="bottom"/>
            <w:tcBorders>
              <w:bottom w:val="single" w:sz="8" w:color="CCECFF"/>
            </w:tcBorders>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increase in net assets resulting from operations</w:t>
            </w: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18,413,044</w:t>
            </w:r>
          </w:p>
        </w:tc>
        <w:tc>
          <w:tcPr>
            <w:tcW w:w="100" w:type="dxa"/>
            <w:vAlign w:val="bottom"/>
            <w:tcBorders>
              <w:bottom w:val="single" w:sz="8" w:color="CCECFF"/>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300" w:type="dxa"/>
            <w:vAlign w:val="bottom"/>
            <w:tcBorders>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11,416,106</w:t>
            </w:r>
          </w:p>
        </w:tc>
        <w:tc>
          <w:tcPr>
            <w:tcW w:w="26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33,490,222</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60" w:type="dxa"/>
            <w:vAlign w:val="bottom"/>
            <w:tcBorders>
              <w:bottom w:val="single" w:sz="8" w:color="CCECFF"/>
            </w:tcBorders>
            <w:shd w:val="clear" w:color="auto" w:fill="CCECFF"/>
          </w:tcPr>
          <w:p>
            <w:pPr>
              <w:spacing w:after="0" w:line="126" w:lineRule="exact"/>
              <w:rPr>
                <w:sz w:val="20"/>
                <w:szCs w:val="20"/>
                <w:color w:val="auto"/>
              </w:rPr>
            </w:pPr>
            <w:r>
              <w:rPr>
                <w:rFonts w:ascii="Times New Roman" w:cs="Times New Roman" w:eastAsia="Times New Roman" w:hAnsi="Times New Roman"/>
                <w:sz w:val="13"/>
                <w:szCs w:val="13"/>
                <w:color w:val="auto"/>
              </w:rPr>
              <w:t>Net increase in net assets resulting from operations per common share (See Note 7)</w:t>
            </w: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0.47</w:t>
            </w:r>
          </w:p>
        </w:tc>
        <w:tc>
          <w:tcPr>
            <w:tcW w:w="1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300" w:type="dxa"/>
            <w:vAlign w:val="bottom"/>
            <w:tcBorders>
              <w:bottom w:val="single" w:sz="8" w:color="auto"/>
            </w:tcBorders>
            <w:shd w:val="clear" w:color="auto" w:fill="CCECFF"/>
          </w:tcPr>
          <w:p>
            <w:pPr>
              <w:jc w:val="right"/>
              <w:ind w:right="154"/>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0.29</w:t>
            </w:r>
          </w:p>
        </w:tc>
        <w:tc>
          <w:tcPr>
            <w:tcW w:w="260" w:type="dxa"/>
            <w:vAlign w:val="bottom"/>
            <w:tcBorders>
              <w:bottom w:val="single" w:sz="8" w:color="CCECFF"/>
            </w:tcBorders>
            <w:shd w:val="clear" w:color="auto" w:fill="CCECFF"/>
          </w:tcPr>
          <w:p>
            <w:pPr>
              <w:spacing w:after="0"/>
              <w:rPr>
                <w:sz w:val="10"/>
                <w:szCs w:val="10"/>
                <w:color w:val="auto"/>
              </w:rPr>
            </w:pPr>
          </w:p>
        </w:tc>
        <w:tc>
          <w:tcPr>
            <w:tcW w:w="2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auto"/>
            </w:tcBorders>
            <w:shd w:val="clear" w:color="auto" w:fill="CCEC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0.87</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660" w:type="dxa"/>
            <w:vAlign w:val="bottom"/>
            <w:vMerge w:val="continue"/>
          </w:tcPr>
          <w:p>
            <w:pPr>
              <w:spacing w:after="0"/>
              <w:rPr>
                <w:sz w:val="10"/>
                <w:szCs w:val="10"/>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54"/>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1.17</w:t>
            </w: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4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0.81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CFF"/>
            </w:tcBorders>
          </w:tcPr>
          <w:p>
            <w:pPr>
              <w:spacing w:after="0"/>
              <w:rPr>
                <w:sz w:val="12"/>
                <w:szCs w:val="12"/>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increase in net assets from operations: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investment income</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43,384,999</w:t>
            </w:r>
          </w:p>
        </w:tc>
        <w:tc>
          <w:tcPr>
            <w:tcW w:w="100" w:type="dxa"/>
            <w:vAlign w:val="bottom"/>
          </w:tcPr>
          <w:p>
            <w:pPr>
              <w:spacing w:after="0"/>
              <w:rPr>
                <w:sz w:val="12"/>
                <w:szCs w:val="12"/>
                <w:color w:val="auto"/>
              </w:rPr>
            </w:pPr>
          </w:p>
        </w:tc>
        <w:tc>
          <w:tcPr>
            <w:tcW w:w="4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45,461,808</w:t>
            </w:r>
          </w:p>
        </w:tc>
        <w:tc>
          <w:tcPr>
            <w:tcW w:w="180" w:type="dxa"/>
            <w:vAlign w:val="bottom"/>
          </w:tcPr>
          <w:p>
            <w:pPr>
              <w:spacing w:after="0"/>
              <w:rPr>
                <w:sz w:val="12"/>
                <w:szCs w:val="12"/>
                <w:color w:val="auto"/>
              </w:rPr>
            </w:pPr>
          </w:p>
        </w:tc>
        <w:tc>
          <w:tcPr>
            <w:tcW w:w="3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30,964,089</w:t>
            </w:r>
          </w:p>
        </w:tc>
        <w:tc>
          <w:tcPr>
            <w:tcW w:w="100" w:type="dxa"/>
            <w:vAlign w:val="bottom"/>
          </w:tcPr>
          <w:p>
            <w:pPr>
              <w:spacing w:after="0"/>
              <w:rPr>
                <w:sz w:val="12"/>
                <w:szCs w:val="12"/>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realized loss on investments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(12,682,031)</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(31,423,869)</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(2,327,118)</w:t>
            </w: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(26,467,308)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(2,605,346)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(2,897,083)</w:t>
            </w: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Net change in unrealized depreciation (appreciation) on debt</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14,177,384</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(16,487)</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7,750,334</w:t>
            </w:r>
          </w:p>
        </w:tc>
        <w:tc>
          <w:tcPr>
            <w:tcW w:w="100" w:type="dxa"/>
            <w:vAlign w:val="bottom"/>
            <w:shd w:val="clear" w:color="auto" w:fill="CCECFF"/>
          </w:tcPr>
          <w:p>
            <w:pPr>
              <w:spacing w:after="0"/>
              <w:rPr>
                <w:sz w:val="12"/>
                <w:szCs w:val="12"/>
                <w:color w:val="auto"/>
              </w:rPr>
            </w:pPr>
          </w:p>
        </w:tc>
      </w:tr>
      <w:tr>
        <w:trPr>
          <w:trHeight w:val="14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increase in net assets resulting from operations</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18,413,044</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11,416,106</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33,490,222</w:t>
            </w:r>
          </w:p>
        </w:tc>
        <w:tc>
          <w:tcPr>
            <w:tcW w:w="100" w:type="dxa"/>
            <w:vAlign w:val="bottom"/>
            <w:tcBorders>
              <w:bottom w:val="single" w:sz="8" w:color="CCECFF"/>
            </w:tcBorders>
          </w:tcPr>
          <w:p>
            <w:pPr>
              <w:spacing w:after="0"/>
              <w:rPr>
                <w:sz w:val="12"/>
                <w:szCs w:val="12"/>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(44,200,163)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(44,200,163)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(39,387,692)</w:t>
            </w: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(4,186,992)</w:t>
            </w:r>
          </w:p>
        </w:tc>
      </w:tr>
      <w:tr>
        <w:trPr>
          <w:trHeight w:val="14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(43,574,684)</w:t>
            </w:r>
          </w:p>
        </w:tc>
        <w:tc>
          <w:tcPr>
            <w:tcW w:w="100" w:type="dxa"/>
            <w:vAlign w:val="bottom"/>
            <w:tcBorders>
              <w:bottom w:val="single" w:sz="8" w:color="CCECFF"/>
            </w:tcBorders>
          </w:tcPr>
          <w:p>
            <w:pPr>
              <w:spacing w:after="0"/>
              <w:rPr>
                <w:sz w:val="12"/>
                <w:szCs w:val="12"/>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Capital transactions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Public offering (See Note 1)</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89,031,800</w:t>
            </w:r>
          </w:p>
        </w:tc>
        <w:tc>
          <w:tcPr>
            <w:tcW w:w="100" w:type="dxa"/>
            <w:vAlign w:val="bottom"/>
          </w:tcPr>
          <w:p>
            <w:pPr>
              <w:spacing w:after="0"/>
              <w:rPr>
                <w:sz w:val="12"/>
                <w:szCs w:val="12"/>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Offering costs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(1,012,044)</w:t>
            </w:r>
          </w:p>
        </w:tc>
      </w:tr>
      <w:tr>
        <w:trPr>
          <w:trHeight w:val="14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88,019,756</w:t>
            </w:r>
          </w:p>
        </w:tc>
        <w:tc>
          <w:tcPr>
            <w:tcW w:w="100" w:type="dxa"/>
            <w:vAlign w:val="bottom"/>
            <w:tcBorders>
              <w:bottom w:val="single" w:sz="8" w:color="CCECFF"/>
            </w:tcBorders>
          </w:tcPr>
          <w:p>
            <w:pPr>
              <w:spacing w:after="0"/>
              <w:rPr>
                <w:sz w:val="12"/>
                <w:szCs w:val="12"/>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(decrease) increase in net assets</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(25,787,119)</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(32,784,057)</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77,935,294</w:t>
            </w:r>
          </w:p>
        </w:tc>
        <w:tc>
          <w:tcPr>
            <w:tcW w:w="100" w:type="dxa"/>
            <w:vAlign w:val="bottom"/>
            <w:shd w:val="clear" w:color="auto" w:fill="CCECFF"/>
          </w:tcPr>
          <w:p>
            <w:pPr>
              <w:spacing w:after="0"/>
              <w:rPr>
                <w:sz w:val="12"/>
                <w:szCs w:val="12"/>
                <w:color w:val="auto"/>
              </w:rPr>
            </w:pPr>
          </w:p>
        </w:tc>
      </w:tr>
      <w:tr>
        <w:trPr>
          <w:trHeight w:val="141"/>
        </w:trPr>
        <w:tc>
          <w:tcPr>
            <w:tcW w:w="666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assets: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Beginning of year</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503,057,511</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535,841,568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457,906,274</w:t>
            </w:r>
          </w:p>
        </w:tc>
        <w:tc>
          <w:tcPr>
            <w:tcW w:w="100" w:type="dxa"/>
            <w:vAlign w:val="bottom"/>
            <w:shd w:val="clear" w:color="auto" w:fill="CCECFF"/>
          </w:tcPr>
          <w:p>
            <w:pPr>
              <w:spacing w:after="0"/>
              <w:rPr>
                <w:sz w:val="12"/>
                <w:szCs w:val="12"/>
                <w:color w:val="auto"/>
              </w:rPr>
            </w:pPr>
          </w:p>
        </w:tc>
      </w:tr>
      <w:tr>
        <w:trPr>
          <w:trHeight w:val="181"/>
        </w:trPr>
        <w:tc>
          <w:tcPr>
            <w:tcW w:w="6660" w:type="dxa"/>
            <w:vAlign w:val="bottom"/>
            <w:tcBorders>
              <w:bottom w:val="single" w:sz="8" w:color="CCECFF"/>
            </w:tcBorders>
          </w:tcPr>
          <w:p>
            <w:pPr>
              <w:ind w:left="220"/>
              <w:spacing w:after="0" w:line="141" w:lineRule="exact"/>
              <w:rPr>
                <w:sz w:val="20"/>
                <w:szCs w:val="20"/>
                <w:color w:val="auto"/>
              </w:rPr>
            </w:pPr>
            <w:r>
              <w:rPr>
                <w:rFonts w:ascii="Times New Roman" w:cs="Times New Roman" w:eastAsia="Times New Roman" w:hAnsi="Times New Roman"/>
                <w:sz w:val="13"/>
                <w:szCs w:val="13"/>
                <w:color w:val="auto"/>
              </w:rPr>
              <w:t>End of year</w:t>
            </w: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477,270,392</w:t>
            </w:r>
          </w:p>
        </w:tc>
        <w:tc>
          <w:tcPr>
            <w:tcW w:w="100" w:type="dxa"/>
            <w:vAlign w:val="bottom"/>
            <w:tcBorders>
              <w:bottom w:val="single" w:sz="8" w:color="CCECFF"/>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300" w:type="dxa"/>
            <w:vAlign w:val="bottom"/>
            <w:tcBorders>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503,057,511</w:t>
            </w:r>
          </w:p>
        </w:tc>
        <w:tc>
          <w:tcPr>
            <w:tcW w:w="1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535,841,568</w:t>
            </w:r>
          </w:p>
        </w:tc>
        <w:tc>
          <w:tcPr>
            <w:tcW w:w="100" w:type="dxa"/>
            <w:vAlign w:val="bottom"/>
            <w:tcBorders>
              <w:bottom w:val="single" w:sz="8" w:color="CCECFF"/>
            </w:tcBorders>
          </w:tcPr>
          <w:p>
            <w:pPr>
              <w:spacing w:after="0"/>
              <w:rPr>
                <w:sz w:val="15"/>
                <w:szCs w:val="15"/>
                <w:color w:val="auto"/>
              </w:rPr>
            </w:pPr>
          </w:p>
        </w:tc>
      </w:tr>
      <w:tr>
        <w:trPr>
          <w:trHeight w:val="126"/>
        </w:trPr>
        <w:tc>
          <w:tcPr>
            <w:tcW w:w="6660" w:type="dxa"/>
            <w:vAlign w:val="bottom"/>
            <w:shd w:val="clear" w:color="auto" w:fill="CCEC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Capital share activity:</w:t>
            </w:r>
          </w:p>
        </w:tc>
        <w:tc>
          <w:tcPr>
            <w:tcW w:w="2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0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66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6,292,000</w:t>
            </w:r>
          </w:p>
        </w:tc>
        <w:tc>
          <w:tcPr>
            <w:tcW w:w="100" w:type="dxa"/>
            <w:vAlign w:val="bottom"/>
          </w:tcPr>
          <w:p>
            <w:pPr>
              <w:spacing w:after="0"/>
              <w:rPr>
                <w:sz w:val="12"/>
                <w:szCs w:val="12"/>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18,413,044</w:t>
            </w:r>
          </w:p>
        </w:tc>
        <w:tc>
          <w:tcPr>
            <w:tcW w:w="100" w:type="dxa"/>
            <w:vAlign w:val="bottom"/>
          </w:tcPr>
          <w:p>
            <w:pPr>
              <w:spacing w:after="0"/>
              <w:rPr>
                <w:sz w:val="12"/>
                <w:szCs w:val="12"/>
                <w:color w:val="auto"/>
              </w:rPr>
            </w:pPr>
          </w:p>
        </w:tc>
        <w:tc>
          <w:tcPr>
            <w:tcW w:w="4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11,416,106</w:t>
            </w:r>
          </w:p>
        </w:tc>
        <w:tc>
          <w:tcPr>
            <w:tcW w:w="180" w:type="dxa"/>
            <w:vAlign w:val="bottom"/>
          </w:tcPr>
          <w:p>
            <w:pPr>
              <w:spacing w:after="0"/>
              <w:rPr>
                <w:sz w:val="12"/>
                <w:szCs w:val="12"/>
                <w:color w:val="auto"/>
              </w:rPr>
            </w:pPr>
          </w:p>
        </w:tc>
        <w:tc>
          <w:tcPr>
            <w:tcW w:w="3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33,490,222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CFF"/>
          </w:tcPr>
          <w:p>
            <w:pPr>
              <w:ind w:left="460"/>
              <w:spacing w:after="0" w:line="129" w:lineRule="exact"/>
              <w:rPr>
                <w:sz w:val="20"/>
                <w:szCs w:val="20"/>
                <w:color w:val="auto"/>
              </w:rPr>
            </w:pPr>
            <w:r>
              <w:rPr>
                <w:rFonts w:ascii="Times New Roman" w:cs="Times New Roman" w:eastAsia="Times New Roman" w:hAnsi="Times New Roman"/>
                <w:sz w:val="13"/>
                <w:szCs w:val="13"/>
                <w:color w:val="auto"/>
              </w:rPr>
              <w:t>Adjustments to reconcile net increase in net assets resulting from operations to net cash</w:t>
            </w:r>
          </w:p>
        </w:tc>
        <w:tc>
          <w:tcPr>
            <w:tcW w:w="2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3"/>
                <w:szCs w:val="13"/>
                <w:color w:val="auto"/>
              </w:rPr>
              <w:t>used in operating activities:</w:t>
            </w:r>
          </w:p>
        </w:tc>
        <w:tc>
          <w:tcPr>
            <w:tcW w:w="2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change in unrealized depreciation on investments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26,467,308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2,605,346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Net change in unrealized (depreciation) appreciation on debt</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(14,177,384)</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16,487</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(7,750,334)</w:t>
            </w: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realized loss on investments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12,682,031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31,423,869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(1,666,262)</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(1,482,887)</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(1,401,358)</w:t>
            </w: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(436,704,396)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(640,110,232)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(682,735,730)</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Payment-in-kind interest</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(2,488,029)</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(1,635,155)</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(669,290)</w:t>
            </w: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396,865,507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527,253,378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391,442,572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544,490</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20,238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Decrease (increase) in interest receivable</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(1,078,484)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(293,302)</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Decrease (increase) in receivable for investments sold</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2,997,546</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(2,997,546)</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14,185,850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(Increase) decrease in prepaid expenses and other assets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(133,956)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(Decrease) increase in payable for investments purchased</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(8,233,794)</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(47,553,428)</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37,856,710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Increase in interest payable on debt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636,977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Increase in base management fee payable</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48,458</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308,390</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634,823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Decrease in performance-based incentive fee payable</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(460,583)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(766,199)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(1,762,813)</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Increase in accrued other expenses</w:t>
            </w:r>
          </w:p>
        </w:tc>
        <w:tc>
          <w:tcPr>
            <w:tcW w:w="280" w:type="dxa"/>
            <w:vAlign w:val="bottom"/>
            <w:tcBorders>
              <w:bottom w:val="single" w:sz="8" w:color="auto"/>
            </w:tcBorders>
            <w:shd w:val="clear" w:color="auto" w:fill="CCECFF"/>
          </w:tcPr>
          <w:p>
            <w:pPr>
              <w:spacing w:after="0"/>
              <w:rPr>
                <w:sz w:val="12"/>
                <w:szCs w:val="12"/>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360,338</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172,464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1,117,740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ind w:left="900"/>
              <w:spacing w:after="0" w:line="141"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(4,940,894)</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(121,419,944)</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(208,278,556)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Public offering</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89,031,800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Offering costs</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(1,012,044)</w:t>
            </w: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(44,200,163)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(44,200,163)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(42,976,944)</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Proceeds from 2023 Notes issuance (See Notes 5 and 11)</w:t>
            </w: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138,579,858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Proceeds from 2031 Asset-Backed Debt issuance (See Notes 5 and 11)</w:t>
            </w:r>
          </w:p>
        </w:tc>
        <w:tc>
          <w:tcPr>
            <w:tcW w:w="28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224,301,607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3"/>
                <w:szCs w:val="13"/>
                <w:color w:val="auto"/>
              </w:rPr>
              <w:t>Borrowings under Credit Facility (See Notes 5 and 11)</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265,000,000</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370,700,000</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246,485,010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Repayments under Credit Facility (See Notes 5 and 11)</w:t>
            </w:r>
          </w:p>
        </w:tc>
        <w:tc>
          <w:tcPr>
            <w:tcW w:w="28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(221,709,000)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(439,120,020)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(166,540,790)</w:t>
            </w:r>
          </w:p>
        </w:tc>
        <w:tc>
          <w:tcPr>
            <w:tcW w:w="0" w:type="dxa"/>
            <w:vAlign w:val="bottom"/>
          </w:tcPr>
          <w:p>
            <w:pPr>
              <w:spacing w:after="0"/>
              <w:rPr>
                <w:sz w:val="1"/>
                <w:szCs w:val="1"/>
                <w:color w:val="auto"/>
              </w:rPr>
            </w:pPr>
          </w:p>
        </w:tc>
      </w:tr>
      <w:tr>
        <w:trPr>
          <w:trHeight w:val="141"/>
        </w:trPr>
        <w:tc>
          <w:tcPr>
            <w:tcW w:w="6660" w:type="dxa"/>
            <w:vAlign w:val="bottom"/>
            <w:tcBorders>
              <w:top w:val="single" w:sz="8" w:color="CCECFF"/>
            </w:tcBorders>
            <w:shd w:val="clear" w:color="auto" w:fill="CCECFF"/>
          </w:tcPr>
          <w:p>
            <w:pPr>
              <w:ind w:left="900"/>
              <w:spacing w:after="0" w:line="141"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280" w:type="dxa"/>
            <w:vAlign w:val="bottom"/>
            <w:tcBorders>
              <w:top w:val="single" w:sz="8" w:color="auto"/>
              <w:bottom w:val="single" w:sz="8" w:color="auto"/>
            </w:tcBorders>
            <w:shd w:val="clear" w:color="auto" w:fill="CCECFF"/>
          </w:tcPr>
          <w:p>
            <w:pPr>
              <w:spacing w:after="0"/>
              <w:rPr>
                <w:sz w:val="12"/>
                <w:szCs w:val="12"/>
                <w:color w:val="auto"/>
              </w:rPr>
            </w:pP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(909,163)</w:t>
            </w:r>
          </w:p>
        </w:tc>
        <w:tc>
          <w:tcPr>
            <w:tcW w:w="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auto"/>
              <w:bottom w:val="single" w:sz="8" w:color="auto"/>
            </w:tcBorders>
            <w:shd w:val="clear" w:color="auto" w:fill="CCECFF"/>
          </w:tcPr>
          <w:p>
            <w:pPr>
              <w:spacing w:after="0"/>
              <w:rPr>
                <w:sz w:val="12"/>
                <w:szCs w:val="12"/>
                <w:color w:val="auto"/>
              </w:rPr>
            </w:pPr>
          </w:p>
        </w:tc>
        <w:tc>
          <w:tcPr>
            <w:tcW w:w="10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111,681,424</w:t>
            </w:r>
          </w:p>
        </w:tc>
        <w:tc>
          <w:tcPr>
            <w:tcW w:w="18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bottom w:val="single" w:sz="8" w:color="auto"/>
            </w:tcBorders>
            <w:shd w:val="clear" w:color="auto" w:fill="CCECFF"/>
          </w:tcPr>
          <w:p>
            <w:pPr>
              <w:spacing w:after="0"/>
              <w:rPr>
                <w:sz w:val="12"/>
                <w:szCs w:val="12"/>
                <w:color w:val="auto"/>
              </w:rPr>
            </w:pPr>
          </w:p>
        </w:tc>
        <w:tc>
          <w:tcPr>
            <w:tcW w:w="10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263,566,890</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(decrease) increase in cash equivalents</w:t>
            </w:r>
          </w:p>
        </w:tc>
        <w:tc>
          <w:tcPr>
            <w:tcW w:w="280" w:type="dxa"/>
            <w:vAlign w:val="bottom"/>
          </w:tcPr>
          <w:p>
            <w:pPr>
              <w:spacing w:after="0"/>
              <w:rPr>
                <w:sz w:val="12"/>
                <w:szCs w:val="12"/>
                <w:color w:val="auto"/>
              </w:rPr>
            </w:pPr>
          </w:p>
        </w:tc>
        <w:tc>
          <w:tcPr>
            <w:tcW w:w="10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(5,850,057)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(9,738,520)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55,288,334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24,257</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852,065</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(1,974,907)</w:t>
            </w:r>
          </w:p>
        </w:tc>
        <w:tc>
          <w:tcPr>
            <w:tcW w:w="0" w:type="dxa"/>
            <w:vAlign w:val="bottom"/>
          </w:tcPr>
          <w:p>
            <w:pPr>
              <w:spacing w:after="0"/>
              <w:rPr>
                <w:sz w:val="1"/>
                <w:szCs w:val="1"/>
                <w:color w:val="auto"/>
              </w:rPr>
            </w:pPr>
          </w:p>
        </w:tc>
      </w:tr>
      <w:tr>
        <w:trPr>
          <w:trHeight w:val="149"/>
        </w:trPr>
        <w:tc>
          <w:tcPr>
            <w:tcW w:w="66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63,337,728</w:t>
            </w: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72,224,183</w:t>
            </w:r>
          </w:p>
        </w:tc>
        <w:tc>
          <w:tcPr>
            <w:tcW w:w="18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18,910,756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57,511,928</w:t>
            </w:r>
          </w:p>
        </w:tc>
        <w:tc>
          <w:tcPr>
            <w:tcW w:w="1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63,337,728</w:t>
            </w:r>
          </w:p>
        </w:tc>
        <w:tc>
          <w:tcPr>
            <w:tcW w:w="18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72,224,183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 paid</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26,237,965</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21,882,883</w:t>
            </w:r>
          </w:p>
        </w:tc>
        <w:tc>
          <w:tcPr>
            <w:tcW w:w="180" w:type="dxa"/>
            <w:vAlign w:val="bottom"/>
            <w:shd w:val="clear" w:color="auto" w:fill="CCECFF"/>
          </w:tcPr>
          <w:p>
            <w:pPr>
              <w:spacing w:after="0"/>
              <w:rPr>
                <w:sz w:val="12"/>
                <w:szCs w:val="12"/>
                <w:color w:val="auto"/>
              </w:rPr>
            </w:pPr>
          </w:p>
        </w:tc>
        <w:tc>
          <w:tcPr>
            <w:tcW w:w="36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23,284,289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CFF"/>
              <w:bottom w:val="single" w:sz="8" w:color="CCECFF"/>
            </w:tcBorders>
            <w:vMerge w:val="restart"/>
          </w:tcPr>
          <w:p>
            <w:pPr>
              <w:ind w:left="220"/>
              <w:spacing w:after="0"/>
              <w:rPr>
                <w:sz w:val="20"/>
                <w:szCs w:val="20"/>
                <w:color w:val="auto"/>
              </w:rPr>
            </w:pPr>
            <w:r>
              <w:rPr>
                <w:rFonts w:ascii="Times New Roman" w:cs="Times New Roman" w:eastAsia="Times New Roman" w:hAnsi="Times New Roman"/>
                <w:sz w:val="13"/>
                <w:szCs w:val="13"/>
                <w:color w:val="auto"/>
              </w:rPr>
              <w:t>Taxes paid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60" w:type="dxa"/>
            <w:vAlign w:val="bottom"/>
            <w:tcBorders>
              <w:bottom w:val="single" w:sz="8" w:color="CCECFF"/>
            </w:tcBorders>
            <w:vMerge w:val="continue"/>
          </w:tcPr>
          <w:p>
            <w:pPr>
              <w:spacing w:after="0"/>
              <w:rPr>
                <w:sz w:val="14"/>
                <w:szCs w:val="14"/>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502,486</w:t>
            </w: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jc w:val="right"/>
              <w:ind w:right="154"/>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293,672</w:t>
            </w:r>
          </w:p>
        </w:tc>
        <w:tc>
          <w:tcPr>
            <w:tcW w:w="18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395,555</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60" w:type="dxa"/>
            <w:vAlign w:val="bottom"/>
            <w:tcBorders>
              <w:bottom w:val="single" w:sz="8" w:color="CCECFF"/>
            </w:tcBorders>
            <w:shd w:val="clear" w:color="auto" w:fill="CCECFF"/>
          </w:tcPr>
          <w:p>
            <w:pPr>
              <w:ind w:left="220"/>
              <w:spacing w:after="0" w:line="126"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8,025,882</w:t>
            </w:r>
          </w:p>
        </w:tc>
        <w:tc>
          <w:tcPr>
            <w:tcW w:w="1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300" w:type="dxa"/>
            <w:vAlign w:val="bottom"/>
            <w:tcBorders>
              <w:bottom w:val="single" w:sz="8" w:color="auto"/>
            </w:tcBorders>
            <w:shd w:val="clear" w:color="auto" w:fill="CCECFF"/>
          </w:tcPr>
          <w:p>
            <w:pPr>
              <w:jc w:val="right"/>
              <w:ind w:right="154"/>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37,166,983</w:t>
            </w:r>
          </w:p>
        </w:tc>
        <w:tc>
          <w:tcPr>
            <w:tcW w:w="18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53,200,000</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3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3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42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gridSpan w:val="2"/>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rPr>
              <w:t>Above</w:t>
            </w:r>
          </w:p>
        </w:tc>
        <w:tc>
          <w:tcPr>
            <w:tcW w:w="920" w:type="dxa"/>
            <w:vAlign w:val="bottom"/>
            <w:gridSpan w:val="2"/>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w w:val="95"/>
              </w:rPr>
              <w:t>Par /</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40" w:type="dxa"/>
            <w:vAlign w:val="bottom"/>
          </w:tcPr>
          <w:p>
            <w:pPr>
              <w:spacing w:after="0"/>
              <w:rPr>
                <w:sz w:val="10"/>
                <w:szCs w:val="1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4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8"/>
                <w:szCs w:val="8"/>
                <w:b w:val="1"/>
                <w:bCs w:val="1"/>
                <w:color w:val="auto"/>
                <w:w w:val="97"/>
              </w:rPr>
              <w:t>(2)</w:t>
            </w:r>
          </w:p>
        </w:tc>
      </w:tr>
      <w:tr>
        <w:trPr>
          <w:trHeight w:val="116"/>
        </w:trPr>
        <w:tc>
          <w:tcPr>
            <w:tcW w:w="35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w w:val="99"/>
              </w:rPr>
              <w:t xml:space="preserve">Investments in Non-Controlled, Non-Affiliated Portfolio Companies—190.8% </w:t>
            </w:r>
            <w:r>
              <w:rPr>
                <w:rFonts w:ascii="Times New Roman" w:cs="Times New Roman" w:eastAsia="Times New Roman" w:hAnsi="Times New Roman"/>
                <w:sz w:val="8"/>
                <w:szCs w:val="8"/>
                <w:b w:val="1"/>
                <w:bCs w:val="1"/>
                <w:color w:val="auto"/>
                <w:w w:val="99"/>
              </w:rPr>
              <w:t>(3), (4)</w:t>
            </w:r>
          </w:p>
        </w:tc>
        <w:tc>
          <w:tcPr>
            <w:tcW w:w="620" w:type="dxa"/>
            <w:vAlign w:val="bottom"/>
            <w:tcBorders>
              <w:top w:val="single" w:sz="8" w:color="auto"/>
            </w:tcBorders>
            <w:shd w:val="clear" w:color="auto" w:fill="CCECFF"/>
          </w:tcPr>
          <w:p>
            <w:pPr>
              <w:spacing w:after="0"/>
              <w:rPr>
                <w:sz w:val="10"/>
                <w:szCs w:val="10"/>
                <w:color w:val="auto"/>
              </w:rPr>
            </w:pPr>
          </w:p>
        </w:tc>
        <w:tc>
          <w:tcPr>
            <w:tcW w:w="2420" w:type="dxa"/>
            <w:vAlign w:val="bottom"/>
            <w:tcBorders>
              <w:top w:val="single" w:sz="8" w:color="auto"/>
            </w:tcBorders>
            <w:shd w:val="clear" w:color="auto" w:fill="CCECFF"/>
          </w:tcPr>
          <w:p>
            <w:pPr>
              <w:spacing w:after="0"/>
              <w:rPr>
                <w:sz w:val="10"/>
                <w:szCs w:val="10"/>
                <w:color w:val="auto"/>
              </w:rPr>
            </w:pPr>
          </w:p>
        </w:tc>
        <w:tc>
          <w:tcPr>
            <w:tcW w:w="12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auto"/>
            </w:tcBorders>
            <w:shd w:val="clear" w:color="auto" w:fill="CCECFF"/>
          </w:tcPr>
          <w:p>
            <w:pPr>
              <w:spacing w:after="0"/>
              <w:rPr>
                <w:sz w:val="10"/>
                <w:szCs w:val="10"/>
                <w:color w:val="auto"/>
              </w:rPr>
            </w:pPr>
          </w:p>
        </w:tc>
        <w:tc>
          <w:tcPr>
            <w:tcW w:w="26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auto"/>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auto"/>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140" w:type="dxa"/>
            <w:vAlign w:val="bottom"/>
            <w:tcBorders>
              <w:top w:val="single" w:sz="8" w:color="auto"/>
            </w:tcBorders>
            <w:shd w:val="clear" w:color="auto" w:fill="CCECFF"/>
          </w:tcPr>
          <w:p>
            <w:pPr>
              <w:spacing w:after="0"/>
              <w:rPr>
                <w:sz w:val="10"/>
                <w:szCs w:val="10"/>
                <w:color w:val="auto"/>
              </w:rPr>
            </w:pPr>
          </w:p>
        </w:tc>
        <w:tc>
          <w:tcPr>
            <w:tcW w:w="560" w:type="dxa"/>
            <w:vAlign w:val="bottom"/>
            <w:tcBorders>
              <w:top w:val="single" w:sz="8" w:color="auto"/>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40" w:type="dxa"/>
            <w:vAlign w:val="bottom"/>
            <w:tcBorders>
              <w:top w:val="single" w:sz="8" w:color="auto"/>
            </w:tcBorders>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spacing w:after="0"/>
              <w:rPr>
                <w:sz w:val="10"/>
                <w:szCs w:val="10"/>
                <w:color w:val="auto"/>
              </w:rPr>
            </w:pPr>
          </w:p>
        </w:tc>
        <w:tc>
          <w:tcPr>
            <w:tcW w:w="120" w:type="dxa"/>
            <w:vAlign w:val="bottom"/>
            <w:tcBorders>
              <w:top w:val="single" w:sz="8" w:color="CCECFF"/>
            </w:tcBorders>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Debt—175.5%</w:t>
            </w: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18 Freemont Street Acquisition, LLC</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08/11/2025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L+800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6,697,697</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6,581,574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6,362,812</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Advantage Sales &amp; Marketing</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07/23/2021</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Food and Staples Retailing</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4.25%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L+325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3,158,375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3,084,907</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3,095,997</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Technologies,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07/24/2025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IT Services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L+600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6,313,001</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6,233,142</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6,092,046</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Altamira Technologies, LLC (Revolver) </w:t>
            </w:r>
            <w:r>
              <w:rPr>
                <w:rFonts w:ascii="Times New Roman" w:cs="Times New Roman" w:eastAsia="Times New Roman" w:hAnsi="Times New Roman"/>
                <w:sz w:val="8"/>
                <w:szCs w:val="8"/>
                <w:color w:val="auto"/>
              </w:rPr>
              <w:t>(7)</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07/24/2025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IT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1,437,500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1,437,500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1,387,187</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Altamira Technologies,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07/24/2025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IT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718,750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(25,156)</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American Auto Auction Group,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01/02/2024</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Transportation: Consumer</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7,385,098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7,317,949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7,163,545</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12/21/2023</w:t>
            </w:r>
          </w:p>
        </w:tc>
        <w:tc>
          <w:tcPr>
            <w:tcW w:w="254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0"/>
                <w:szCs w:val="10"/>
                <w:color w:val="auto"/>
                <w:w w:val="99"/>
              </w:rPr>
              <w:t>Building Products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14,775,105</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14,574,748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14,479,603</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American Teleconferencing Services, Ltd.</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06/08/2023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9,651,242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9,550,005</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8,203,555</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Apex Service Partners,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07/31/2025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Energy Equipment and Services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6,978,475</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6,920,667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6,769,121</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Apex Service Partners, LLC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07/31/2021</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Energy Equipment and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1,198,613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(35,958)</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API Technologies Corp.</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05/11/2026</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4.40%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L+425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5,925,000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5,897,574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5,776,875</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BEI Precision Systems &amp; Space Company,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04/28/2023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11,610,000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11,527,096</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11,493,900</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05/16/2022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28,863,220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28,711,219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28,574,588</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By Light Professional IT Services, LLC (Revolver)</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05/16/2022</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2,504,092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2,504,092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2,479,051</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05/16/2022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558,511</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(5,585)</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Cadence Aerospace, LLC </w:t>
            </w:r>
            <w:r>
              <w:rPr>
                <w:rFonts w:ascii="Times New Roman" w:cs="Times New Roman" w:eastAsia="Times New Roman" w:hAnsi="Times New Roman"/>
                <w:sz w:val="8"/>
                <w:szCs w:val="8"/>
                <w:color w:val="auto"/>
              </w:rPr>
              <w:t>(7)</w:t>
            </w:r>
          </w:p>
        </w:tc>
        <w:tc>
          <w:tcPr>
            <w:tcW w:w="6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11/14/2023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2,884,399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2,860,365</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2,767,292</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Cano Health,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06/02/2025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14,882,169</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14,771,615</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14,993,786</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Cardenas Markets LLC</w:t>
            </w:r>
          </w:p>
        </w:tc>
        <w:tc>
          <w:tcPr>
            <w:tcW w:w="6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11/29/2023</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3,795,450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3,798,714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3,795,450</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Centauri Group Holdings,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02/12/2024</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3,248,900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3,244,298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3,232,655</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CHA Holdings,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04/10/2025</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Environmental Industries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7,291,746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7,267,251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7,145,911</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Challenger Performance Optimization, Inc.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08/31/2023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711,447</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(49,801)</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Compex Legal Services,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02/09/2026</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7,730,621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7,582,329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7,589,151</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Compex Legal Services, Inc.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02/08/2021</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3,322,470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(27,576)</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8"/>
                <w:szCs w:val="8"/>
                <w:color w:val="auto"/>
              </w:rPr>
              <w:t>(7)</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02/07/2025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983,962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983,962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965,956</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02/07/2025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421,698</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(7,717)</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06/24/2026</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Health Providers and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5.15%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L+500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3,913,661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3,890,750</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Datalot Inc.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01/24/2025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15,257,804</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14,979,266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15,276,113</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Datalot Inc. (Revolver) </w:t>
            </w:r>
            <w:r>
              <w:rPr>
                <w:rFonts w:ascii="Times New Roman" w:cs="Times New Roman" w:eastAsia="Times New Roman" w:hAnsi="Times New Roman"/>
                <w:sz w:val="8"/>
                <w:szCs w:val="8"/>
                <w:color w:val="auto"/>
              </w:rPr>
              <w:t>(7)</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01/24/2025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3,833,619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3,833,619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3,838,219</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Digital Room Holdings, Inc.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05/22/2026</w:t>
            </w:r>
          </w:p>
        </w:tc>
        <w:tc>
          <w:tcPr>
            <w:tcW w:w="254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0"/>
                <w:szCs w:val="10"/>
                <w:color w:val="auto"/>
                <w:w w:val="99"/>
              </w:rPr>
              <w:t>Media: Advertising, Printing and Publishing</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9,875,000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9,736,008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9,183,750</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10/19/2022</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6,612,916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6,553,834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6,513,722</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10/19/2022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P+475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3,220,196</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3,220,196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3,171,893</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(Revolver)</w:t>
            </w:r>
          </w:p>
        </w:tc>
        <w:tc>
          <w:tcPr>
            <w:tcW w:w="62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10/19/2022</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1,170,980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(17,565)</w:t>
            </w:r>
          </w:p>
        </w:tc>
      </w:tr>
      <w:tr>
        <w:trPr>
          <w:trHeight w:val="123"/>
        </w:trPr>
        <w:tc>
          <w:tcPr>
            <w:tcW w:w="35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8"/>
                <w:szCs w:val="8"/>
                <w:color w:val="auto"/>
              </w:rPr>
              <w:t>(7), (9)</w:t>
            </w: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10/19/2022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3,021,798</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3,008,407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2,976,471</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11/03/2025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4,962,500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4,918,144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4,871,686</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11/03/2025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903,716</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(16,538)</w:t>
            </w:r>
          </w:p>
        </w:tc>
      </w:tr>
      <w:tr>
        <w:trPr>
          <w:trHeight w:val="125"/>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East Valley Tourist Development Authority</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03/07/2022</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Hotel, Gaming and Leisure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L+800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19,039,079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18,917,984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18,467,906</w:t>
            </w:r>
          </w:p>
        </w:tc>
        <w:tc>
          <w:tcPr>
            <w:tcW w:w="120" w:type="dxa"/>
            <w:vAlign w:val="bottom"/>
          </w:tcPr>
          <w:p>
            <w:pPr>
              <w:spacing w:after="0"/>
              <w:rPr>
                <w:sz w:val="10"/>
                <w:szCs w:val="10"/>
                <w:color w:val="auto"/>
              </w:rPr>
            </w:pPr>
          </w:p>
        </w:tc>
      </w:tr>
      <w:tr>
        <w:trPr>
          <w:trHeight w:val="123"/>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3.50%)</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ECM Industries,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12/23/2025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5,075,958</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5,028,206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5,050,578</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ECM Industries, LLC (Revolver)</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12/23/2025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914,415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914,415</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902,345</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eCommission Financial Services, Inc. </w:t>
            </w:r>
            <w:r>
              <w:rPr>
                <w:rFonts w:ascii="Times New Roman" w:cs="Times New Roman" w:eastAsia="Times New Roman" w:hAnsi="Times New Roman"/>
                <w:sz w:val="8"/>
                <w:szCs w:val="8"/>
                <w:color w:val="auto"/>
              </w:rPr>
              <w:t>(10)</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10/05/2023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Banking, Finance, Insurance &amp; Real Estate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16,131,250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16,131,250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15,889,281</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eCommission Financial Services, Inc. (Revolver) </w:t>
            </w:r>
            <w:r>
              <w:rPr>
                <w:rFonts w:ascii="Times New Roman" w:cs="Times New Roman" w:eastAsia="Times New Roman" w:hAnsi="Times New Roman"/>
                <w:sz w:val="8"/>
                <w:szCs w:val="8"/>
                <w:color w:val="auto"/>
              </w:rPr>
              <w:t>(7), (9), (10)</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10/05/2023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Banking, Finance, Insurance &amp; Real Estate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(75,000)</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Education Networks of America, Inc.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05/06/2021</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L+925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9,985,621</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9,985,621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9,985,621</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4.75%)</w:t>
            </w: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Education Networks of America, Inc. (Revolver)</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05/06/2021</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L+925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2,243,444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2,243,444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2,243,444</w:t>
            </w:r>
          </w:p>
        </w:tc>
        <w:tc>
          <w:tcPr>
            <w:tcW w:w="120" w:type="dxa"/>
            <w:vAlign w:val="bottom"/>
          </w:tcPr>
          <w:p>
            <w:pPr>
              <w:spacing w:after="0"/>
              <w:rPr>
                <w:sz w:val="10"/>
                <w:szCs w:val="10"/>
                <w:color w:val="auto"/>
              </w:rPr>
            </w:pPr>
          </w:p>
        </w:tc>
      </w:tr>
      <w:tr>
        <w:trPr>
          <w:trHeight w:val="123"/>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4.75%)</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06/15/2022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L+675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7,189,139</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7,168,054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6,937,519</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Empire Resorts,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03/22/2021</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Hotel, Gaming and Leisure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2.89%</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L+225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7,471,938</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7,425,000</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FlexPrint,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01/02/2024</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7.12%</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L+684</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4,975,898</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4,916,661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4,839,060</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FlexPrint, LLC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12/31/2020</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3,077,342</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(61,547)</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Software LLC</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11/14/2022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13,707,757</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13,504,876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13,707,757</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GCOM Software LLC (Revolver)</w:t>
            </w:r>
          </w:p>
        </w:tc>
        <w:tc>
          <w:tcPr>
            <w:tcW w:w="6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11/14/2022</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8.75%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2,133,333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2,133,333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2,133,333</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GCOM Software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11/14/2022</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533,333</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Good2Grow LLC</w:t>
            </w:r>
          </w:p>
        </w:tc>
        <w:tc>
          <w:tcPr>
            <w:tcW w:w="620" w:type="dxa"/>
            <w:vAlign w:val="bottom"/>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11/18/2024</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Beverages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L+425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5,699,510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5,657,300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5,656,763</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Good2Grow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30"/>
              <w:spacing w:after="0"/>
              <w:rPr>
                <w:sz w:val="20"/>
                <w:szCs w:val="20"/>
                <w:color w:val="auto"/>
              </w:rPr>
            </w:pPr>
            <w:r>
              <w:rPr>
                <w:rFonts w:ascii="Times New Roman" w:cs="Times New Roman" w:eastAsia="Times New Roman" w:hAnsi="Times New Roman"/>
                <w:sz w:val="10"/>
                <w:szCs w:val="10"/>
                <w:color w:val="auto"/>
                <w:w w:val="96"/>
              </w:rPr>
              <w:t>11/16/2023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Beverages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3,137,000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(23,528)</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GSM Holdings,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06/03/2024</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19,130,304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19,041,110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18,939,001</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GSM Holdings, Inc. (Revolver)</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06/03/2024</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7,126,484</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7,126,484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7,055,219</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12/10/2024</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7,416,290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7,357,894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7,193,802</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12/10/2024</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1,451,613</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(43,548)</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IMIA Holdings, Inc. (Revolver)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10/28/2024</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1,968,504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Impact Group,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06/27/2023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L+737</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12,671,202</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12,622,034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12,734,558</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Innova Medical Ophthalmics Inc. </w:t>
            </w:r>
            <w:r>
              <w:rPr>
                <w:rFonts w:ascii="Times New Roman" w:cs="Times New Roman" w:eastAsia="Times New Roman" w:hAnsi="Times New Roman"/>
                <w:sz w:val="8"/>
                <w:szCs w:val="8"/>
                <w:color w:val="auto"/>
              </w:rPr>
              <w:t>(5), (10)</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04/13/2023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7.25%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3,271,649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3,244,173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3,072,079</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Innova Medical Ophthalmics Inc. (Revolver) </w:t>
            </w:r>
            <w:r>
              <w:rPr>
                <w:rFonts w:ascii="Times New Roman" w:cs="Times New Roman" w:eastAsia="Times New Roman" w:hAnsi="Times New Roman"/>
                <w:sz w:val="8"/>
                <w:szCs w:val="8"/>
                <w:color w:val="auto"/>
              </w:rPr>
              <w:t>(5), (7), (10)</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04/13/2023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530,973</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530,973</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498,584</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09/29/2023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Consumer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5.75%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L+475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22,173,199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22,028,349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21,840,601</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Integrative Nutrition, LLC (Revolver) </w:t>
            </w:r>
            <w:r>
              <w:rPr>
                <w:rFonts w:ascii="Times New Roman" w:cs="Times New Roman" w:eastAsia="Times New Roman" w:hAnsi="Times New Roman"/>
                <w:sz w:val="8"/>
                <w:szCs w:val="8"/>
                <w:color w:val="auto"/>
              </w:rPr>
              <w:t>(7), (9)</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09/29/2023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rPr>
              <w:t>Consumer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(75,000)</w:t>
            </w: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04/30/2021</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3,709,390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3,702,960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3,672,296</w:t>
            </w: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K2 Pure Solutions NoCal, L.P. (Revovler) </w:t>
            </w:r>
            <w:r>
              <w:rPr>
                <w:rFonts w:ascii="Times New Roman" w:cs="Times New Roman" w:eastAsia="Times New Roman" w:hAnsi="Times New Roman"/>
                <w:sz w:val="8"/>
                <w:szCs w:val="8"/>
                <w:color w:val="auto"/>
              </w:rPr>
              <w:t>(7)</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12/20/2023</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L+700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1,071,429</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1,071,429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1,047,857</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K2 Pure Solutions NoCal, L.P. (Revovler)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12/20/2023</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357,143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(7,857)</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Kentucky Downs, LLC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03/07/2025</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L+850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5,499,731</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5,395,498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5,417,236</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Kentucky Downs, LLC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03/07/2025</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448,276</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(6,724)</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10/31/2024</w:t>
            </w:r>
          </w:p>
        </w:tc>
        <w:tc>
          <w:tcPr>
            <w:tcW w:w="2540" w:type="dxa"/>
            <w:vAlign w:val="bottom"/>
            <w:gridSpan w:val="2"/>
            <w:shd w:val="clear" w:color="auto" w:fill="CCECFF"/>
          </w:tcPr>
          <w:p>
            <w:pPr>
              <w:jc w:val="center"/>
              <w:ind w:right="8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9,028,277</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8,984,046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8,315,946</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5.00%)</w:t>
            </w: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8"/>
                <w:szCs w:val="8"/>
                <w:color w:val="auto"/>
              </w:rPr>
              <w:t>(7)</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10/31/2024</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8.50%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1,607,584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1,607,584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1,480,745</w:t>
            </w:r>
          </w:p>
        </w:tc>
        <w:tc>
          <w:tcPr>
            <w:tcW w:w="120" w:type="dxa"/>
            <w:vAlign w:val="bottom"/>
          </w:tcPr>
          <w:p>
            <w:pPr>
              <w:spacing w:after="0"/>
              <w:rPr>
                <w:sz w:val="10"/>
                <w:szCs w:val="10"/>
                <w:color w:val="auto"/>
              </w:rPr>
            </w:pPr>
          </w:p>
        </w:tc>
      </w:tr>
      <w:tr>
        <w:trPr>
          <w:trHeight w:val="123"/>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5.00%)</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02/03/2026</w:t>
            </w:r>
          </w:p>
        </w:tc>
        <w:tc>
          <w:tcPr>
            <w:tcW w:w="254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30,362,602</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29,830,439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29,983,070</w:t>
            </w:r>
          </w:p>
        </w:tc>
        <w:tc>
          <w:tcPr>
            <w:tcW w:w="120" w:type="dxa"/>
            <w:vAlign w:val="bottom"/>
            <w:shd w:val="clear" w:color="auto" w:fill="CCECFF"/>
          </w:tcPr>
          <w:p>
            <w:pPr>
              <w:spacing w:after="0"/>
              <w:rPr>
                <w:sz w:val="10"/>
                <w:szCs w:val="10"/>
                <w:color w:val="auto"/>
              </w:rPr>
            </w:pPr>
          </w:p>
        </w:tc>
      </w:tr>
      <w:tr>
        <w:trPr>
          <w:trHeight w:val="124"/>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Lightspeed Buyer Inc. </w:t>
            </w:r>
            <w:r>
              <w:rPr>
                <w:rFonts w:ascii="Times New Roman" w:cs="Times New Roman" w:eastAsia="Times New Roman" w:hAnsi="Times New Roman"/>
                <w:sz w:val="8"/>
                <w:szCs w:val="8"/>
                <w:color w:val="auto"/>
              </w:rPr>
              <w:t>(7), (9)</w:t>
            </w: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0"/>
                <w:szCs w:val="10"/>
                <w:color w:val="auto"/>
              </w:rPr>
              <w:t>08/03/2021</w:t>
            </w:r>
          </w:p>
        </w:tc>
        <w:tc>
          <w:tcPr>
            <w:tcW w:w="25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1,891,068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(4,728)</w:t>
            </w:r>
          </w:p>
        </w:tc>
      </w:tr>
      <w:tr>
        <w:trPr>
          <w:trHeight w:val="124"/>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Lightspeed Buyer Inc. (Revolver)</w:t>
            </w:r>
          </w:p>
        </w:tc>
        <w:tc>
          <w:tcPr>
            <w:tcW w:w="620" w:type="dxa"/>
            <w:vAlign w:val="bottom"/>
            <w:shd w:val="clear" w:color="auto" w:fill="CCECFF"/>
          </w:tcPr>
          <w:p>
            <w:pPr>
              <w:jc w:val="center"/>
              <w:ind w:right="110"/>
              <w:spacing w:after="0"/>
              <w:rPr>
                <w:sz w:val="20"/>
                <w:szCs w:val="20"/>
                <w:color w:val="auto"/>
              </w:rPr>
            </w:pPr>
            <w:r>
              <w:rPr>
                <w:rFonts w:ascii="Times New Roman" w:cs="Times New Roman" w:eastAsia="Times New Roman" w:hAnsi="Times New Roman"/>
                <w:sz w:val="10"/>
                <w:szCs w:val="10"/>
                <w:color w:val="auto"/>
              </w:rPr>
              <w:t>02/03/2026</w:t>
            </w:r>
          </w:p>
        </w:tc>
        <w:tc>
          <w:tcPr>
            <w:tcW w:w="254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2,499,299</w:t>
            </w:r>
          </w:p>
        </w:tc>
        <w:tc>
          <w:tcPr>
            <w:tcW w:w="2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2,499,299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2,468,058</w:t>
            </w:r>
          </w:p>
        </w:tc>
        <w:tc>
          <w:tcPr>
            <w:tcW w:w="120" w:type="dxa"/>
            <w:vAlign w:val="bottom"/>
            <w:shd w:val="clear" w:color="auto" w:fill="CCECFF"/>
          </w:tcPr>
          <w:p>
            <w:pPr>
              <w:spacing w:after="0"/>
              <w:rPr>
                <w:sz w:val="10"/>
                <w:szCs w:val="10"/>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right"/>
              <w:ind w:right="28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14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95"/>
              </w:rPr>
              <w:t>Above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100"/>
              <w:spacing w:after="0" w:line="112" w:lineRule="exact"/>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20" w:type="dxa"/>
            <w:vAlign w:val="bottom"/>
          </w:tcPr>
          <w:p>
            <w:pPr>
              <w:spacing w:after="0"/>
              <w:rPr>
                <w:sz w:val="10"/>
                <w:szCs w:val="1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c>
          <w:tcPr>
            <w:tcW w:w="120" w:type="dxa"/>
            <w:vAlign w:val="bottom"/>
          </w:tcPr>
          <w:p>
            <w:pPr>
              <w:spacing w:after="0"/>
              <w:rPr>
                <w:sz w:val="10"/>
                <w:szCs w:val="10"/>
                <w:color w:val="auto"/>
              </w:rPr>
            </w:pPr>
          </w:p>
        </w:tc>
      </w:tr>
      <w:tr>
        <w:trPr>
          <w:trHeight w:val="116"/>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Lombart Brothers, Inc.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04/13/2023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L+625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13,639,301</w:t>
            </w:r>
          </w:p>
        </w:tc>
        <w:tc>
          <w:tcPr>
            <w:tcW w:w="220" w:type="dxa"/>
            <w:vAlign w:val="bottom"/>
          </w:tcPr>
          <w:p>
            <w:pPr>
              <w:spacing w:after="0"/>
              <w:rPr>
                <w:sz w:val="10"/>
                <w:szCs w:val="10"/>
                <w:color w:val="auto"/>
              </w:rPr>
            </w:pPr>
          </w:p>
        </w:tc>
        <w:tc>
          <w:tcPr>
            <w:tcW w:w="1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13,517,803</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12,807,304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Lombart Brothers, Inc. (Revolver) </w:t>
            </w:r>
            <w:r>
              <w:rPr>
                <w:rFonts w:ascii="Times New Roman" w:cs="Times New Roman" w:eastAsia="Times New Roman" w:hAnsi="Times New Roman"/>
                <w:sz w:val="8"/>
                <w:szCs w:val="8"/>
                <w:color w:val="auto"/>
              </w:rPr>
              <w:t>(7)</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04/13/2023</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L+625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1,238,938</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1,238,938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1,163,363</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Long Island Vision Management,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09/07/2023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5.76%</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L+475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8,969,009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8,919,084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8,551,950</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05/01/2023</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Retail</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13,231,250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13,162,333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12,820,552</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MAG DS Corp.</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04/01/2027</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L+550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4,000,000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3,800,000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3,805,000</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Manna Pro Products,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12/08/2023</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8,305,000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8,253,987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8,081,596</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01/27/2023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0.00%</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5,284,919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5,220,978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4,464,171</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8"/>
                <w:szCs w:val="8"/>
                <w:color w:val="auto"/>
              </w:rPr>
              <w:t>(11)</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01/27/2023</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0.00%</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C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16,213,270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11,377,025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10,252,929</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LLC (Revolver)</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01/27/2023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0.00%</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1,703,163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1,703,163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1,438,662</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MeritDirect,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05/23/2024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29,582,555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29,236,103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28,177,384</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MeritDirect, LLC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05/23/2024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Media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4,481,655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(212,879)</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09/28/2022</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612,191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607,716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604,783</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09/28/2021</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1,325,088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(16,034)</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03/27/2024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L+450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4,462,303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3,937,732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4,060,696</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Ox Two,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02/27/2023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L+625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12,526,325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12,473,095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12,463,694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8"/>
                <w:szCs w:val="8"/>
                <w:color w:val="auto"/>
              </w:rPr>
              <w:t>(7)</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02/27/2023</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108,444</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108,444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107,902</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02/27/2023</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447,111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(2,236)</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Peninsula Pacific Entertainment LLC </w:t>
            </w:r>
            <w:r>
              <w:rPr>
                <w:rFonts w:ascii="Times New Roman" w:cs="Times New Roman" w:eastAsia="Times New Roman" w:hAnsi="Times New Roman"/>
                <w:sz w:val="8"/>
                <w:szCs w:val="8"/>
                <w:color w:val="auto"/>
              </w:rPr>
              <w:t>(7)</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11/13/2024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7.40%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L+725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10,224,431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10,193,277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9,508,720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Plant Health Intermediate, Inc. </w:t>
            </w:r>
            <w:r>
              <w:rPr>
                <w:rFonts w:ascii="Times New Roman" w:cs="Times New Roman" w:eastAsia="Times New Roman" w:hAnsi="Times New Roman"/>
                <w:sz w:val="8"/>
                <w:szCs w:val="8"/>
                <w:color w:val="auto"/>
              </w:rPr>
              <w:t>(7)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10/19/2022</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650,644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646,164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640,884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05/08/2026</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5.72%</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5,367,361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5,320,837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5,098,992</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PRA Events, Inc.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08/08/2022</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Business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0.00%</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L+700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2,558,746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2,527,407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2,154,464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Questex,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09/09/2024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7,350,000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7,245,118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6,762,000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Questex, LLC (Revolver)</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09/09/2024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598,404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598,404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550,532</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09/09/2024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598,404</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(47,872)</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Research Horizons,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06/28/2022</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Advertising, Printing and Publishing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L+625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6,894,172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6,847,485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6,618,405</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Research Now Group, Inc. and Survey Sampling</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12/20/2024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23,266,875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22,662,940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21,975,563</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International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Riverpoint Medical,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06/20/2025</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Equipment and Supplies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L+450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4,937,500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4,892,077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4,764,194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06/20/2025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Equipment and Supplies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909,091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(31,909)</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Riverside Assessments,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03/10/2025</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15,671,250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15,389,332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14,848,509</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01/03/2025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7.75%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L+600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13,934,045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13,689,392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13,599,628</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Sales Benchmark Index LLC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07/07/2021</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3,231,707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(77,561)</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01/03/2025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1,292,683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(31,024)</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Salient CRGT Inc.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02/28/2022</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L+650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1,696,397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1,684,941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1,569,168</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12/20/2024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4,700,654</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4,639,240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4,616,042</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12/20/2024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1,056,367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(19,015)</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07/14/2025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13,478,823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13,351,351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12,501,608</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07/14/2025</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L+600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774,839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774,839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718,663</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07/14/2025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1,095,462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(79,421)</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05/03/2024</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Commercial Services &amp; Supplies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L+650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12,350,000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12,205,240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11,948,625</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Signature Systems Holding Company (Revolver)</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05/03/2024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Commercial Services &amp; Supplies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978,495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978,495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946,694</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05/03/2024</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Commercial Services &amp; Supplies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768,817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(24,987)</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Smile Brands Inc. </w:t>
            </w:r>
            <w:r>
              <w:rPr>
                <w:rFonts w:ascii="Times New Roman" w:cs="Times New Roman" w:eastAsia="Times New Roman" w:hAnsi="Times New Roman"/>
                <w:sz w:val="8"/>
                <w:szCs w:val="8"/>
                <w:color w:val="auto"/>
              </w:rPr>
              <w:t>(7)</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10/14/2024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4.90%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L+450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3,395,269</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3,395,269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3,293,411</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Smile Brands Inc.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10/14/2024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1,076,088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(32,283)</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10/14/2024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1,616,250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(99,027)</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Snak Club, LLC (Revolver) </w:t>
            </w:r>
            <w:r>
              <w:rPr>
                <w:rFonts w:ascii="Times New Roman" w:cs="Times New Roman" w:eastAsia="Times New Roman" w:hAnsi="Times New Roman"/>
                <w:sz w:val="8"/>
                <w:szCs w:val="8"/>
                <w:color w:val="auto"/>
              </w:rPr>
              <w:t>(7)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07/19/2021</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L+550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99,000</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Snak Club, LLC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07/19/2021</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395,136</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(3,951)</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01/17/2024</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6,316,818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6,227,596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6,247,334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Solutionreach, Inc. (Revolver)</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01/17/2024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1,248,750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1,248,750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1,235,014</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01/17/2024</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416,250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(4,579)</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Spear Education,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02/26/2025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15,049,375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14,913,852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14,673,140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Spear Education, LLC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02/26/2022</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6,875,000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(171,875)</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Spectacle Gary Holdings,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12/23/2025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11.00%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L+900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8,427,027</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8,196,440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8,174,216</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Spectacle Gary Holdings, LLC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12/23/2025</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972,973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(29,189)</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STV Group Incorporated</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12/11/2026</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Construction &amp; Engineering</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5.40%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12,875,242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12,753,948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12,746,490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TeleGuam Holdings,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11/20/2025</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L+450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6,584,034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6,519,682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6,386,513</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07/18/2025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Diversified Financial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9,900,000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9,562,628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9,528,750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Tensar Corporation</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07/09/2021</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5.75%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L+475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22,439,744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22,394,704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22,439,744</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Infosoft Group,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09/16/2024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6.75%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L+575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18,200,773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18,074,350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18,200,773</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The Original Cakerie, Co. </w:t>
            </w:r>
            <w:r>
              <w:rPr>
                <w:rFonts w:ascii="Times New Roman" w:cs="Times New Roman" w:eastAsia="Times New Roman" w:hAnsi="Times New Roman"/>
                <w:sz w:val="8"/>
                <w:szCs w:val="8"/>
                <w:color w:val="auto"/>
              </w:rPr>
              <w:t>(5), (10)</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07/20/2022</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6.00%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2M L+500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7,547,565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7,496,711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7,472,089</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The Original Cakerie Ltd. </w:t>
            </w:r>
            <w:r>
              <w:rPr>
                <w:rFonts w:ascii="Times New Roman" w:cs="Times New Roman" w:eastAsia="Times New Roman" w:hAnsi="Times New Roman"/>
                <w:sz w:val="8"/>
                <w:szCs w:val="8"/>
                <w:color w:val="auto"/>
              </w:rPr>
              <w:t>(5), (10)</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07/20/2022</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2M L+450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5,376,152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5,352,309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5,322,390</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The Original Cakerie Ltd. (Revolver) </w:t>
            </w:r>
            <w:r>
              <w:rPr>
                <w:rFonts w:ascii="Times New Roman" w:cs="Times New Roman" w:eastAsia="Times New Roman" w:hAnsi="Times New Roman"/>
                <w:sz w:val="8"/>
                <w:szCs w:val="8"/>
                <w:color w:val="auto"/>
              </w:rPr>
              <w:t>(5), (9), (10)</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07/20/2022</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1,418,484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(14,185)</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TPC Canada Parent, Inc. and TPC US Parent, LLC </w:t>
            </w:r>
            <w:r>
              <w:rPr>
                <w:rFonts w:ascii="Times New Roman" w:cs="Times New Roman" w:eastAsia="Times New Roman" w:hAnsi="Times New Roman"/>
                <w:sz w:val="8"/>
                <w:szCs w:val="8"/>
                <w:color w:val="auto"/>
              </w:rPr>
              <w:t>(5), (10)</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11/24/2025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Food Products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4,962,500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4,918,485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4,813,625</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TVC Enterprises, LLC</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01/18/2024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L+550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5,793,560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5,711,855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5,750,108</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TVC Enterprises, LLC (Revolver) </w:t>
            </w:r>
            <w:r>
              <w:rPr>
                <w:rFonts w:ascii="Times New Roman" w:cs="Times New Roman" w:eastAsia="Times New Roman" w:hAnsi="Times New Roman"/>
                <w:sz w:val="8"/>
                <w:szCs w:val="8"/>
                <w:color w:val="auto"/>
              </w:rPr>
              <w:t>(7), (9)</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01/18/2024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1,303,813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(9,779)</w:t>
            </w: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06/16/2025</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1M L+625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6,910,465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6,766,653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6,772,256</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 (Revolver)</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06/16/2025</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7.25%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L+625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1,819,285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1,819,285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1,782,899</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06/16/2025</w:t>
            </w:r>
          </w:p>
        </w:tc>
        <w:tc>
          <w:tcPr>
            <w:tcW w:w="12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808,571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(16,171)</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08/27/2024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6.25%</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1M L+525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17,491,232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17,294,288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17,435,261</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8"/>
                <w:szCs w:val="8"/>
                <w:color w:val="auto"/>
              </w:rPr>
              <w:t>(7), (9)</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08/27/2024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6,818,182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(21,818)</w:t>
            </w: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UBEO,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04/03/2024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L+450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13,967,402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13,889,735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13,129,357</w:t>
            </w:r>
          </w:p>
        </w:tc>
        <w:tc>
          <w:tcPr>
            <w:tcW w:w="120" w:type="dxa"/>
            <w:vAlign w:val="bottom"/>
            <w:shd w:val="clear" w:color="auto" w:fill="CCECFF"/>
          </w:tcPr>
          <w:p>
            <w:pPr>
              <w:spacing w:after="0"/>
              <w:rPr>
                <w:sz w:val="10"/>
                <w:szCs w:val="10"/>
                <w:color w:val="auto"/>
              </w:rPr>
            </w:pPr>
          </w:p>
        </w:tc>
      </w:tr>
      <w:tr>
        <w:trPr>
          <w:trHeight w:val="124"/>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UBEO, LLC (Revolver)</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04/03/2024</w:t>
            </w:r>
          </w:p>
        </w:tc>
        <w:tc>
          <w:tcPr>
            <w:tcW w:w="120" w:type="dxa"/>
            <w:vAlign w:val="bottom"/>
          </w:tcPr>
          <w:p>
            <w:pPr>
              <w:spacing w:after="0"/>
              <w:rPr>
                <w:sz w:val="10"/>
                <w:szCs w:val="1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5.50%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3M L+450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2,933,333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2,933,333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2,717,939</w:t>
            </w:r>
          </w:p>
        </w:tc>
        <w:tc>
          <w:tcPr>
            <w:tcW w:w="120" w:type="dxa"/>
            <w:vAlign w:val="bottom"/>
          </w:tcPr>
          <w:p>
            <w:pPr>
              <w:spacing w:after="0"/>
              <w:rPr>
                <w:sz w:val="10"/>
                <w:szCs w:val="10"/>
                <w:color w:val="auto"/>
              </w:rPr>
            </w:pPr>
          </w:p>
        </w:tc>
      </w:tr>
      <w:tr>
        <w:trPr>
          <w:trHeight w:val="124"/>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Associates, LLC</w:t>
            </w:r>
          </w:p>
        </w:tc>
        <w:tc>
          <w:tcPr>
            <w:tcW w:w="7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08/30/2024</w:t>
            </w:r>
          </w:p>
        </w:tc>
        <w:tc>
          <w:tcPr>
            <w:tcW w:w="12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Providers and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6.00%</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3M L+500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4,962,500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4,888,916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4,813,625</w:t>
            </w:r>
          </w:p>
        </w:tc>
        <w:tc>
          <w:tcPr>
            <w:tcW w:w="120" w:type="dxa"/>
            <w:vAlign w:val="bottom"/>
            <w:shd w:val="clear" w:color="auto" w:fill="CCECFF"/>
          </w:tcPr>
          <w:p>
            <w:pPr>
              <w:spacing w:after="0"/>
              <w:rPr>
                <w:sz w:val="10"/>
                <w:szCs w:val="10"/>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42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gridSpan w:val="2"/>
          </w:tcPr>
          <w:p>
            <w:pPr>
              <w:jc w:val="center"/>
              <w:ind w:right="240"/>
              <w:spacing w:after="0" w:line="112" w:lineRule="exact"/>
              <w:rPr>
                <w:sz w:val="20"/>
                <w:szCs w:val="20"/>
                <w:color w:val="auto"/>
              </w:rPr>
            </w:pPr>
            <w:r>
              <w:rPr>
                <w:rFonts w:ascii="Times New Roman" w:cs="Times New Roman" w:eastAsia="Times New Roman" w:hAnsi="Times New Roman"/>
                <w:sz w:val="10"/>
                <w:szCs w:val="10"/>
                <w:b w:val="1"/>
                <w:bCs w:val="1"/>
                <w:color w:val="auto"/>
              </w:rPr>
              <w:t>Above</w:t>
            </w:r>
          </w:p>
        </w:tc>
        <w:tc>
          <w:tcPr>
            <w:tcW w:w="920" w:type="dxa"/>
            <w:vAlign w:val="bottom"/>
            <w:gridSpan w:val="2"/>
          </w:tcPr>
          <w:p>
            <w:pPr>
              <w:ind w:left="240"/>
              <w:spacing w:after="0" w:line="112" w:lineRule="exact"/>
              <w:rPr>
                <w:sz w:val="20"/>
                <w:szCs w:val="20"/>
                <w:color w:val="auto"/>
              </w:rPr>
            </w:pPr>
            <w:r>
              <w:rPr>
                <w:rFonts w:ascii="Times New Roman" w:cs="Times New Roman" w:eastAsia="Times New Roman" w:hAnsi="Times New Roman"/>
                <w:sz w:val="10"/>
                <w:szCs w:val="10"/>
                <w:b w:val="1"/>
                <w:bCs w:val="1"/>
                <w:color w:val="auto"/>
              </w:rPr>
              <w:t>Par /</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0" w:type="dxa"/>
            <w:vAlign w:val="bottom"/>
          </w:tcPr>
          <w:p>
            <w:pPr>
              <w:spacing w:after="0"/>
              <w:rPr>
                <w:sz w:val="10"/>
                <w:szCs w:val="1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240" w:type="dxa"/>
            <w:vAlign w:val="bottom"/>
          </w:tcPr>
          <w:p>
            <w:pPr>
              <w:spacing w:after="0"/>
              <w:rPr>
                <w:sz w:val="10"/>
                <w:szCs w:val="1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w w:val="97"/>
              </w:rPr>
              <w:t xml:space="preserve">Fair Value </w:t>
            </w:r>
            <w:r>
              <w:rPr>
                <w:rFonts w:ascii="Times New Roman" w:cs="Times New Roman" w:eastAsia="Times New Roman" w:hAnsi="Times New Roman"/>
                <w:sz w:val="8"/>
                <w:szCs w:val="8"/>
                <w:b w:val="1"/>
                <w:bCs w:val="1"/>
                <w:color w:val="auto"/>
                <w:w w:val="97"/>
              </w:rPr>
              <w:t>(2)</w:t>
            </w:r>
          </w:p>
        </w:tc>
        <w:tc>
          <w:tcPr>
            <w:tcW w:w="120" w:type="dxa"/>
            <w:vAlign w:val="bottom"/>
          </w:tcPr>
          <w:p>
            <w:pPr>
              <w:spacing w:after="0"/>
              <w:rPr>
                <w:sz w:val="10"/>
                <w:szCs w:val="10"/>
                <w:color w:val="auto"/>
              </w:rPr>
            </w:pPr>
          </w:p>
        </w:tc>
      </w:tr>
      <w:tr>
        <w:trPr>
          <w:trHeight w:val="116"/>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US Med Acquisition,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08/13/2021</w:t>
            </w: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L+800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2,964,844</w:t>
            </w:r>
          </w:p>
        </w:tc>
        <w:tc>
          <w:tcPr>
            <w:tcW w:w="24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2,964,844</w:t>
            </w:r>
          </w:p>
        </w:tc>
        <w:tc>
          <w:tcPr>
            <w:tcW w:w="2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2,935,195</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Vision Purchaser Corporation</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06/10/2025</w:t>
            </w: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14,358,203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14,104,839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13,496,711</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Whitney, Bradley &amp; Brown,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10/18/2022</w:t>
            </w: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8.50%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4,156,259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4,110,635</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4,114,696</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02/27/2026</w:t>
            </w: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8,852,574</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8,685,417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8,764,052</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Wildcat Buyerco, Inc. </w:t>
            </w:r>
            <w:r>
              <w:rPr>
                <w:rFonts w:ascii="Times New Roman" w:cs="Times New Roman" w:eastAsia="Times New Roman" w:hAnsi="Times New Roman"/>
                <w:sz w:val="8"/>
                <w:szCs w:val="8"/>
                <w:color w:val="auto"/>
              </w:rPr>
              <w:t>(7), (9)</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02/27/2022</w:t>
            </w: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2,491,176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3,114</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8"/>
                <w:szCs w:val="8"/>
                <w:color w:val="auto"/>
              </w:rPr>
              <w:t>(7), (9)</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02/27/2026</w:t>
            </w: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533,824</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(9,716)</w:t>
            </w:r>
          </w:p>
        </w:tc>
      </w:tr>
      <w:tr>
        <w:trPr>
          <w:trHeight w:val="116"/>
        </w:trPr>
        <w:tc>
          <w:tcPr>
            <w:tcW w:w="33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6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855,654,960</w:t>
            </w:r>
          </w:p>
        </w:tc>
        <w:tc>
          <w:tcPr>
            <w:tcW w:w="240" w:type="dxa"/>
            <w:vAlign w:val="bottom"/>
            <w:tcBorders>
              <w:bottom w:val="single" w:sz="8" w:color="CCEC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837,579,784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Debt—5.1%</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DBI Holdings, LLC, Term Loan B</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02/01/2026</w:t>
            </w: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11,157,124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11,157,124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11,157,124</w:t>
            </w:r>
          </w:p>
        </w:tc>
        <w:tc>
          <w:tcPr>
            <w:tcW w:w="120" w:type="dxa"/>
            <w:vAlign w:val="bottom"/>
          </w:tcPr>
          <w:p>
            <w:pPr>
              <w:spacing w:after="0"/>
              <w:rPr>
                <w:sz w:val="10"/>
                <w:szCs w:val="10"/>
                <w:color w:val="auto"/>
              </w:rPr>
            </w:pPr>
          </w:p>
        </w:tc>
      </w:tr>
      <w:tr>
        <w:trPr>
          <w:trHeight w:val="123"/>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9.00%)</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DBI Holdings, LLC, Term Loan C </w:t>
            </w:r>
            <w:r>
              <w:rPr>
                <w:rFonts w:ascii="Times New Roman" w:cs="Times New Roman" w:eastAsia="Times New Roman" w:hAnsi="Times New Roman"/>
                <w:sz w:val="8"/>
                <w:szCs w:val="8"/>
                <w:color w:val="auto"/>
              </w:rPr>
              <w:t>(7)</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03/26/2021</w:t>
            </w: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22,312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22,312</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22,312</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9.00%)</w:t>
            </w: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DecoPac,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03/31/2025</w:t>
            </w:r>
          </w:p>
        </w:tc>
        <w:tc>
          <w:tcPr>
            <w:tcW w:w="240" w:type="dxa"/>
            <w:vAlign w:val="bottom"/>
          </w:tcPr>
          <w:p>
            <w:pPr>
              <w:spacing w:after="0"/>
              <w:rPr>
                <w:sz w:val="10"/>
                <w:szCs w:val="1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9.25%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L+825</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9,738,580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9,654,555</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9,738,580</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MailSouth,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10/23/2024</w:t>
            </w: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Media: Advertising, Printing and Publishing</w:t>
            </w:r>
          </w:p>
        </w:tc>
        <w:tc>
          <w:tcPr>
            <w:tcW w:w="9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 xml:space="preserve">0.00% </w:t>
            </w:r>
            <w:r>
              <w:rPr>
                <w:rFonts w:ascii="Times New Roman" w:cs="Times New Roman" w:eastAsia="Times New Roman" w:hAnsi="Times New Roman"/>
                <w:sz w:val="8"/>
                <w:szCs w:val="8"/>
                <w:color w:val="auto"/>
              </w:rPr>
              <w:t>(6)</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2,871,025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2,827,178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1,464,223</w:t>
            </w:r>
          </w:p>
        </w:tc>
        <w:tc>
          <w:tcPr>
            <w:tcW w:w="120" w:type="dxa"/>
            <w:vAlign w:val="bottom"/>
            <w:shd w:val="clear" w:color="auto" w:fill="CCECFF"/>
          </w:tcPr>
          <w:p>
            <w:pPr>
              <w:spacing w:after="0"/>
              <w:rPr>
                <w:sz w:val="10"/>
                <w:szCs w:val="10"/>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PT Network, LLC </w:t>
            </w:r>
            <w:r>
              <w:rPr>
                <w:rFonts w:ascii="Times New Roman" w:cs="Times New Roman" w:eastAsia="Times New Roman" w:hAnsi="Times New Roman"/>
                <w:sz w:val="8"/>
                <w:szCs w:val="8"/>
                <w:color w:val="auto"/>
              </w:rPr>
              <w:t>(7)</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11/30/2024</w:t>
            </w: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3M L+1,000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2,099,171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2,083,772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2,099,171</w:t>
            </w:r>
          </w:p>
        </w:tc>
        <w:tc>
          <w:tcPr>
            <w:tcW w:w="120" w:type="dxa"/>
            <w:vAlign w:val="bottom"/>
          </w:tcPr>
          <w:p>
            <w:pPr>
              <w:spacing w:after="0"/>
              <w:rPr>
                <w:sz w:val="10"/>
                <w:szCs w:val="10"/>
                <w:color w:val="auto"/>
              </w:rPr>
            </w:pPr>
          </w:p>
        </w:tc>
      </w:tr>
      <w:tr>
        <w:trPr>
          <w:trHeight w:val="123"/>
        </w:trPr>
        <w:tc>
          <w:tcPr>
            <w:tcW w:w="33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6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12.30%)</w:t>
            </w: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25,744,941</w:t>
            </w:r>
          </w:p>
        </w:tc>
        <w:tc>
          <w:tcPr>
            <w:tcW w:w="240" w:type="dxa"/>
            <w:vAlign w:val="bottom"/>
            <w:shd w:val="clear" w:color="auto" w:fill="CCECFF"/>
          </w:tcPr>
          <w:p>
            <w:pPr>
              <w:spacing w:after="0"/>
              <w:rPr>
                <w:sz w:val="10"/>
                <w:szCs w:val="10"/>
                <w:color w:val="auto"/>
              </w:rPr>
            </w:pPr>
          </w:p>
        </w:tc>
        <w:tc>
          <w:tcPr>
            <w:tcW w:w="4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24,481,410</w:t>
            </w:r>
          </w:p>
        </w:tc>
        <w:tc>
          <w:tcPr>
            <w:tcW w:w="120" w:type="dxa"/>
            <w:vAlign w:val="bottom"/>
            <w:shd w:val="clear" w:color="auto" w:fill="CCECFF"/>
          </w:tcPr>
          <w:p>
            <w:pPr>
              <w:spacing w:after="0"/>
              <w:rPr>
                <w:sz w:val="10"/>
                <w:szCs w:val="10"/>
                <w:color w:val="auto"/>
              </w:rPr>
            </w:pPr>
          </w:p>
        </w:tc>
      </w:tr>
      <w:tr>
        <w:trPr>
          <w:trHeight w:val="116"/>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Preferrred Equity— 1.3% </w:t>
            </w:r>
            <w:r>
              <w:rPr>
                <w:rFonts w:ascii="Times New Roman" w:cs="Times New Roman" w:eastAsia="Times New Roman" w:hAnsi="Times New Roman"/>
                <w:sz w:val="8"/>
                <w:szCs w:val="8"/>
                <w:b w:val="1"/>
                <w:bCs w:val="1"/>
                <w:color w:val="auto"/>
              </w:rPr>
              <w:t>(6)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CI (PTN) Investment Holdings II, LLC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21,870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(PT Network, LLC)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Condor Holdings Limited </w:t>
            </w:r>
            <w:r>
              <w:rPr>
                <w:rFonts w:ascii="Times New Roman" w:cs="Times New Roman" w:eastAsia="Times New Roman" w:hAnsi="Times New Roman"/>
                <w:sz w:val="8"/>
                <w:szCs w:val="8"/>
                <w:color w:val="auto"/>
              </w:rPr>
              <w:t>(5), (7), (10)</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10,173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11,274</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Condor Top Holdco Limited </w:t>
            </w:r>
            <w:r>
              <w:rPr>
                <w:rFonts w:ascii="Times New Roman" w:cs="Times New Roman" w:eastAsia="Times New Roman" w:hAnsi="Times New Roman"/>
                <w:sz w:val="8"/>
                <w:szCs w:val="8"/>
                <w:color w:val="auto"/>
              </w:rPr>
              <w:t>(5), (7), (10)</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77,827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207,079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DBI Holding, LLC, Series A-1 </w:t>
            </w:r>
            <w:r>
              <w:rPr>
                <w:rFonts w:ascii="Times New Roman" w:cs="Times New Roman" w:eastAsia="Times New Roman" w:hAnsi="Times New Roman"/>
                <w:sz w:val="8"/>
                <w:szCs w:val="8"/>
                <w:color w:val="auto"/>
              </w:rPr>
              <w:t>(8)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14.00%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7,041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7,040,844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2,522,555</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MeritDirect Holdings, LP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960,000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635,021</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NXOF Holdings, Inc. (NextiraOne Federal, LLC)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490,000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591,195</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PT Network Intermediate Holdings,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3M L+1,000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429,000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488,631</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Commercial Services &amp; Supplies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12.00%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1,166,993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1,221,750</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8"/>
                <w:szCs w:val="8"/>
                <w:color w:val="auto"/>
              </w:rPr>
              <w:t>(5), (7), (10)</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Food Products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409,011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443,141</w:t>
            </w:r>
          </w:p>
        </w:tc>
        <w:tc>
          <w:tcPr>
            <w:tcW w:w="120" w:type="dxa"/>
            <w:vAlign w:val="bottom"/>
            <w:shd w:val="clear" w:color="auto" w:fill="CCECFF"/>
          </w:tcPr>
          <w:p>
            <w:pPr>
              <w:spacing w:after="0"/>
              <w:rPr>
                <w:sz w:val="10"/>
                <w:szCs w:val="10"/>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UniTek Global Services, Inc. -</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343,861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343,861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3"/>
        </w:trPr>
        <w:tc>
          <w:tcPr>
            <w:tcW w:w="3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 xml:space="preserve">Super Senior Preferred Equity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0"/>
                <w:szCs w:val="10"/>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448,851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448,851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13.50%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1,047,317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670,283</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34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20" w:type="dxa"/>
            <w:vAlign w:val="bottom"/>
            <w:tcBorders>
              <w:top w:val="single" w:sz="8" w:color="CCECFF"/>
            </w:tcBorders>
            <w:shd w:val="clear" w:color="auto" w:fill="CCECFF"/>
          </w:tcPr>
          <w:p>
            <w:pPr>
              <w:spacing w:after="0"/>
              <w:rPr>
                <w:sz w:val="10"/>
                <w:szCs w:val="10"/>
                <w:color w:val="auto"/>
              </w:rPr>
            </w:pPr>
          </w:p>
        </w:tc>
        <w:tc>
          <w:tcPr>
            <w:tcW w:w="540" w:type="dxa"/>
            <w:vAlign w:val="bottom"/>
            <w:tcBorders>
              <w:top w:val="single" w:sz="8" w:color="CCECFF"/>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2360" w:type="dxa"/>
            <w:vAlign w:val="bottom"/>
            <w:tcBorders>
              <w:top w:val="single" w:sz="8" w:color="CCECFF"/>
            </w:tcBorders>
            <w:shd w:val="clear" w:color="auto" w:fill="CCECFF"/>
          </w:tcPr>
          <w:p>
            <w:pPr>
              <w:spacing w:after="0"/>
              <w:rPr>
                <w:sz w:val="10"/>
                <w:szCs w:val="10"/>
                <w:color w:val="auto"/>
              </w:rPr>
            </w:pPr>
          </w:p>
        </w:tc>
        <w:tc>
          <w:tcPr>
            <w:tcW w:w="12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CCECFF"/>
            </w:tcBorders>
            <w:shd w:val="clear" w:color="auto" w:fill="CCECFF"/>
          </w:tcPr>
          <w:p>
            <w:pPr>
              <w:spacing w:after="0"/>
              <w:rPr>
                <w:sz w:val="10"/>
                <w:szCs w:val="10"/>
                <w:color w:val="auto"/>
              </w:rPr>
            </w:pPr>
          </w:p>
        </w:tc>
        <w:tc>
          <w:tcPr>
            <w:tcW w:w="26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CCECFF"/>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680" w:type="dxa"/>
            <w:vAlign w:val="bottom"/>
            <w:tcBorders>
              <w:top w:val="single" w:sz="8" w:color="CCECFF"/>
            </w:tcBorders>
            <w:shd w:val="clear" w:color="auto" w:fill="CCECFF"/>
          </w:tcPr>
          <w:p>
            <w:pPr>
              <w:spacing w:after="0"/>
              <w:rPr>
                <w:sz w:val="10"/>
                <w:szCs w:val="10"/>
                <w:color w:val="auto"/>
              </w:rPr>
            </w:pPr>
          </w:p>
        </w:tc>
        <w:tc>
          <w:tcPr>
            <w:tcW w:w="240" w:type="dxa"/>
            <w:vAlign w:val="bottom"/>
            <w:tcBorders>
              <w:top w:val="single" w:sz="8" w:color="CCECFF"/>
            </w:tcBorders>
            <w:shd w:val="clear" w:color="auto" w:fill="CCECFF"/>
          </w:tcPr>
          <w:p>
            <w:pPr>
              <w:spacing w:after="0"/>
              <w:rPr>
                <w:sz w:val="10"/>
                <w:szCs w:val="10"/>
                <w:color w:val="auto"/>
              </w:rPr>
            </w:pPr>
          </w:p>
        </w:tc>
        <w:tc>
          <w:tcPr>
            <w:tcW w:w="120" w:type="dxa"/>
            <w:vAlign w:val="bottom"/>
            <w:tcBorders>
              <w:top w:val="single" w:sz="8" w:color="auto"/>
              <w:bottom w:val="single" w:sz="8" w:color="auto"/>
            </w:tcBorders>
            <w:shd w:val="clear" w:color="auto" w:fill="CCECFF"/>
          </w:tcPr>
          <w:p>
            <w:pPr>
              <w:spacing w:after="0"/>
              <w:rPr>
                <w:sz w:val="10"/>
                <w:szCs w:val="10"/>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12,068,713</w:t>
            </w:r>
          </w:p>
        </w:tc>
        <w:tc>
          <w:tcPr>
            <w:tcW w:w="240" w:type="dxa"/>
            <w:vAlign w:val="bottom"/>
            <w:tcBorders>
              <w:top w:val="single" w:sz="8" w:color="CCECFF"/>
            </w:tcBorders>
            <w:shd w:val="clear" w:color="auto" w:fill="CCECFF"/>
          </w:tcPr>
          <w:p>
            <w:pPr>
              <w:spacing w:after="0"/>
              <w:rPr>
                <w:sz w:val="10"/>
                <w:szCs w:val="10"/>
                <w:color w:val="auto"/>
              </w:rPr>
            </w:pPr>
          </w:p>
        </w:tc>
        <w:tc>
          <w:tcPr>
            <w:tcW w:w="40" w:type="dxa"/>
            <w:vAlign w:val="bottom"/>
            <w:tcBorders>
              <w:top w:val="single" w:sz="8" w:color="auto"/>
              <w:bottom w:val="single" w:sz="8" w:color="auto"/>
            </w:tcBorders>
            <w:shd w:val="clear" w:color="auto" w:fill="CCECFF"/>
          </w:tcPr>
          <w:p>
            <w:pPr>
              <w:spacing w:after="0"/>
              <w:rPr>
                <w:sz w:val="10"/>
                <w:szCs w:val="10"/>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6,120,646</w:t>
            </w:r>
          </w:p>
        </w:tc>
        <w:tc>
          <w:tcPr>
            <w:tcW w:w="120" w:type="dxa"/>
            <w:vAlign w:val="bottom"/>
            <w:tcBorders>
              <w:top w:val="single" w:sz="8" w:color="CCECFF"/>
            </w:tcBorders>
            <w:shd w:val="clear" w:color="auto" w:fill="CCECFF"/>
          </w:tcPr>
          <w:p>
            <w:pPr>
              <w:spacing w:after="0"/>
              <w:rPr>
                <w:sz w:val="10"/>
                <w:szCs w:val="10"/>
                <w:color w:val="auto"/>
              </w:rPr>
            </w:pPr>
          </w:p>
        </w:tc>
      </w:tr>
      <w:tr>
        <w:trPr>
          <w:trHeight w:val="116"/>
        </w:trPr>
        <w:tc>
          <w:tcPr>
            <w:tcW w:w="3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Common Equity/Warrants— 8.9% </w:t>
            </w:r>
            <w:r>
              <w:rPr>
                <w:rFonts w:ascii="Times New Roman" w:cs="Times New Roman" w:eastAsia="Times New Roman" w:hAnsi="Times New Roman"/>
                <w:sz w:val="8"/>
                <w:szCs w:val="8"/>
                <w:b w:val="1"/>
                <w:bCs w:val="1"/>
                <w:color w:val="auto"/>
              </w:rPr>
              <w:t>(6)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Affinion Group Holdings, Inc. (Warrants)</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8,893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244,998</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Software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805,164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805,164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1,002,599</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8"/>
                <w:szCs w:val="8"/>
                <w:color w:val="auto"/>
              </w:rPr>
              <w:t>(7), (8), (9)</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Software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194,836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IT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1,437,500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1,437,500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933,198</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21,908</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2,190,771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7,599,349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8"/>
                <w:szCs w:val="8"/>
                <w:color w:val="auto"/>
              </w:rPr>
              <w:t>(7), (8), (9)</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CI (Allied) Investment Holdings, LLC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120,962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1,243,217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(Allied America, Inc.)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CI (PTN) Investment Holdings II, LLC</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13,333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3"/>
        </w:trPr>
        <w:tc>
          <w:tcPr>
            <w:tcW w:w="3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 xml:space="preserve">(PT Network, LLC)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CI (Summit) Investment Holdings, LLC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58,846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629,620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788,839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(SFP Holding, Inc.)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DBI Holding, LLC, Series B </w:t>
            </w:r>
            <w:r>
              <w:rPr>
                <w:rFonts w:ascii="Times New Roman" w:cs="Times New Roman" w:eastAsia="Times New Roman" w:hAnsi="Times New Roman"/>
                <w:sz w:val="8"/>
                <w:szCs w:val="8"/>
                <w:color w:val="auto"/>
              </w:rPr>
              <w:t>(8)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1,489,508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330,791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DecoPac Holdings Inc.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1,632,744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2,401,324</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ECM Investors, LLC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Electronic Equipment, Instruments, and Components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295,982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295,982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449,276</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8"/>
                <w:szCs w:val="8"/>
                <w:color w:val="auto"/>
              </w:rPr>
              <w:t>(7), (10)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Banking, Finance, Insurance &amp; Real Estate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251,156</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257,421</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Faraday Holdings, LLC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58,044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375,581</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Gauge InfosoftCoInvest, LLC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143,663</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775,000</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(The Infosoft Group,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1,485,953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1,760,670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2,615,277</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437,371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425,883</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Gauge TVC Coinvest, LLC (TVC Enterprises, LLC)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391,144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391,144</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482,277</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1,722,632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1,596,634</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3,010,719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8"/>
                <w:szCs w:val="8"/>
                <w:color w:val="auto"/>
              </w:rPr>
              <w:t>(7), (8), (9)</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277,368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Go Dawgs Capital III, LP</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Building Products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324,675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324,675</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324,675</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IIN Group Holdings, LLC</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Consumer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1,054,709</w:t>
            </w:r>
          </w:p>
        </w:tc>
        <w:tc>
          <w:tcPr>
            <w:tcW w:w="120" w:type="dxa"/>
            <w:vAlign w:val="bottom"/>
          </w:tcPr>
          <w:p>
            <w:pPr>
              <w:spacing w:after="0"/>
              <w:rPr>
                <w:sz w:val="10"/>
                <w:szCs w:val="10"/>
                <w:color w:val="auto"/>
              </w:rPr>
            </w:pPr>
          </w:p>
        </w:tc>
      </w:tr>
      <w:tr>
        <w:trPr>
          <w:trHeight w:val="123"/>
        </w:trPr>
        <w:tc>
          <w:tcPr>
            <w:tcW w:w="3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 xml:space="preserve">(Integrative Nutrition, LLC)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ITC Rumba, LLC (Cano Health, LLC)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46,763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766,149</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2,335,369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JWC/UMA Holdings, L.P.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1,389,498</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JWC-WE Holdings, L.P.</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1,381,741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1,381,741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8,704,966</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Hotels, Restaurants and Leisure</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87,345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226,368</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Healthcare Technology</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585,587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585,587</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672,313</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MeritDirect Holdings, LP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Media</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NXOF Holdings, Inc. (NextiraOne Federal,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24,916</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173,638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1,736,381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1,744,780</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PT Network Intermediate Holdings, LLC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286,000</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1,067,566</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103,995</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8"/>
                <w:szCs w:val="8"/>
                <w:color w:val="auto"/>
              </w:rPr>
              <w:t>(7), (8), (9)</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96,667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8"/>
                <w:szCs w:val="8"/>
                <w:color w:val="auto"/>
              </w:rPr>
              <w:t>(7), (8)</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Professional Services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64,634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646,341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458,093</w:t>
            </w:r>
          </w:p>
        </w:tc>
        <w:tc>
          <w:tcPr>
            <w:tcW w:w="120" w:type="dxa"/>
            <w:vAlign w:val="bottom"/>
          </w:tcPr>
          <w:p>
            <w:pPr>
              <w:spacing w:after="0"/>
              <w:rPr>
                <w:sz w:val="10"/>
                <w:szCs w:val="10"/>
                <w:color w:val="auto"/>
              </w:rPr>
            </w:pPr>
          </w:p>
        </w:tc>
      </w:tr>
      <w:tr>
        <w:trPr>
          <w:trHeight w:val="124"/>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Commercial Services &amp; Supplies</w:t>
            </w: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61,421</w:t>
            </w:r>
          </w:p>
        </w:tc>
        <w:tc>
          <w:tcPr>
            <w:tcW w:w="24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25"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0"/>
                <w:szCs w:val="10"/>
                <w:b w:val="1"/>
                <w:bCs w:val="1"/>
                <w:color w:val="auto"/>
                <w:w w:val="98"/>
              </w:rPr>
              <w:t>Spread</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2"/>
        </w:trPr>
        <w:tc>
          <w:tcPr>
            <w:tcW w:w="2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44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gridSpan w:val="2"/>
          </w:tcPr>
          <w:p>
            <w:pPr>
              <w:jc w:val="center"/>
              <w:ind w:right="260"/>
              <w:spacing w:after="0" w:line="112" w:lineRule="exact"/>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gridSpan w:val="2"/>
          </w:tcPr>
          <w:p>
            <w:pPr>
              <w:ind w:left="220"/>
              <w:spacing w:after="0" w:line="112" w:lineRule="exact"/>
              <w:rPr>
                <w:sz w:val="20"/>
                <w:szCs w:val="20"/>
                <w:color w:val="auto"/>
              </w:rPr>
            </w:pPr>
            <w:r>
              <w:rPr>
                <w:rFonts w:ascii="Times New Roman" w:cs="Times New Roman" w:eastAsia="Times New Roman" w:hAnsi="Times New Roman"/>
                <w:sz w:val="10"/>
                <w:szCs w:val="10"/>
                <w:b w:val="1"/>
                <w:bCs w:val="1"/>
                <w:color w:val="auto"/>
              </w:rPr>
              <w:t>Par /</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0" w:type="dxa"/>
            <w:vAlign w:val="bottom"/>
          </w:tcPr>
          <w:p>
            <w:pPr>
              <w:spacing w:after="0"/>
              <w:rPr>
                <w:sz w:val="10"/>
                <w:szCs w:val="1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0"/>
                <w:szCs w:val="1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c>
          <w:tcPr>
            <w:tcW w:w="120" w:type="dxa"/>
            <w:vAlign w:val="bottom"/>
          </w:tcPr>
          <w:p>
            <w:pPr>
              <w:spacing w:after="0"/>
              <w:rPr>
                <w:sz w:val="10"/>
                <w:szCs w:val="10"/>
                <w:color w:val="auto"/>
              </w:rPr>
            </w:pPr>
          </w:p>
        </w:tc>
      </w:tr>
      <w:tr>
        <w:trPr>
          <w:trHeight w:val="117"/>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20" w:type="dxa"/>
            <w:vAlign w:val="bottom"/>
          </w:tcPr>
          <w:p>
            <w:pPr>
              <w:spacing w:after="0"/>
              <w:rPr>
                <w:sz w:val="10"/>
                <w:szCs w:val="1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Capital Equipment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w:t>
            </w:r>
          </w:p>
        </w:tc>
        <w:tc>
          <w:tcPr>
            <w:tcW w:w="2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583,200</w:t>
            </w:r>
          </w:p>
        </w:tc>
        <w:tc>
          <w:tcPr>
            <w:tcW w:w="120" w:type="dxa"/>
            <w:vAlign w:val="bottom"/>
          </w:tcPr>
          <w:p>
            <w:pPr>
              <w:spacing w:after="0"/>
              <w:rPr>
                <w:sz w:val="10"/>
                <w:szCs w:val="10"/>
                <w:color w:val="auto"/>
              </w:rPr>
            </w:pPr>
          </w:p>
        </w:tc>
      </w:tr>
      <w:tr>
        <w:trPr>
          <w:trHeight w:val="12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 xml:space="preserve">Class A (US Dominion, Inc.)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Capital Equipment</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1,585,388</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 xml:space="preserve">Class B (US Dominion, Inc.)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8"/>
                <w:szCs w:val="8"/>
                <w:color w:val="auto"/>
              </w:rPr>
              <w:t>(5), (7), (10)</w:t>
            </w:r>
          </w:p>
        </w:tc>
        <w:tc>
          <w:tcPr>
            <w:tcW w:w="120" w:type="dxa"/>
            <w:vAlign w:val="bottom"/>
          </w:tcPr>
          <w:p>
            <w:pPr>
              <w:spacing w:after="0"/>
              <w:rPr>
                <w:sz w:val="10"/>
                <w:szCs w:val="1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6"/>
              </w:rPr>
              <w:t>Food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105,482</w:t>
            </w: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8"/>
                <w:szCs w:val="8"/>
                <w:color w:val="auto"/>
              </w:rPr>
              <w:t>(7)</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Telecommunications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213,739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UniTek Global Services, Inc. (Warrants) </w:t>
            </w:r>
            <w:r>
              <w:rPr>
                <w:rFonts w:ascii="Times New Roman" w:cs="Times New Roman" w:eastAsia="Times New Roman" w:hAnsi="Times New Roman"/>
                <w:sz w:val="8"/>
                <w:szCs w:val="8"/>
                <w:color w:val="auto"/>
              </w:rPr>
              <w:t>(7)</w:t>
            </w:r>
          </w:p>
        </w:tc>
        <w:tc>
          <w:tcPr>
            <w:tcW w:w="120" w:type="dxa"/>
            <w:vAlign w:val="bottom"/>
          </w:tcPr>
          <w:p>
            <w:pPr>
              <w:spacing w:after="0"/>
              <w:rPr>
                <w:sz w:val="10"/>
                <w:szCs w:val="1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Telecommunications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23,889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WBB Equity, LLC </w:t>
            </w:r>
            <w:r>
              <w:rPr>
                <w:rFonts w:ascii="Times New Roman" w:cs="Times New Roman" w:eastAsia="Times New Roman" w:hAnsi="Times New Roman"/>
                <w:sz w:val="8"/>
                <w:szCs w:val="8"/>
                <w:color w:val="auto"/>
              </w:rPr>
              <w:t>(7), (8)</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142,857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142,857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625,714</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8"/>
                <w:szCs w:val="8"/>
                <w:color w:val="auto"/>
              </w:rPr>
              <w:t>(7), (8)</w:t>
            </w:r>
          </w:p>
        </w:tc>
        <w:tc>
          <w:tcPr>
            <w:tcW w:w="120" w:type="dxa"/>
            <w:vAlign w:val="bottom"/>
            <w:tcBorders>
              <w:bottom w:val="single" w:sz="8" w:color="CCECFF"/>
            </w:tcBorders>
          </w:tcPr>
          <w:p>
            <w:pPr>
              <w:spacing w:after="0"/>
              <w:rPr>
                <w:sz w:val="10"/>
                <w:szCs w:val="10"/>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0"/>
                <w:szCs w:val="10"/>
                <w:color w:val="auto"/>
              </w:rPr>
              <w:t>2,240</w:t>
            </w: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223,995</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246,694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22,406,143</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42,370,469</w:t>
            </w:r>
          </w:p>
        </w:tc>
        <w:tc>
          <w:tcPr>
            <w:tcW w:w="120" w:type="dxa"/>
            <w:vAlign w:val="bottom"/>
            <w:shd w:val="clear" w:color="auto" w:fill="CCECFF"/>
          </w:tcPr>
          <w:p>
            <w:pPr>
              <w:spacing w:after="0"/>
              <w:rPr>
                <w:sz w:val="10"/>
                <w:szCs w:val="10"/>
                <w:color w:val="auto"/>
              </w:rPr>
            </w:pPr>
          </w:p>
        </w:tc>
      </w:tr>
      <w:tr>
        <w:trPr>
          <w:trHeight w:val="116"/>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915,874,757</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910,552,309</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Investments in Non-Controlled, Affiliated Portfolio Companies—2.3% </w:t>
            </w:r>
            <w:r>
              <w:rPr>
                <w:rFonts w:ascii="Times New Roman" w:cs="Times New Roman" w:eastAsia="Times New Roman" w:hAnsi="Times New Roman"/>
                <w:sz w:val="8"/>
                <w:szCs w:val="8"/>
                <w:b w:val="1"/>
                <w:bCs w:val="1"/>
                <w:color w:val="auto"/>
              </w:rPr>
              <w:t>(3), (4)</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Debt—1.2%</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 Super Senior Term Loan </w:t>
            </w:r>
            <w:r>
              <w:rPr>
                <w:rFonts w:ascii="Times New Roman" w:cs="Times New Roman" w:eastAsia="Times New Roman" w:hAnsi="Times New Roman"/>
                <w:sz w:val="8"/>
                <w:szCs w:val="8"/>
                <w:color w:val="auto"/>
              </w:rPr>
              <w:t>(7)</w:t>
            </w:r>
          </w:p>
        </w:tc>
        <w:tc>
          <w:tcPr>
            <w:tcW w:w="64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06/01/2022</w:t>
            </w:r>
          </w:p>
        </w:tc>
        <w:tc>
          <w:tcPr>
            <w:tcW w:w="24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12.00%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1,366,489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1,366,489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1,366,489</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 Super Senior Term Loan </w:t>
            </w:r>
            <w:r>
              <w:rPr>
                <w:rFonts w:ascii="Times New Roman" w:cs="Times New Roman" w:eastAsia="Times New Roman" w:hAnsi="Times New Roman"/>
                <w:sz w:val="8"/>
                <w:szCs w:val="8"/>
                <w:color w:val="auto"/>
              </w:rPr>
              <w:t>(7), (9)</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06/01/2022</w:t>
            </w:r>
          </w:p>
        </w:tc>
        <w:tc>
          <w:tcPr>
            <w:tcW w:w="240" w:type="dxa"/>
            <w:vAlign w:val="bottom"/>
          </w:tcPr>
          <w:p>
            <w:pPr>
              <w:spacing w:after="0"/>
              <w:rPr>
                <w:sz w:val="10"/>
                <w:szCs w:val="10"/>
                <w:color w:val="auto"/>
              </w:rPr>
            </w:pP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452,123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w:t>
            </w:r>
            <w:r>
              <w:rPr>
                <w:rFonts w:ascii="Times New Roman" w:cs="Times New Roman" w:eastAsia="Times New Roman" w:hAnsi="Times New Roman"/>
                <w:sz w:val="8"/>
                <w:szCs w:val="8"/>
                <w:color w:val="auto"/>
              </w:rPr>
              <w:t>(7)</w:t>
            </w:r>
          </w:p>
        </w:tc>
        <w:tc>
          <w:tcPr>
            <w:tcW w:w="64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05/01/2023</w:t>
            </w:r>
          </w:p>
        </w:tc>
        <w:tc>
          <w:tcPr>
            <w:tcW w:w="24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6.00%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3M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1,544,161</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1,515,199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1,544,161</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(Revolver) </w:t>
            </w:r>
            <w:r>
              <w:rPr>
                <w:rFonts w:ascii="Times New Roman" w:cs="Times New Roman" w:eastAsia="Times New Roman" w:hAnsi="Times New Roman"/>
                <w:sz w:val="8"/>
                <w:szCs w:val="8"/>
                <w:color w:val="auto"/>
              </w:rPr>
              <w:t>(7)</w:t>
            </w:r>
          </w:p>
        </w:tc>
        <w:tc>
          <w:tcPr>
            <w:tcW w:w="640" w:type="dxa"/>
            <w:vAlign w:val="bottom"/>
            <w:tcBorders>
              <w:bottom w:val="single" w:sz="8" w:color="CCECFF"/>
            </w:tcBorders>
            <w:gridSpan w:val="2"/>
          </w:tcPr>
          <w:p>
            <w:pPr>
              <w:jc w:val="center"/>
              <w:ind w:left="70"/>
              <w:spacing w:after="0"/>
              <w:rPr>
                <w:sz w:val="20"/>
                <w:szCs w:val="20"/>
                <w:color w:val="auto"/>
              </w:rPr>
            </w:pPr>
            <w:r>
              <w:rPr>
                <w:rFonts w:ascii="Times New Roman" w:cs="Times New Roman" w:eastAsia="Times New Roman" w:hAnsi="Times New Roman"/>
                <w:sz w:val="10"/>
                <w:szCs w:val="10"/>
                <w:color w:val="auto"/>
                <w:w w:val="96"/>
              </w:rPr>
              <w:t>05/01/2023</w:t>
            </w:r>
          </w:p>
        </w:tc>
        <w:tc>
          <w:tcPr>
            <w:tcW w:w="240" w:type="dxa"/>
            <w:vAlign w:val="bottom"/>
            <w:tcBorders>
              <w:bottom w:val="single" w:sz="8" w:color="CCECFF"/>
            </w:tcBorders>
          </w:tcPr>
          <w:p>
            <w:pPr>
              <w:spacing w:after="0"/>
              <w:rPr>
                <w:sz w:val="10"/>
                <w:szCs w:val="10"/>
                <w:color w:val="auto"/>
              </w:rPr>
            </w:pPr>
          </w:p>
        </w:tc>
        <w:tc>
          <w:tcPr>
            <w:tcW w:w="25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6.00%</w:t>
            </w:r>
          </w:p>
        </w:tc>
        <w:tc>
          <w:tcPr>
            <w:tcW w:w="920" w:type="dxa"/>
            <w:vAlign w:val="bottom"/>
            <w:tcBorders>
              <w:bottom w:val="single" w:sz="8" w:color="CCECFF"/>
            </w:tcBorders>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3M L+500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0"/>
                <w:szCs w:val="10"/>
                <w:color w:val="auto"/>
              </w:rPr>
              <w:t>2,746,564</w:t>
            </w: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2,746,564</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2,746,564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5,628,252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5,657,214</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w:t>
            </w:r>
            <w:r>
              <w:rPr>
                <w:rFonts w:ascii="Times New Roman" w:cs="Times New Roman" w:eastAsia="Times New Roman" w:hAnsi="Times New Roman"/>
                <w:sz w:val="8"/>
                <w:szCs w:val="8"/>
                <w:color w:val="auto"/>
              </w:rPr>
              <w:t>(7)</w:t>
            </w:r>
          </w:p>
        </w:tc>
        <w:tc>
          <w:tcPr>
            <w:tcW w:w="64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04/29/2024</w:t>
            </w:r>
          </w:p>
        </w:tc>
        <w:tc>
          <w:tcPr>
            <w:tcW w:w="24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9.50%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1M L+850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5,882,579</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5,882,579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5,429,620</w:t>
            </w:r>
          </w:p>
        </w:tc>
        <w:tc>
          <w:tcPr>
            <w:tcW w:w="120" w:type="dxa"/>
            <w:vAlign w:val="bottom"/>
            <w:shd w:val="clear" w:color="auto" w:fill="CCECFF"/>
          </w:tcPr>
          <w:p>
            <w:pPr>
              <w:spacing w:after="0"/>
              <w:rPr>
                <w:sz w:val="10"/>
                <w:szCs w:val="10"/>
                <w:color w:val="auto"/>
              </w:rPr>
            </w:pPr>
          </w:p>
        </w:tc>
      </w:tr>
      <w:tr>
        <w:trPr>
          <w:trHeight w:val="124"/>
        </w:trPr>
        <w:tc>
          <w:tcPr>
            <w:tcW w:w="2120" w:type="dxa"/>
            <w:vAlign w:val="bottom"/>
            <w:shd w:val="clear" w:color="auto" w:fill="CCECFF"/>
          </w:tcPr>
          <w:p>
            <w:pPr>
              <w:spacing w:after="0"/>
              <w:rPr>
                <w:sz w:val="10"/>
                <w:szCs w:val="10"/>
                <w:color w:val="auto"/>
              </w:rPr>
            </w:pPr>
          </w:p>
        </w:tc>
        <w:tc>
          <w:tcPr>
            <w:tcW w:w="1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9.50%)</w:t>
            </w: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16"/>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5,882,579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5,429,620</w:t>
            </w: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 xml:space="preserve">Common Equity/Warrants—0.0% </w:t>
            </w:r>
            <w:r>
              <w:rPr>
                <w:rFonts w:ascii="Times New Roman" w:cs="Times New Roman" w:eastAsia="Times New Roman" w:hAnsi="Times New Roman"/>
                <w:sz w:val="8"/>
                <w:szCs w:val="8"/>
                <w:b w:val="1"/>
                <w:bCs w:val="1"/>
                <w:color w:val="auto"/>
              </w:rPr>
              <w:t>(6)</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 xml:space="preserve">Country Fresh Holding Company Inc. </w:t>
            </w:r>
            <w:r>
              <w:rPr>
                <w:rFonts w:ascii="Times New Roman" w:cs="Times New Roman" w:eastAsia="Times New Roman" w:hAnsi="Times New Roman"/>
                <w:sz w:val="8"/>
                <w:szCs w:val="8"/>
                <w:color w:val="auto"/>
              </w:rPr>
              <w:t>(7)</w:t>
            </w:r>
          </w:p>
        </w:tc>
        <w:tc>
          <w:tcPr>
            <w:tcW w:w="120" w:type="dxa"/>
            <w:vAlign w:val="bottom"/>
            <w:tcBorders>
              <w:bottom w:val="single" w:sz="8" w:color="CCECFF"/>
            </w:tcBorders>
          </w:tcPr>
          <w:p>
            <w:pPr>
              <w:spacing w:after="0"/>
              <w:rPr>
                <w:sz w:val="10"/>
                <w:szCs w:val="10"/>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0"/>
                <w:szCs w:val="10"/>
                <w:color w:val="auto"/>
              </w:rPr>
              <w:t>8,034</w:t>
            </w: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10,453,350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10,453,350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21,964,181</w:t>
            </w: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11,086,834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Companies—34.6% </w:t>
            </w:r>
            <w:r>
              <w:rPr>
                <w:rFonts w:ascii="Times New Roman" w:cs="Times New Roman" w:eastAsia="Times New Roman" w:hAnsi="Times New Roman"/>
                <w:sz w:val="8"/>
                <w:szCs w:val="8"/>
                <w:b w:val="1"/>
                <w:bCs w:val="1"/>
                <w:color w:val="auto"/>
              </w:rPr>
              <w:t>(3), (4)</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Debt—26.3%</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8"/>
                <w:szCs w:val="8"/>
                <w:color w:val="auto"/>
              </w:rPr>
              <w:t>(7), (9), (10)</w:t>
            </w:r>
          </w:p>
        </w:tc>
        <w:tc>
          <w:tcPr>
            <w:tcW w:w="64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w w:val="96"/>
              </w:rPr>
              <w:t>05/06/2024</w:t>
            </w:r>
          </w:p>
        </w:tc>
        <w:tc>
          <w:tcPr>
            <w:tcW w:w="240" w:type="dxa"/>
            <w:vAlign w:val="bottom"/>
            <w:shd w:val="clear" w:color="auto" w:fill="CCECFF"/>
          </w:tcPr>
          <w:p>
            <w:pPr>
              <w:spacing w:after="0"/>
              <w:rPr>
                <w:sz w:val="10"/>
                <w:szCs w:val="10"/>
                <w:color w:val="auto"/>
              </w:rPr>
            </w:pPr>
          </w:p>
        </w:tc>
        <w:tc>
          <w:tcPr>
            <w:tcW w:w="25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8.22%</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0"/>
                <w:szCs w:val="10"/>
                <w:color w:val="auto"/>
              </w:rPr>
              <w:t>3M L+800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125,378,750</w:t>
            </w: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125,378,750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125,378,750</w:t>
            </w:r>
          </w:p>
        </w:tc>
        <w:tc>
          <w:tcPr>
            <w:tcW w:w="120" w:type="dxa"/>
            <w:vAlign w:val="bottom"/>
            <w:shd w:val="clear" w:color="auto" w:fill="CCECFF"/>
          </w:tcPr>
          <w:p>
            <w:pPr>
              <w:spacing w:after="0"/>
              <w:rPr>
                <w:sz w:val="10"/>
                <w:szCs w:val="10"/>
                <w:color w:val="auto"/>
              </w:rPr>
            </w:pPr>
          </w:p>
        </w:tc>
      </w:tr>
      <w:tr>
        <w:trPr>
          <w:trHeight w:val="116"/>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125,378,750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125,378,750</w:t>
            </w: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Equity Interests—8.4%</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8"/>
                <w:szCs w:val="8"/>
                <w:color w:val="auto"/>
              </w:rPr>
              <w:t>(7), (9), (10)</w:t>
            </w:r>
          </w:p>
        </w:tc>
        <w:tc>
          <w:tcPr>
            <w:tcW w:w="120" w:type="dxa"/>
            <w:vAlign w:val="bottom"/>
            <w:tcBorders>
              <w:bottom w:val="single" w:sz="8" w:color="CCECFF"/>
            </w:tcBorders>
          </w:tcPr>
          <w:p>
            <w:pPr>
              <w:spacing w:after="0"/>
              <w:rPr>
                <w:sz w:val="10"/>
                <w:szCs w:val="10"/>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5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0"/>
                <w:szCs w:val="10"/>
                <w:color w:val="auto"/>
              </w:rPr>
              <w:t>53,734</w:t>
            </w: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53,733,750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39,910,574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53,733,750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39,910,574</w:t>
            </w:r>
          </w:p>
        </w:tc>
        <w:tc>
          <w:tcPr>
            <w:tcW w:w="120" w:type="dxa"/>
            <w:vAlign w:val="bottom"/>
            <w:shd w:val="clear" w:color="auto" w:fill="CCECFF"/>
          </w:tcPr>
          <w:p>
            <w:pPr>
              <w:spacing w:after="0"/>
              <w:rPr>
                <w:sz w:val="10"/>
                <w:szCs w:val="10"/>
                <w:color w:val="auto"/>
              </w:rPr>
            </w:pPr>
          </w:p>
        </w:tc>
      </w:tr>
      <w:tr>
        <w:trPr>
          <w:trHeight w:val="116"/>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179,112,500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165,289,324</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Investments—227.7%</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1,116,951,438</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1,086,928,467</w:t>
            </w:r>
          </w:p>
        </w:tc>
        <w:tc>
          <w:tcPr>
            <w:tcW w:w="120" w:type="dxa"/>
            <w:vAlign w:val="bottom"/>
            <w:shd w:val="clear" w:color="auto" w:fill="CCECFF"/>
          </w:tcPr>
          <w:p>
            <w:pPr>
              <w:spacing w:after="0"/>
              <w:rPr>
                <w:sz w:val="10"/>
                <w:szCs w:val="10"/>
                <w:color w:val="auto"/>
              </w:rPr>
            </w:pPr>
          </w:p>
        </w:tc>
      </w:tr>
      <w:tr>
        <w:trPr>
          <w:trHeight w:val="116"/>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Equivalents—12.1%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8,433,416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8,433,416</w:t>
            </w:r>
          </w:p>
        </w:tc>
        <w:tc>
          <w:tcPr>
            <w:tcW w:w="120" w:type="dxa"/>
            <w:vAlign w:val="bottom"/>
            <w:shd w:val="clear" w:color="auto" w:fill="CCECFF"/>
          </w:tcPr>
          <w:p>
            <w:pPr>
              <w:spacing w:after="0"/>
              <w:rPr>
                <w:sz w:val="10"/>
                <w:szCs w:val="10"/>
                <w:color w:val="auto"/>
              </w:rPr>
            </w:pPr>
          </w:p>
        </w:tc>
      </w:tr>
      <w:tr>
        <w:trPr>
          <w:trHeight w:val="124"/>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BNY Mellon Cash</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3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49,101,005</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49,078,512</w:t>
            </w:r>
          </w:p>
        </w:tc>
        <w:tc>
          <w:tcPr>
            <w:tcW w:w="120" w:type="dxa"/>
            <w:vAlign w:val="bottom"/>
            <w:tcBorders>
              <w:bottom w:val="single" w:sz="8" w:color="CCECFF"/>
            </w:tcBorders>
          </w:tcPr>
          <w:p>
            <w:pPr>
              <w:spacing w:after="0"/>
              <w:rPr>
                <w:sz w:val="10"/>
                <w:szCs w:val="10"/>
                <w:color w:val="auto"/>
              </w:rPr>
            </w:pPr>
          </w:p>
        </w:tc>
      </w:tr>
      <w:tr>
        <w:trPr>
          <w:trHeight w:val="116"/>
        </w:trPr>
        <w:tc>
          <w:tcPr>
            <w:tcW w:w="33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57,534,421</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57,511,928</w:t>
            </w:r>
          </w:p>
        </w:tc>
        <w:tc>
          <w:tcPr>
            <w:tcW w:w="120" w:type="dxa"/>
            <w:vAlign w:val="bottom"/>
            <w:shd w:val="clear" w:color="auto" w:fill="CCECFF"/>
          </w:tcPr>
          <w:p>
            <w:pPr>
              <w:spacing w:after="0"/>
              <w:rPr>
                <w:sz w:val="10"/>
                <w:szCs w:val="10"/>
                <w:color w:val="auto"/>
              </w:rPr>
            </w:pPr>
          </w:p>
        </w:tc>
      </w:tr>
      <w:tr>
        <w:trPr>
          <w:trHeight w:val="156"/>
        </w:trPr>
        <w:tc>
          <w:tcPr>
            <w:tcW w:w="33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Equivalents—239.8%</w:t>
            </w:r>
          </w:p>
        </w:tc>
        <w:tc>
          <w:tcPr>
            <w:tcW w:w="120" w:type="dxa"/>
            <w:vAlign w:val="bottom"/>
            <w:tcBorders>
              <w:bottom w:val="single" w:sz="8" w:color="CCECFF"/>
            </w:tcBorders>
          </w:tcPr>
          <w:p>
            <w:pPr>
              <w:spacing w:after="0"/>
              <w:rPr>
                <w:sz w:val="13"/>
                <w:szCs w:val="13"/>
                <w:color w:val="auto"/>
              </w:rPr>
            </w:pPr>
          </w:p>
        </w:tc>
        <w:tc>
          <w:tcPr>
            <w:tcW w:w="52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238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1,174,485,859</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1,144,440,395</w:t>
            </w:r>
          </w:p>
        </w:tc>
        <w:tc>
          <w:tcPr>
            <w:tcW w:w="120" w:type="dxa"/>
            <w:vAlign w:val="bottom"/>
            <w:tcBorders>
              <w:bottom w:val="single" w:sz="8" w:color="CCECFF"/>
            </w:tcBorders>
          </w:tcPr>
          <w:p>
            <w:pPr>
              <w:spacing w:after="0"/>
              <w:rPr>
                <w:sz w:val="13"/>
                <w:szCs w:val="13"/>
                <w:color w:val="auto"/>
              </w:rPr>
            </w:pPr>
          </w:p>
        </w:tc>
      </w:tr>
      <w:tr>
        <w:trPr>
          <w:trHeight w:val="101"/>
        </w:trPr>
        <w:tc>
          <w:tcPr>
            <w:tcW w:w="3340" w:type="dxa"/>
            <w:vAlign w:val="bottom"/>
            <w:gridSpan w:val="2"/>
            <w:shd w:val="clear" w:color="auto" w:fill="CCEC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Liabilities in Excess of Other Assets—(139.8)%</w:t>
            </w:r>
          </w:p>
        </w:tc>
        <w:tc>
          <w:tcPr>
            <w:tcW w:w="1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23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80"/>
              <w:spacing w:after="0" w:line="101" w:lineRule="exact"/>
              <w:rPr>
                <w:sz w:val="20"/>
                <w:szCs w:val="20"/>
                <w:color w:val="auto"/>
              </w:rPr>
            </w:pPr>
            <w:r>
              <w:rPr>
                <w:rFonts w:ascii="Times New Roman" w:cs="Times New Roman" w:eastAsia="Times New Roman" w:hAnsi="Times New Roman"/>
                <w:sz w:val="10"/>
                <w:szCs w:val="10"/>
                <w:color w:val="auto"/>
              </w:rPr>
              <w:t>(667,170,003)</w:t>
            </w:r>
          </w:p>
        </w:tc>
      </w:tr>
      <w:tr>
        <w:trPr>
          <w:trHeight w:val="124"/>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477,270,392</w:t>
            </w:r>
          </w:p>
        </w:tc>
        <w:tc>
          <w:tcPr>
            <w:tcW w:w="120" w:type="dxa"/>
            <w:vAlign w:val="bottom"/>
          </w:tcPr>
          <w:p>
            <w:pPr>
              <w:spacing w:after="0"/>
              <w:rPr>
                <w:sz w:val="10"/>
                <w:szCs w:val="10"/>
                <w:color w:val="auto"/>
              </w:rPr>
            </w:pPr>
          </w:p>
        </w:tc>
      </w:tr>
      <w:tr>
        <w:trPr>
          <w:trHeight w:val="20"/>
        </w:trPr>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
        </w:trPr>
        <w:tc>
          <w:tcPr>
            <w:tcW w:w="212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29" w:lineRule="exact"/>
        <w:rPr>
          <w:sz w:val="20"/>
          <w:szCs w:val="20"/>
          <w:color w:val="auto"/>
        </w:rPr>
      </w:pPr>
    </w:p>
    <w:p>
      <w:pPr>
        <w:ind w:left="361" w:right="120" w:hanging="361"/>
        <w:spacing w:after="0" w:line="247" w:lineRule="auto"/>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8"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spacing w:after="0" w:line="34" w:lineRule="exact"/>
        <w:rPr>
          <w:rFonts w:ascii="Times New Roman" w:cs="Times New Roman" w:eastAsia="Times New Roman" w:hAnsi="Times New Roman"/>
          <w:sz w:val="11"/>
          <w:szCs w:val="11"/>
          <w:color w:val="auto"/>
        </w:rPr>
      </w:pPr>
    </w:p>
    <w:p>
      <w:pPr>
        <w:ind w:left="361" w:right="100" w:hanging="361"/>
        <w:spacing w:after="0" w:line="259" w:lineRule="auto"/>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1" w:lineRule="exact"/>
        <w:rPr>
          <w:rFonts w:ascii="Times New Roman" w:cs="Times New Roman" w:eastAsia="Times New Roman" w:hAnsi="Times New Roman"/>
          <w:sz w:val="11"/>
          <w:szCs w:val="11"/>
          <w:color w:val="auto"/>
        </w:rPr>
      </w:pPr>
    </w:p>
    <w:p>
      <w:pPr>
        <w:ind w:left="361" w:right="20" w:hanging="361"/>
        <w:spacing w:after="0" w:line="259" w:lineRule="auto"/>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Non-income producing securities.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through our Taxable Subsidiary (See Note 1).</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4" w:lineRule="exact"/>
        <w:rPr>
          <w:rFonts w:ascii="Times New Roman" w:cs="Times New Roman" w:eastAsia="Times New Roman" w:hAnsi="Times New Roman"/>
          <w:sz w:val="11"/>
          <w:szCs w:val="11"/>
          <w:color w:val="auto"/>
        </w:rPr>
      </w:pPr>
    </w:p>
    <w:p>
      <w:pPr>
        <w:ind w:left="361" w:right="200" w:hanging="361"/>
        <w:spacing w:after="0" w:line="259" w:lineRule="auto"/>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81% of our total assets and non-qualifying assets represent 19% of our total assets.</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Canadian Dollars (C$) as denoted.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3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9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3"/>
        </w:trPr>
        <w:tc>
          <w:tcPr>
            <w:tcW w:w="3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2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r>
      <w:tr>
        <w:trPr>
          <w:trHeight w:val="129"/>
        </w:trPr>
        <w:tc>
          <w:tcPr>
            <w:tcW w:w="4160" w:type="dxa"/>
            <w:vAlign w:val="bottom"/>
            <w:tcBorders>
              <w:top w:val="single" w:sz="8" w:color="auto"/>
            </w:tcBorders>
            <w:gridSpan w:val="2"/>
            <w:shd w:val="clear" w:color="auto" w:fill="CCECFF"/>
          </w:tcPr>
          <w:p>
            <w:pPr>
              <w:spacing w:after="0" w:line="129"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Non-Affiliated Portfolio Companies—176.7% </w:t>
            </w:r>
            <w:r>
              <w:rPr>
                <w:rFonts w:ascii="Times New Roman" w:cs="Times New Roman" w:eastAsia="Times New Roman" w:hAnsi="Times New Roman"/>
                <w:sz w:val="14"/>
                <w:szCs w:val="14"/>
                <w:b w:val="1"/>
                <w:bCs w:val="1"/>
                <w:color w:val="auto"/>
                <w:vertAlign w:val="superscript"/>
              </w:rPr>
              <w:t>(3), (4)</w:t>
            </w:r>
          </w:p>
        </w:tc>
        <w:tc>
          <w:tcPr>
            <w:tcW w:w="24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Debt—162.7%</w:t>
            </w:r>
          </w:p>
        </w:tc>
        <w:tc>
          <w:tcPr>
            <w:tcW w:w="8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08/11/2025</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L+800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14,702,672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15,000,000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07/24/2025</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9"/>
              </w:rPr>
              <w:t>IT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6,404,125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6,500,000</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Altamira Technologies, LLC (Revolver)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07/24/2025</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9"/>
              </w:rPr>
              <w:t>IT Services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2,156,250</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01/02/2024</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6"/>
              </w:rPr>
              <w:t>Transportation: Consumer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7.07%</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L+475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5,798,444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5,727,667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5,740,459</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12/21/2023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14,670,272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14,701,125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American Insulated Glass, LLC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12/21/2023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649,351</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(9,740)</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American Teleconferencing Services, Ltd.</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12/08/2021</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8.69%</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9,672,954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9,590,848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6,771,068</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API Technologies Corp.</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05/11/2026</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L+425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5,955,320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5,783,006</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BEI Precision Systems &amp; Space Company, Inc.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04/28/2023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11,730,000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11,651,612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11,612,700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05/16/2022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13,096,955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12,864,397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13,096,955</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By Light Professional IT Services, LLC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05/16/2022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15,745,817</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By Light Professional IT Services, LLC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05/16/2022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2,504,092</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Cadence Aerospace,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11/14/2023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2,868,106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2,848,592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2,854,626</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12/23/2021</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8.36%</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23,306,224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23,094,603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23,306,224</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Cardenas Markets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11/29/2023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3,834,884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3,840,082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3,719,837</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CHA Holdings, Inc.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04/10/2025</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7,366,205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7,340,067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7,329,374</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CHA Holdings, Inc.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04/10/2025</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53,571</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(268)</w:t>
            </w: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Challenger Performance Optimization, Inc. (Revolver) </w:t>
            </w:r>
            <w:r>
              <w:rPr>
                <w:rFonts w:ascii="Times New Roman" w:cs="Times New Roman" w:eastAsia="Times New Roman" w:hAnsi="Times New Roman"/>
                <w:sz w:val="15"/>
                <w:szCs w:val="15"/>
                <w:color w:val="auto"/>
                <w:vertAlign w:val="superscript"/>
              </w:rPr>
              <w:t>(7)</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08/31/2023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284,579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284,579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277,464</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Challenger Performance Optimization, Inc. (Revolver)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08/31/2023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426,868</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(10,672)</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06/24/2026</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 Providers and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L+500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3,960,046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3,940,000</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Deva Holdings, Inc.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944,900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931,008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944,900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Deva Holdings,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2,115,000</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Digital Room Holdings, Inc.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05/22/2026</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Media: Advertising, Printing and Publishing</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9,827,383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9,495,003</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10/19/2022</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8.08%</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14,340,441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14,159,516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14,197,037</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10/19/2022</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P+475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439,118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439,118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434,726</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2"/>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10/19/2022</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3,952,059</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(39,522)</w:t>
            </w:r>
          </w:p>
        </w:tc>
      </w:tr>
      <w:tr>
        <w:trPr>
          <w:trHeight w:val="141"/>
        </w:trPr>
        <w:tc>
          <w:tcPr>
            <w:tcW w:w="3340" w:type="dxa"/>
            <w:vAlign w:val="bottom"/>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6"/>
                <w:szCs w:val="16"/>
                <w:color w:val="auto"/>
                <w:vertAlign w:val="superscript"/>
              </w:rPr>
              <w:t>(7), (9)</w:t>
            </w:r>
          </w:p>
        </w:tc>
        <w:tc>
          <w:tcPr>
            <w:tcW w:w="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Douglas Sewer Intermediate, LLC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10/19/2022</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9,816,712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9,755,921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9,718,545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East Valley Tourist Development Authority</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03/07/2022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L+800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18,592,082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18,478,010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18,406,161</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eCommission Financial Services, Inc. </w:t>
            </w:r>
            <w:r>
              <w:rPr>
                <w:rFonts w:ascii="Times New Roman" w:cs="Times New Roman" w:eastAsia="Times New Roman" w:hAnsi="Times New Roman"/>
                <w:sz w:val="15"/>
                <w:szCs w:val="15"/>
                <w:color w:val="auto"/>
                <w:vertAlign w:val="superscript"/>
              </w:rPr>
              <w:t>(10)</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10/05/2023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7.07%</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21,564,375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21,564,375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21,564,375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eCommission Financial Services, Inc. (Revolver) </w:t>
            </w:r>
            <w:r>
              <w:rPr>
                <w:rFonts w:ascii="Times New Roman" w:cs="Times New Roman" w:eastAsia="Times New Roman" w:hAnsi="Times New Roman"/>
                <w:sz w:val="15"/>
                <w:szCs w:val="15"/>
                <w:color w:val="auto"/>
                <w:vertAlign w:val="superscript"/>
              </w:rPr>
              <w:t>(7), (9), (10)</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10/05/2023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Education Networks of America, Inc.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05/06/2021</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10,401,338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10,401,338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10,349,331</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(PIK 2.50%)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Education Networks of America,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05/06/2021</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2,189,535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2,189,535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2,178,587</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06/15/2022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7,250,797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7,220,335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7,178,290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FlexPrint,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01/02/2024</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L+620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4,281,014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4,213,518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4,216,799</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FlexPrint, LLC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01/02/2024</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3,772,226</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(28,292)</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GCOM Software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11/14/2022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12,112,187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11,880,407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12,112,187</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GCOM Software LLC (Revolver)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11/14/2022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2,666,667</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Good2Grow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11/18/2024</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5"/>
              </w:rPr>
              <w:t>Beverages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L+425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7,051,593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6,989,296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6,945,819</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Good2Grow LLC (Revolver)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11/16/2023</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5"/>
              </w:rPr>
              <w:t>Beverages</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3,137,000</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(31,370)</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GSM Holdings, Inc.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06/03/2024</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Goods: Durable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19,325,409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19,215,204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19,132,154</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GSM Holdings, Inc. (Revolver)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06/03/2024</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Goods: Durable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5,938,737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5,938,737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5,879,350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GSM Holdings,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06/03/2024</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Goods: Durable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1,187,747</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(11,877)</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12/10/2024</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7,491,774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7,422,604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7,491,774</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HW Holdco, LLC (Revolver) </w:t>
            </w:r>
            <w:r>
              <w:rPr>
                <w:rFonts w:ascii="Times New Roman" w:cs="Times New Roman" w:eastAsia="Times New Roman" w:hAnsi="Times New Roman"/>
                <w:sz w:val="15"/>
                <w:szCs w:val="15"/>
                <w:color w:val="auto"/>
                <w:vertAlign w:val="superscript"/>
              </w:rPr>
              <w:t>(7)</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12/10/2024</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209,032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209,032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209,032</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HW Holdco, LLC (Revolver)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12/10/2024</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1,242,581</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IMIA Holdings,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10/28/2024</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1,968,504</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06/27/2023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Wholesale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12,807,129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12,742,367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12,679,058</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Innova Medical Ophthalmics Inc. </w:t>
            </w:r>
            <w:r>
              <w:rPr>
                <w:rFonts w:ascii="Times New Roman" w:cs="Times New Roman" w:eastAsia="Times New Roman" w:hAnsi="Times New Roman"/>
                <w:sz w:val="15"/>
                <w:szCs w:val="15"/>
                <w:color w:val="auto"/>
                <w:vertAlign w:val="superscript"/>
              </w:rPr>
              <w:t>(5), (10)</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3,305,640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3,271,191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3,272,584</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Innova Medical Ophthalmics Inc. (Revolver) </w:t>
            </w:r>
            <w:r>
              <w:rPr>
                <w:rFonts w:ascii="Times New Roman" w:cs="Times New Roman" w:eastAsia="Times New Roman" w:hAnsi="Times New Roman"/>
                <w:sz w:val="15"/>
                <w:szCs w:val="15"/>
                <w:color w:val="auto"/>
                <w:vertAlign w:val="superscript"/>
              </w:rPr>
              <w:t>(5), (7), (10)</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159,292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159,292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158,495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Innova Medical Ophthalmics Inc. (Revolver) </w:t>
            </w:r>
            <w:r>
              <w:rPr>
                <w:rFonts w:ascii="Times New Roman" w:cs="Times New Roman" w:eastAsia="Times New Roman" w:hAnsi="Times New Roman"/>
                <w:sz w:val="15"/>
                <w:szCs w:val="15"/>
                <w:color w:val="auto"/>
                <w:vertAlign w:val="superscript"/>
              </w:rPr>
              <w:t>(5), (7), (9), (10)</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371,681</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(1,858)</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09/29/2023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Services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L+475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25,755,126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25,541,479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25,755,126</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Integrative Nutrition, LLC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09/29/2023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Services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Inventus Power, Inc.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04/30/2020</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6"/>
              </w:rPr>
              <w:t>Consumer Goods: Durable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L+650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4,105,494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4,100,506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3,777,055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K2 Pure Solutions NoCal, L.P. (Revovler) </w:t>
            </w:r>
            <w:r>
              <w:rPr>
                <w:rFonts w:ascii="Times New Roman" w:cs="Times New Roman" w:eastAsia="Times New Roman" w:hAnsi="Times New Roman"/>
                <w:sz w:val="15"/>
                <w:szCs w:val="15"/>
                <w:color w:val="auto"/>
                <w:vertAlign w:val="superscript"/>
              </w:rPr>
              <w:t>(7)</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12/20/2023</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7.30%</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493,950</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K2 Pure Solutions NoCal, L.P. (Revovler)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12/20/2023</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928,571</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(11,236)</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03/07/2025</w:t>
            </w: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5,429,692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5,327,414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5,429,692</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Kentucky Downs, LLC </w:t>
            </w:r>
            <w:r>
              <w:rPr>
                <w:rFonts w:ascii="Times New Roman" w:cs="Times New Roman" w:eastAsia="Times New Roman" w:hAnsi="Times New Roman"/>
                <w:sz w:val="15"/>
                <w:szCs w:val="15"/>
                <w:color w:val="auto"/>
                <w:vertAlign w:val="superscript"/>
              </w:rPr>
              <w:t>(7), (9)</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03/07/2025</w:t>
            </w:r>
          </w:p>
        </w:tc>
        <w:tc>
          <w:tcPr>
            <w:tcW w:w="2560" w:type="dxa"/>
            <w:vAlign w:val="bottom"/>
            <w:gridSpan w:val="2"/>
            <w:shd w:val="clear" w:color="auto" w:fill="CCECFF"/>
          </w:tcPr>
          <w:p>
            <w:pPr>
              <w:jc w:val="center"/>
              <w:ind w:right="4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7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1,344,828</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KHC Holdings, Inc.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Wholesale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12,031,250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11,925,121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12,031,250</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KHC Holdings, Inc. (Revolver)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10/30/2020</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Wholesale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L+425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479,839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479,839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479,839</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KHC Holdings,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10/30/2020</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Wholesale</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729,839</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Lago Resort &amp; Casino,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03/07/2022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L+950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9,316,000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9,224,654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9,176,260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10/31/2024</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8,357,143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8,311,279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8,349,621</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LAV Gear Holdings, Inc. (Revolver)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10/31/2024</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126,984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126,984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126,870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LAV Gear Holdings,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10/31/2024</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1,460,317</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(1,314)</w:t>
            </w: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LifeCare Holdings LLC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11/30/2021</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94"/>
              </w:rPr>
              <w:t>(6)</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4,736,107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4,599,788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94,722</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13,783,976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13,628,111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13,646,136</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Lombart Brothers, Inc. (Revolver) </w:t>
            </w:r>
            <w:r>
              <w:rPr>
                <w:rFonts w:ascii="Times New Roman" w:cs="Times New Roman" w:eastAsia="Times New Roman" w:hAnsi="Times New Roman"/>
                <w:sz w:val="15"/>
                <w:szCs w:val="15"/>
                <w:color w:val="auto"/>
                <w:vertAlign w:val="superscript"/>
              </w:rPr>
              <w:t>(7)</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P+500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437,272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437,272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435,086</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Lombart Brothers, Inc. (Revolver)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04/13/2022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801,666</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(4,009)</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Long Island Vision Management, LLC</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09/11/2023</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L+475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8,165,763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8,114,887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8,124,934</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Long Island Vision Management, LLC </w:t>
            </w:r>
            <w:r>
              <w:rPr>
                <w:rFonts w:ascii="Times New Roman" w:cs="Times New Roman" w:eastAsia="Times New Roman" w:hAnsi="Times New Roman"/>
                <w:sz w:val="15"/>
                <w:szCs w:val="15"/>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09/11/2023</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1,788,843</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(8,944)</w:t>
            </w: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Long’s Drugs Incorporated</w:t>
            </w:r>
          </w:p>
        </w:tc>
        <w:tc>
          <w:tcPr>
            <w:tcW w:w="820" w:type="dxa"/>
            <w:vAlign w:val="bottom"/>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08/19/2022</w:t>
            </w:r>
          </w:p>
        </w:tc>
        <w:tc>
          <w:tcPr>
            <w:tcW w:w="2560" w:type="dxa"/>
            <w:vAlign w:val="bottom"/>
            <w:gridSpan w:val="2"/>
            <w:shd w:val="clear" w:color="auto" w:fill="CCECFF"/>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7.10%</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9,830,562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9,801,000</w:t>
            </w:r>
          </w:p>
        </w:tc>
        <w:tc>
          <w:tcPr>
            <w:tcW w:w="120" w:type="dxa"/>
            <w:vAlign w:val="bottom"/>
            <w:shd w:val="clear" w:color="auto" w:fill="CCECFF"/>
          </w:tcPr>
          <w:p>
            <w:pPr>
              <w:spacing w:after="0"/>
              <w:rPr>
                <w:sz w:val="11"/>
                <w:szCs w:val="1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Long’s Drugs Incorporated (Revolver) </w:t>
            </w:r>
            <w:r>
              <w:rPr>
                <w:rFonts w:ascii="Times New Roman" w:cs="Times New Roman" w:eastAsia="Times New Roman" w:hAnsi="Times New Roman"/>
                <w:sz w:val="18"/>
                <w:szCs w:val="18"/>
                <w:color w:val="auto"/>
                <w:vertAlign w:val="superscript"/>
              </w:rPr>
              <w:t>(7), (9)</w:t>
            </w:r>
          </w:p>
        </w:tc>
        <w:tc>
          <w:tcPr>
            <w:tcW w:w="82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5"/>
              </w:rPr>
              <w:t>08/19/2022</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2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(60,000)</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4"/>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206"/>
              <w:spacing w:after="0" w:line="116" w:lineRule="exact"/>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2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100" w:type="dxa"/>
            <w:vAlign w:val="bottom"/>
            <w:tcBorders>
              <w:bottom w:val="single" w:sz="8" w:color="CCECFF"/>
            </w:tcBorders>
          </w:tcPr>
          <w:p>
            <w:pPr>
              <w:spacing w:after="0"/>
              <w:rPr>
                <w:sz w:val="12"/>
                <w:szCs w:val="12"/>
                <w:color w:val="auto"/>
              </w:rPr>
            </w:pPr>
          </w:p>
        </w:tc>
      </w:tr>
      <w:tr>
        <w:trPr>
          <w:trHeight w:val="129"/>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05/01/2023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Retail</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13,684,375</w:t>
            </w:r>
          </w:p>
        </w:tc>
        <w:tc>
          <w:tcPr>
            <w:tcW w:w="3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13,590,322</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12,711,826</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Manna Pro Products,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12/08/2023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8.11%</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8,327,947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8,159,275</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Marketplace Events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5,312,015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5,243,388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5,245,616</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Marketplace Events LLC </w:t>
            </w:r>
            <w:r>
              <w:rPr>
                <w:rFonts w:ascii="Times New Roman" w:cs="Times New Roman" w:eastAsia="Times New Roman" w:hAnsi="Times New Roman"/>
                <w:sz w:val="15"/>
                <w:szCs w:val="15"/>
                <w:color w:val="auto"/>
                <w:vertAlign w:val="superscript"/>
              </w:rPr>
              <w:t>(11)</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P+275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16,299,990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11,428,057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12,311,171</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Marketplace Events LLC (Revolver)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P+275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476,886</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476,886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476,886</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Marketplace Events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1,226,277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8.06%</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34,772,838</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34,280,848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34,251,245</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MeritDirect,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4,481,655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(67,225)</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Mission Critical Electronics, Inc. (Revolver)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09/28/2021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7.18%</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212,014</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212,014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212,014</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Mission Critical Electronics, Inc.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09/28/2021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1,113,074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Montreign Operating Company,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01/24/2023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27,189,858</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27,394,375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24,344,712</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Nuvei Technologies Corp. </w:t>
            </w:r>
            <w:r>
              <w:rPr>
                <w:rFonts w:ascii="Times New Roman" w:cs="Times New Roman" w:eastAsia="Times New Roman" w:hAnsi="Times New Roman"/>
                <w:sz w:val="15"/>
                <w:szCs w:val="15"/>
                <w:color w:val="auto"/>
                <w:vertAlign w:val="superscript"/>
              </w:rPr>
              <w:t>(5), (10)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09/28/2025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8.43%</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P+400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19,949,780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19,652,494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19,650,534</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Olde Thompson,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1,575,476</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1,559,721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1,575,476</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Olde Thompson, LLC -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2,642,857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Output Services Group,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03/27/2024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2,962,422</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2,684,289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2,547,683</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Ox Two,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12,780,524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12,708,453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12,780,524</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Ox Two, LLC (Revolver)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P+725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508,444</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508,444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508,444</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Ox Two,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47,111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Peninsula Pacific Entertainment LLC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11/13/2024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13,275,810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13,225,232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13,275,810</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Pestell Minerals and Ingredients Inc. </w:t>
            </w:r>
            <w:r>
              <w:rPr>
                <w:rFonts w:ascii="Times New Roman" w:cs="Times New Roman" w:eastAsia="Times New Roman" w:hAnsi="Times New Roman"/>
                <w:sz w:val="15"/>
                <w:szCs w:val="15"/>
                <w:color w:val="auto"/>
                <w:vertAlign w:val="superscript"/>
              </w:rPr>
              <w:t>(5), (10)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06/01/2023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7.57%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14,887,500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14,769,736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14,738,625</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Plant Health Intermediate, Inc.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10/19/2022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2,113,704</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2,087,235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2,092,567</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5,586,000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5,531,151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5,579,018</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08/08/2022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2,585,319</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2,543,697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2,585,319</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Quantum Spatial,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09/04/2024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7.32%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18,717,745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18,715,000</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7,425,000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7,297,539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7,350,750</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Questex,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1,196,809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(11,968)</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8.36%</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7,241,807</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7,167,727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7,096,971</w:t>
            </w:r>
          </w:p>
        </w:tc>
        <w:tc>
          <w:tcPr>
            <w:tcW w:w="100" w:type="dxa"/>
            <w:vAlign w:val="bottom"/>
            <w:shd w:val="clear" w:color="auto" w:fill="CCECFF"/>
          </w:tcPr>
          <w:p>
            <w:pPr>
              <w:spacing w:after="0"/>
              <w:rPr>
                <w:sz w:val="11"/>
                <w:szCs w:val="11"/>
                <w:color w:val="auto"/>
              </w:rPr>
            </w:pPr>
          </w:p>
        </w:tc>
      </w:tr>
      <w:tr>
        <w:trPr>
          <w:trHeight w:val="140"/>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Research Now Group, Inc. and Survey Sampling</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24,562,500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23,577,849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24,600,818</w:t>
            </w:r>
          </w:p>
        </w:tc>
        <w:tc>
          <w:tcPr>
            <w:tcW w:w="100" w:type="dxa"/>
            <w:vAlign w:val="bottom"/>
          </w:tcPr>
          <w:p>
            <w:pPr>
              <w:spacing w:after="0"/>
              <w:rPr>
                <w:sz w:val="12"/>
                <w:szCs w:val="12"/>
                <w:color w:val="auto"/>
              </w:rPr>
            </w:pPr>
          </w:p>
        </w:tc>
      </w:tr>
      <w:tr>
        <w:trPr>
          <w:trHeight w:val="1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International LLC</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4,987,500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4,938,821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4,961,565</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Riverpoint Medical,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909,091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(4,727)</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Salient CRGT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02/28/2022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1,771,740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1,752,209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1,674,294</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7.14%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18,256,482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17,988,515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18,256,482</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Schlesinger Global, Inc.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4,007,789</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Schlesinger Global, Inc. (Revolver)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7.82%</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667,965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667,965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667,965</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Schlesinger Global, Inc. (Revolver)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1,202,337</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8.60%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12,918,768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12,735,120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12,918,768</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Signature Systems Holding Company (Revolver)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1,747,312</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Smile Brands Inc.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6.64%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2,136,667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2,136,667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2,115,300</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Smile Brands Inc.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2,362,585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(23,626)</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Smile Brands Inc. (Revolver)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8.61%</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P+350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242,438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242,438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238,025</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Smile Brands Inc. (Revolver)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1,373,813</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(25,003)</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Snak Club, LLC (Revolver)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07/19/2021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8.23%</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46,500</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Snak Club, LLC (Revolver)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07/19/2021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445,136</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(31,160)</w:t>
            </w: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Healthcare Technology</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7.83%</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13,253,400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13,019,272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13,082,432</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Solutionreach, Inc.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Healthcare Technology</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1,665,000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(21,478)</w:t>
            </w: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07/25/2023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7.10%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7,473,846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7,393,786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7,399,108</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9,600,726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9,525,000</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Tensar Corporation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07/09/2021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6.85%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22,620,696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22,523,390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21,715,869</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09/16/2024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7.37%</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18,667,460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18,511,339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18,480,783</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The Original Cakerie, Co. </w:t>
            </w:r>
            <w:r>
              <w:rPr>
                <w:rFonts w:ascii="Times New Roman" w:cs="Times New Roman" w:eastAsia="Times New Roman" w:hAnsi="Times New Roman"/>
                <w:sz w:val="15"/>
                <w:szCs w:val="15"/>
                <w:color w:val="auto"/>
                <w:vertAlign w:val="superscript"/>
              </w:rPr>
              <w:t>(5), (10)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7.15%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2M L+500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7,624,976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7,550,542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7,586,851</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The Original Cakerie Ltd. </w:t>
            </w:r>
            <w:r>
              <w:rPr>
                <w:rFonts w:ascii="Times New Roman" w:cs="Times New Roman" w:eastAsia="Times New Roman" w:hAnsi="Times New Roman"/>
                <w:sz w:val="15"/>
                <w:szCs w:val="15"/>
                <w:color w:val="auto"/>
                <w:vertAlign w:val="superscript"/>
              </w:rPr>
              <w:t>(5), (10)</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6.65%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2M L+450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5,431,292</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5,398,553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5,404,135</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The Original Cakerie Ltd. (Revolver) </w:t>
            </w:r>
            <w:r>
              <w:rPr>
                <w:rFonts w:ascii="Times New Roman" w:cs="Times New Roman" w:eastAsia="Times New Roman" w:hAnsi="Times New Roman"/>
                <w:sz w:val="15"/>
                <w:szCs w:val="15"/>
                <w:color w:val="auto"/>
                <w:vertAlign w:val="superscript"/>
              </w:rPr>
              <w:t>(5), (7), (10)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6.65%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170,218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170,218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169,367</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The Original Cakerie Ltd. (Revolver) </w:t>
            </w:r>
            <w:r>
              <w:rPr>
                <w:rFonts w:ascii="Times New Roman" w:cs="Times New Roman" w:eastAsia="Times New Roman" w:hAnsi="Times New Roman"/>
                <w:sz w:val="15"/>
                <w:szCs w:val="15"/>
                <w:color w:val="auto"/>
                <w:vertAlign w:val="superscript"/>
              </w:rPr>
              <w:t>(5), (7), (9), (10)</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07/20/2022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1,248,266</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(6,241)</w:t>
            </w: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Triad Manufacturing,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12/28/2020</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13.29%</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L+1,125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7,710,575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7,664,214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7,633,469</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5,928,804</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5,824,179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5,928,804</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TVC Enterprises, LLC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1,955,719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TVC Enterprises, LLC (Revolver)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467,022</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467,022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467,022</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TVC Enterprises,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836,791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8.28%</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7,075,000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6,906,190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6,933,500</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TWS Acquisition Corporation (Revolver)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8.28%</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808,571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808,571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792,400</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TWS Acquisition Corporation (Revolver) </w:t>
            </w:r>
            <w:r>
              <w:rPr>
                <w:rFonts w:ascii="Times New Roman" w:cs="Times New Roman" w:eastAsia="Times New Roman" w:hAnsi="Times New Roman"/>
                <w:sz w:val="15"/>
                <w:szCs w:val="15"/>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1,819,286</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(36,385)</w:t>
            </w: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18,000,068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17,763,278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17,463,665</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Tyto Athene, LLC (Revolver)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08/27/2024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4,465,909</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4,465,909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4,332,825</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Tyto Athene,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2,352,273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(70,098)</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14,169,914</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14,069,246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14,028,214</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UBEO, LLC (Revolver) </w:t>
            </w:r>
            <w:r>
              <w:rPr>
                <w:rFonts w:ascii="Times New Roman" w:cs="Times New Roman" w:eastAsia="Times New Roman" w:hAnsi="Times New Roman"/>
                <w:sz w:val="15"/>
                <w:szCs w:val="15"/>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2,933,333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(38,661)</w:t>
            </w: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UniTek Global Services,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08/20/2024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8.42%</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10,395,000</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10,209,742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9,771,301</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US Med Acquisition, Inc. </w:t>
            </w:r>
            <w:r>
              <w:rPr>
                <w:rFonts w:ascii="Times New Roman" w:cs="Times New Roman" w:eastAsia="Times New Roman" w:hAnsi="Times New Roman"/>
                <w:sz w:val="15"/>
                <w:szCs w:val="15"/>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08/13/2021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11.10%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2,996,094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2,996,094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2,996,094</w:t>
            </w: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2"/>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3,440,998</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3,373,821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3,406,588</w:t>
            </w:r>
          </w:p>
        </w:tc>
        <w:tc>
          <w:tcPr>
            <w:tcW w:w="100" w:type="dxa"/>
            <w:vAlign w:val="bottom"/>
            <w:shd w:val="clear" w:color="auto" w:fill="CCECFF"/>
          </w:tcPr>
          <w:p>
            <w:pPr>
              <w:spacing w:after="0"/>
              <w:rPr>
                <w:sz w:val="11"/>
                <w:szCs w:val="11"/>
                <w:color w:val="auto"/>
              </w:rPr>
            </w:pPr>
          </w:p>
        </w:tc>
      </w:tr>
      <w:tr>
        <w:trPr>
          <w:trHeight w:val="136"/>
        </w:trPr>
        <w:tc>
          <w:tcPr>
            <w:tcW w:w="34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9.55%</w:t>
            </w:r>
          </w:p>
        </w:tc>
        <w:tc>
          <w:tcPr>
            <w:tcW w:w="66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2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5,187,498</w:t>
            </w:r>
          </w:p>
        </w:tc>
        <w:tc>
          <w:tcPr>
            <w:tcW w:w="200" w:type="dxa"/>
            <w:vAlign w:val="bottom"/>
            <w:tcBorders>
              <w:bottom w:val="single" w:sz="8" w:color="CCEC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5,083,748</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5,187,498</w:t>
            </w:r>
          </w:p>
        </w:tc>
        <w:tc>
          <w:tcPr>
            <w:tcW w:w="100" w:type="dxa"/>
            <w:vAlign w:val="bottom"/>
            <w:tcBorders>
              <w:bottom w:val="single" w:sz="8" w:color="CCECFF"/>
            </w:tcBorders>
          </w:tcPr>
          <w:p>
            <w:pPr>
              <w:spacing w:after="0"/>
              <w:rPr>
                <w:sz w:val="11"/>
                <w:szCs w:val="11"/>
                <w:color w:val="auto"/>
              </w:rPr>
            </w:pPr>
          </w:p>
        </w:tc>
      </w:tr>
      <w:tr>
        <w:trPr>
          <w:trHeight w:val="129"/>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829,387,687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818,357,018</w:t>
            </w:r>
          </w:p>
        </w:tc>
        <w:tc>
          <w:tcPr>
            <w:tcW w:w="100" w:type="dxa"/>
            <w:vAlign w:val="bottom"/>
            <w:shd w:val="clear" w:color="auto" w:fill="CCECFF"/>
          </w:tcPr>
          <w:p>
            <w:pPr>
              <w:spacing w:after="0"/>
              <w:rPr>
                <w:sz w:val="11"/>
                <w:szCs w:val="11"/>
                <w:color w:val="auto"/>
              </w:rPr>
            </w:pPr>
          </w:p>
        </w:tc>
      </w:tr>
      <w:tr>
        <w:trPr>
          <w:trHeight w:val="129"/>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Debt—5.7%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Condor Borrower, LLC </w:t>
            </w:r>
            <w:r>
              <w:rPr>
                <w:rFonts w:ascii="Times New Roman" w:cs="Times New Roman" w:eastAsia="Times New Roman" w:hAnsi="Times New Roman"/>
                <w:sz w:val="15"/>
                <w:szCs w:val="15"/>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04/25/2025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1,655,172</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1,628,190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1,638,621</w:t>
            </w:r>
          </w:p>
        </w:tc>
        <w:tc>
          <w:tcPr>
            <w:tcW w:w="100" w:type="dxa"/>
            <w:vAlign w:val="bottom"/>
            <w:shd w:val="clear" w:color="auto" w:fill="CCECFF"/>
          </w:tcPr>
          <w:p>
            <w:pPr>
              <w:spacing w:after="0"/>
              <w:rPr>
                <w:sz w:val="11"/>
                <w:szCs w:val="1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Above</w:t>
            </w:r>
          </w:p>
        </w:tc>
        <w:tc>
          <w:tcPr>
            <w:tcW w:w="920" w:type="dxa"/>
            <w:vAlign w:val="bottom"/>
            <w:gridSpan w:val="2"/>
          </w:tcPr>
          <w:p>
            <w:pPr>
              <w:ind w:left="220"/>
              <w:spacing w:after="0" w:line="116" w:lineRule="exact"/>
              <w:rPr>
                <w:sz w:val="20"/>
                <w:szCs w:val="20"/>
                <w:color w:val="auto"/>
              </w:rPr>
            </w:pPr>
            <w:r>
              <w:rPr>
                <w:rFonts w:ascii="Times New Roman" w:cs="Times New Roman" w:eastAsia="Times New Roman" w:hAnsi="Times New Roman"/>
                <w:sz w:val="11"/>
                <w:szCs w:val="11"/>
                <w:b w:val="1"/>
                <w:bCs w:val="1"/>
                <w:color w:val="auto"/>
              </w:rPr>
              <w:t>Par /</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40" w:type="dxa"/>
            <w:vAlign w:val="bottom"/>
            <w:tcBorders>
              <w:bottom w:val="single" w:sz="8" w:color="CCECFF"/>
            </w:tcBorders>
          </w:tcPr>
          <w:p>
            <w:pPr>
              <w:spacing w:after="0"/>
              <w:rPr>
                <w:sz w:val="12"/>
                <w:szCs w:val="1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6"/>
                <w:szCs w:val="16"/>
                <w:b w:val="1"/>
                <w:bCs w:val="1"/>
                <w:color w:val="auto"/>
                <w:vertAlign w:val="superscript"/>
              </w:rPr>
              <w:t>(2)</w:t>
            </w:r>
          </w:p>
        </w:tc>
        <w:tc>
          <w:tcPr>
            <w:tcW w:w="120" w:type="dxa"/>
            <w:vAlign w:val="bottom"/>
            <w:tcBorders>
              <w:bottom w:val="single" w:sz="8" w:color="CCECFF"/>
            </w:tcBorders>
          </w:tcPr>
          <w:p>
            <w:pPr>
              <w:spacing w:after="0"/>
              <w:rPr>
                <w:sz w:val="12"/>
                <w:szCs w:val="12"/>
                <w:color w:val="auto"/>
              </w:rPr>
            </w:pPr>
          </w:p>
        </w:tc>
      </w:tr>
      <w:tr>
        <w:trPr>
          <w:trHeight w:val="129"/>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02/01/2026</w:t>
            </w: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10,639,343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10,639,343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10,586,145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8.00%)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0"/>
        </w:trPr>
        <w:tc>
          <w:tcPr>
            <w:tcW w:w="3340" w:type="dxa"/>
            <w:vAlign w:val="bottom"/>
          </w:tcPr>
          <w:p>
            <w:pPr>
              <w:spacing w:after="0" w:line="140" w:lineRule="exact"/>
              <w:rPr>
                <w:sz w:val="20"/>
                <w:szCs w:val="20"/>
                <w:color w:val="auto"/>
              </w:rPr>
            </w:pPr>
            <w:r>
              <w:rPr>
                <w:rFonts w:ascii="Times New Roman" w:cs="Times New Roman" w:eastAsia="Times New Roman" w:hAnsi="Times New Roman"/>
                <w:sz w:val="10"/>
                <w:szCs w:val="10"/>
                <w:color w:val="auto"/>
              </w:rPr>
              <w:t xml:space="preserve">DBI Holdings, LLC, Term Loan C </w:t>
            </w:r>
            <w:r>
              <w:rPr>
                <w:rFonts w:ascii="Times New Roman" w:cs="Times New Roman" w:eastAsia="Times New Roman" w:hAnsi="Times New Roman"/>
                <w:sz w:val="16"/>
                <w:szCs w:val="16"/>
                <w:color w:val="auto"/>
                <w:vertAlign w:val="superscript"/>
              </w:rPr>
              <w:t>(7)</w:t>
            </w:r>
          </w:p>
        </w:tc>
        <w:tc>
          <w:tcPr>
            <w:tcW w:w="12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03/26/2021</w:t>
            </w:r>
          </w:p>
        </w:tc>
        <w:tc>
          <w:tcPr>
            <w:tcW w:w="24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21,276</w:t>
            </w:r>
          </w:p>
        </w:tc>
        <w:tc>
          <w:tcPr>
            <w:tcW w:w="120" w:type="dxa"/>
            <w:vAlign w:val="bottom"/>
          </w:tcPr>
          <w:p>
            <w:pPr>
              <w:spacing w:after="0"/>
              <w:rPr>
                <w:sz w:val="12"/>
                <w:szCs w:val="12"/>
                <w:color w:val="auto"/>
              </w:rPr>
            </w:pPr>
          </w:p>
        </w:tc>
      </w:tr>
      <w:tr>
        <w:trPr>
          <w:trHeight w:val="132"/>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8.00%)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DecoPac, Inc. </w:t>
            </w:r>
            <w:r>
              <w:rPr>
                <w:rFonts w:ascii="Times New Roman" w:cs="Times New Roman" w:eastAsia="Times New Roman" w:hAnsi="Times New Roman"/>
                <w:sz w:val="15"/>
                <w:szCs w:val="15"/>
                <w:color w:val="auto"/>
                <w:vertAlign w:val="superscript"/>
              </w:rPr>
              <w:t>(7)</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03/31/2025</w:t>
            </w: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10.35%</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9,643,427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9,738,580</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10/23/2024</w:t>
            </w:r>
          </w:p>
        </w:tc>
        <w:tc>
          <w:tcPr>
            <w:tcW w:w="24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Media: Advertising, Printing and Publishing</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12M L+925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2,871,025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2,822,554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2,784,894</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McAfee, LLC </w:t>
            </w:r>
            <w:r>
              <w:rPr>
                <w:rFonts w:ascii="Times New Roman" w:cs="Times New Roman" w:eastAsia="Times New Roman" w:hAnsi="Times New Roman"/>
                <w:sz w:val="15"/>
                <w:szCs w:val="15"/>
                <w:color w:val="auto"/>
                <w:vertAlign w:val="superscript"/>
              </w:rPr>
              <w:t>(7)</w:t>
            </w:r>
          </w:p>
        </w:tc>
        <w:tc>
          <w:tcPr>
            <w:tcW w:w="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9"/>
              </w:rPr>
              <w:t>09/29/2025</w:t>
            </w: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10.62%</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2,187,500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2,158,107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2,205,284</w:t>
            </w:r>
          </w:p>
        </w:tc>
        <w:tc>
          <w:tcPr>
            <w:tcW w:w="120" w:type="dxa"/>
            <w:vAlign w:val="bottom"/>
            <w:shd w:val="clear" w:color="auto" w:fill="CCECFF"/>
          </w:tcPr>
          <w:p>
            <w:pPr>
              <w:spacing w:after="0"/>
              <w:rPr>
                <w:sz w:val="11"/>
                <w:szCs w:val="11"/>
                <w:color w:val="auto"/>
              </w:rPr>
            </w:pPr>
          </w:p>
        </w:tc>
      </w:tr>
      <w:tr>
        <w:trPr>
          <w:trHeight w:val="140"/>
        </w:trPr>
        <w:tc>
          <w:tcPr>
            <w:tcW w:w="3460" w:type="dxa"/>
            <w:vAlign w:val="bottom"/>
            <w:gridSpan w:val="2"/>
          </w:tcPr>
          <w:p>
            <w:pPr>
              <w:spacing w:after="0" w:line="140" w:lineRule="exact"/>
              <w:rPr>
                <w:sz w:val="20"/>
                <w:szCs w:val="20"/>
                <w:color w:val="auto"/>
              </w:rPr>
            </w:pPr>
            <w:r>
              <w:rPr>
                <w:rFonts w:ascii="Times New Roman" w:cs="Times New Roman" w:eastAsia="Times New Roman" w:hAnsi="Times New Roman"/>
                <w:sz w:val="10"/>
                <w:szCs w:val="10"/>
                <w:color w:val="auto"/>
              </w:rPr>
              <w:t xml:space="preserve">PT Network, LLC </w:t>
            </w:r>
            <w:r>
              <w:rPr>
                <w:rFonts w:ascii="Times New Roman" w:cs="Times New Roman" w:eastAsia="Times New Roman" w:hAnsi="Times New Roman"/>
                <w:sz w:val="16"/>
                <w:szCs w:val="16"/>
                <w:color w:val="auto"/>
                <w:vertAlign w:val="superscript"/>
              </w:rPr>
              <w:t>(7)</w:t>
            </w: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11/30/2024</w:t>
            </w:r>
          </w:p>
        </w:tc>
        <w:tc>
          <w:tcPr>
            <w:tcW w:w="24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12.30%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3M L+1,000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1,864,409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1,846,555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1,845,765</w:t>
            </w:r>
          </w:p>
        </w:tc>
        <w:tc>
          <w:tcPr>
            <w:tcW w:w="120" w:type="dxa"/>
            <w:vAlign w:val="bottom"/>
          </w:tcPr>
          <w:p>
            <w:pPr>
              <w:spacing w:after="0"/>
              <w:rPr>
                <w:sz w:val="12"/>
                <w:szCs w:val="12"/>
                <w:color w:val="auto"/>
              </w:rPr>
            </w:pPr>
          </w:p>
        </w:tc>
      </w:tr>
      <w:tr>
        <w:trPr>
          <w:trHeight w:val="132"/>
        </w:trPr>
        <w:tc>
          <w:tcPr>
            <w:tcW w:w="3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28,759,453</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28,820,565</w:t>
            </w:r>
          </w:p>
        </w:tc>
        <w:tc>
          <w:tcPr>
            <w:tcW w:w="120" w:type="dxa"/>
            <w:vAlign w:val="bottom"/>
            <w:shd w:val="clear" w:color="auto" w:fill="CCECFF"/>
          </w:tcPr>
          <w:p>
            <w:pPr>
              <w:spacing w:after="0"/>
              <w:rPr>
                <w:sz w:val="11"/>
                <w:szCs w:val="11"/>
                <w:color w:val="auto"/>
              </w:rPr>
            </w:pPr>
          </w:p>
        </w:tc>
      </w:tr>
      <w:tr>
        <w:trPr>
          <w:trHeight w:val="129"/>
        </w:trPr>
        <w:tc>
          <w:tcPr>
            <w:tcW w:w="3460" w:type="dxa"/>
            <w:vAlign w:val="bottom"/>
            <w:gridSpan w:val="2"/>
          </w:tcPr>
          <w:p>
            <w:pPr>
              <w:spacing w:after="0" w:line="129" w:lineRule="exact"/>
              <w:rPr>
                <w:sz w:val="20"/>
                <w:szCs w:val="20"/>
                <w:color w:val="auto"/>
              </w:rPr>
            </w:pPr>
            <w:r>
              <w:rPr>
                <w:rFonts w:ascii="Times New Roman" w:cs="Times New Roman" w:eastAsia="Times New Roman" w:hAnsi="Times New Roman"/>
                <w:sz w:val="9"/>
                <w:szCs w:val="9"/>
                <w:b w:val="1"/>
                <w:bCs w:val="1"/>
                <w:color w:val="auto"/>
              </w:rPr>
              <w:t xml:space="preserve">Preferrred Equity— 1.9% </w:t>
            </w:r>
            <w:r>
              <w:rPr>
                <w:rFonts w:ascii="Times New Roman" w:cs="Times New Roman" w:eastAsia="Times New Roman" w:hAnsi="Times New Roman"/>
                <w:sz w:val="14"/>
                <w:szCs w:val="14"/>
                <w:b w:val="1"/>
                <w:bCs w:val="1"/>
                <w:color w:val="auto"/>
                <w:vertAlign w:val="superscript"/>
              </w:rPr>
              <w:t>(6)</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21,870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(PT Network, LLC) </w:t>
            </w:r>
            <w:r>
              <w:rPr>
                <w:rFonts w:ascii="Times New Roman" w:cs="Times New Roman" w:eastAsia="Times New Roman" w:hAnsi="Times New Roman"/>
                <w:sz w:val="15"/>
                <w:szCs w:val="15"/>
                <w:color w:val="auto"/>
                <w:vertAlign w:val="superscript"/>
              </w:rPr>
              <w:t>(7), (8)</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Condor Holdings Limited </w:t>
            </w:r>
            <w:r>
              <w:rPr>
                <w:rFonts w:ascii="Times New Roman" w:cs="Times New Roman" w:eastAsia="Times New Roman" w:hAnsi="Times New Roman"/>
                <w:sz w:val="15"/>
                <w:szCs w:val="15"/>
                <w:color w:val="auto"/>
                <w:vertAlign w:val="superscript"/>
              </w:rPr>
              <w:t>(5), (7), (10)</w:t>
            </w:r>
          </w:p>
        </w:tc>
        <w:tc>
          <w:tcPr>
            <w:tcW w:w="120" w:type="dxa"/>
            <w:vAlign w:val="bottom"/>
          </w:tcPr>
          <w:p>
            <w:pPr>
              <w:spacing w:after="0"/>
              <w:rPr>
                <w:sz w:val="11"/>
                <w:szCs w:val="11"/>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11,325</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Condor Top Holdco Limited </w:t>
            </w:r>
            <w:r>
              <w:rPr>
                <w:rFonts w:ascii="Times New Roman" w:cs="Times New Roman" w:eastAsia="Times New Roman" w:hAnsi="Times New Roman"/>
                <w:sz w:val="15"/>
                <w:szCs w:val="15"/>
                <w:color w:val="auto"/>
                <w:vertAlign w:val="superscript"/>
              </w:rPr>
              <w:t>(5), (7), (10)</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77,827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86,640</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DBI Holding, LLC, Series A-1 </w:t>
            </w:r>
            <w:r>
              <w:rPr>
                <w:rFonts w:ascii="Times New Roman" w:cs="Times New Roman" w:eastAsia="Times New Roman" w:hAnsi="Times New Roman"/>
                <w:sz w:val="15"/>
                <w:szCs w:val="15"/>
                <w:color w:val="auto"/>
                <w:vertAlign w:val="superscript"/>
              </w:rPr>
              <w:t>(8)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7,040,844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6,545,361</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MeritDirect Holdings, LP </w:t>
            </w:r>
            <w:r>
              <w:rPr>
                <w:rFonts w:ascii="Times New Roman" w:cs="Times New Roman" w:eastAsia="Times New Roman" w:hAnsi="Times New Roman"/>
                <w:sz w:val="15"/>
                <w:szCs w:val="15"/>
                <w:color w:val="auto"/>
                <w:vertAlign w:val="superscript"/>
              </w:rPr>
              <w:t>(7), (8)</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1,002,057</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NXOF Holdings, Inc. (NextiraOne Federal, LLC) </w:t>
            </w:r>
            <w:r>
              <w:rPr>
                <w:rFonts w:ascii="Times New Roman" w:cs="Times New Roman" w:eastAsia="Times New Roman" w:hAnsi="Times New Roman"/>
                <w:sz w:val="15"/>
                <w:szCs w:val="15"/>
                <w:color w:val="auto"/>
                <w:vertAlign w:val="superscript"/>
              </w:rPr>
              <w:t>(7)</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362,645</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PT Network Intermediate Holdings, LLC </w:t>
            </w:r>
            <w:r>
              <w:rPr>
                <w:rFonts w:ascii="Times New Roman" w:cs="Times New Roman" w:eastAsia="Times New Roman" w:hAnsi="Times New Roman"/>
                <w:sz w:val="15"/>
                <w:szCs w:val="15"/>
                <w:color w:val="auto"/>
                <w:vertAlign w:val="superscript"/>
              </w:rPr>
              <w:t>(7), (10)</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12.14%</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3M L+1,000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370,570</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Signature CR Intermediate Holdco, Inc. </w:t>
            </w:r>
            <w:r>
              <w:rPr>
                <w:rFonts w:ascii="Times New Roman" w:cs="Times New Roman" w:eastAsia="Times New Roman" w:hAnsi="Times New Roman"/>
                <w:sz w:val="15"/>
                <w:szCs w:val="15"/>
                <w:color w:val="auto"/>
                <w:vertAlign w:val="superscript"/>
              </w:rPr>
              <w:t>(7)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1,166,993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1,224,860</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UniTek Global Services, Inc. -</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20.00%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30,743</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Super Senior Preferred Equity </w:t>
            </w:r>
            <w:r>
              <w:rPr>
                <w:rFonts w:ascii="Times New Roman" w:cs="Times New Roman" w:eastAsia="Times New Roman" w:hAnsi="Times New Roman"/>
                <w:sz w:val="15"/>
                <w:szCs w:val="15"/>
                <w:color w:val="auto"/>
                <w:vertAlign w:val="superscript"/>
              </w:rPr>
              <w:t>(7)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UniTek Global Services, Inc. - Senior Preferred Equity </w:t>
            </w:r>
            <w:r>
              <w:rPr>
                <w:rFonts w:ascii="Times New Roman" w:cs="Times New Roman" w:eastAsia="Times New Roman" w:hAnsi="Times New Roman"/>
                <w:sz w:val="15"/>
                <w:szCs w:val="15"/>
                <w:color w:val="auto"/>
                <w:vertAlign w:val="superscript"/>
              </w:rPr>
              <w:t>(7)</w:t>
            </w:r>
          </w:p>
        </w:tc>
        <w:tc>
          <w:tcPr>
            <w:tcW w:w="120" w:type="dxa"/>
            <w:vAlign w:val="bottom"/>
          </w:tcPr>
          <w:p>
            <w:pPr>
              <w:spacing w:after="0"/>
              <w:rPr>
                <w:sz w:val="11"/>
                <w:szCs w:val="11"/>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18.00%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UniTek Global Services, Inc.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13.50%</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670,283</w:t>
            </w:r>
          </w:p>
        </w:tc>
        <w:tc>
          <w:tcPr>
            <w:tcW w:w="2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34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11,589,702</w:t>
            </w: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9,634,652</w:t>
            </w:r>
          </w:p>
        </w:tc>
        <w:tc>
          <w:tcPr>
            <w:tcW w:w="120" w:type="dxa"/>
            <w:vAlign w:val="bottom"/>
            <w:tcBorders>
              <w:bottom w:val="single" w:sz="8" w:color="CCECFF"/>
            </w:tcBorders>
          </w:tcPr>
          <w:p>
            <w:pPr>
              <w:spacing w:after="0"/>
              <w:rPr>
                <w:sz w:val="11"/>
                <w:szCs w:val="11"/>
                <w:color w:val="auto"/>
              </w:rPr>
            </w:pPr>
          </w:p>
        </w:tc>
      </w:tr>
      <w:tr>
        <w:trPr>
          <w:trHeight w:val="129"/>
        </w:trPr>
        <w:tc>
          <w:tcPr>
            <w:tcW w:w="3460" w:type="dxa"/>
            <w:vAlign w:val="bottom"/>
            <w:gridSpan w:val="2"/>
            <w:shd w:val="clear" w:color="auto" w:fill="CCECFF"/>
          </w:tcPr>
          <w:p>
            <w:pPr>
              <w:spacing w:after="0" w:line="129" w:lineRule="exact"/>
              <w:rPr>
                <w:sz w:val="20"/>
                <w:szCs w:val="20"/>
                <w:color w:val="auto"/>
              </w:rPr>
            </w:pPr>
            <w:r>
              <w:rPr>
                <w:rFonts w:ascii="Times New Roman" w:cs="Times New Roman" w:eastAsia="Times New Roman" w:hAnsi="Times New Roman"/>
                <w:sz w:val="9"/>
                <w:szCs w:val="9"/>
                <w:b w:val="1"/>
                <w:bCs w:val="1"/>
                <w:color w:val="auto"/>
              </w:rPr>
              <w:t xml:space="preserve">Common Equity/Warrants— 6.4% </w:t>
            </w:r>
            <w:r>
              <w:rPr>
                <w:rFonts w:ascii="Times New Roman" w:cs="Times New Roman" w:eastAsia="Times New Roman" w:hAnsi="Times New Roman"/>
                <w:sz w:val="14"/>
                <w:szCs w:val="14"/>
                <w:b w:val="1"/>
                <w:bCs w:val="1"/>
                <w:color w:val="auto"/>
                <w:vertAlign w:val="superscript"/>
              </w:rPr>
              <w:t>(6)</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Affinion Group Holdings, Inc. (Warrants)</w:t>
            </w:r>
            <w:r>
              <w:rPr>
                <w:rFonts w:ascii="Times New Roman" w:cs="Times New Roman" w:eastAsia="Times New Roman" w:hAnsi="Times New Roman"/>
                <w:sz w:val="15"/>
                <w:szCs w:val="15"/>
                <w:color w:val="auto"/>
                <w:vertAlign w:val="superscript"/>
              </w:rPr>
              <w:t>(7)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Consumer Goods: Durable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244,998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94,129</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AG Investco LP </w:t>
            </w:r>
            <w:r>
              <w:rPr>
                <w:rFonts w:ascii="Times New Roman" w:cs="Times New Roman" w:eastAsia="Times New Roman" w:hAnsi="Times New Roman"/>
                <w:sz w:val="15"/>
                <w:szCs w:val="15"/>
                <w:color w:val="auto"/>
                <w:vertAlign w:val="superscript"/>
              </w:rPr>
              <w:t>(7), (8)</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5"/>
              </w:rPr>
              <w:t>Software</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AG Investco LP </w:t>
            </w:r>
            <w:r>
              <w:rPr>
                <w:rFonts w:ascii="Times New Roman" w:cs="Times New Roman" w:eastAsia="Times New Roman" w:hAnsi="Times New Roman"/>
                <w:sz w:val="15"/>
                <w:szCs w:val="15"/>
                <w:color w:val="auto"/>
                <w:vertAlign w:val="superscript"/>
              </w:rPr>
              <w:t>(7), (8), (9)</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Software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285,348</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Altamira Intermediate Company II, Inc.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By Light Investco LP </w:t>
            </w:r>
            <w:r>
              <w:rPr>
                <w:rFonts w:ascii="Times New Roman" w:cs="Times New Roman" w:eastAsia="Times New Roman" w:hAnsi="Times New Roman"/>
                <w:sz w:val="15"/>
                <w:szCs w:val="15"/>
                <w:color w:val="auto"/>
                <w:vertAlign w:val="superscript"/>
              </w:rPr>
              <w:t>(7), (8)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2,190,771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9,218,753</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By Light Investco LP </w:t>
            </w:r>
            <w:r>
              <w:rPr>
                <w:rFonts w:ascii="Times New Roman" w:cs="Times New Roman" w:eastAsia="Times New Roman" w:hAnsi="Times New Roman"/>
                <w:sz w:val="15"/>
                <w:szCs w:val="15"/>
                <w:color w:val="auto"/>
                <w:vertAlign w:val="superscript"/>
              </w:rPr>
              <w:t>(7), (8), (9)</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1,260,269</w:t>
            </w:r>
          </w:p>
        </w:tc>
        <w:tc>
          <w:tcPr>
            <w:tcW w:w="120" w:type="dxa"/>
            <w:vAlign w:val="bottom"/>
          </w:tcPr>
          <w:p>
            <w:pPr>
              <w:spacing w:after="0"/>
              <w:rPr>
                <w:sz w:val="11"/>
                <w:szCs w:val="11"/>
                <w:color w:val="auto"/>
              </w:rPr>
            </w:pPr>
          </w:p>
        </w:tc>
      </w:tr>
      <w:tr>
        <w:trPr>
          <w:trHeight w:val="141"/>
        </w:trPr>
        <w:tc>
          <w:tcPr>
            <w:tcW w:w="34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(Allied America, Inc.) </w:t>
            </w:r>
            <w:r>
              <w:rPr>
                <w:rFonts w:ascii="Times New Roman" w:cs="Times New Roman" w:eastAsia="Times New Roman" w:hAnsi="Times New Roman"/>
                <w:sz w:val="16"/>
                <w:szCs w:val="16"/>
                <w:color w:val="auto"/>
                <w:vertAlign w:val="superscript"/>
              </w:rPr>
              <w:t>(7), (8)</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2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(PT Network, LLC) </w:t>
            </w:r>
            <w:r>
              <w:rPr>
                <w:rFonts w:ascii="Times New Roman" w:cs="Times New Roman" w:eastAsia="Times New Roman" w:hAnsi="Times New Roman"/>
                <w:sz w:val="15"/>
                <w:szCs w:val="15"/>
                <w:color w:val="auto"/>
                <w:vertAlign w:val="superscript"/>
              </w:rPr>
              <w:t>(7), (8)</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581,995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720,588</w:t>
            </w:r>
          </w:p>
        </w:tc>
        <w:tc>
          <w:tcPr>
            <w:tcW w:w="120" w:type="dxa"/>
            <w:vAlign w:val="bottom"/>
          </w:tcPr>
          <w:p>
            <w:pPr>
              <w:spacing w:after="0"/>
              <w:rPr>
                <w:sz w:val="11"/>
                <w:szCs w:val="11"/>
                <w:color w:val="auto"/>
              </w:rPr>
            </w:pPr>
          </w:p>
        </w:tc>
      </w:tr>
      <w:tr>
        <w:trPr>
          <w:trHeight w:val="141"/>
        </w:trPr>
        <w:tc>
          <w:tcPr>
            <w:tcW w:w="34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(SFP Holding, Inc.) </w:t>
            </w:r>
            <w:r>
              <w:rPr>
                <w:rFonts w:ascii="Times New Roman" w:cs="Times New Roman" w:eastAsia="Times New Roman" w:hAnsi="Times New Roman"/>
                <w:sz w:val="16"/>
                <w:szCs w:val="16"/>
                <w:color w:val="auto"/>
                <w:vertAlign w:val="superscript"/>
              </w:rPr>
              <w:t>(7)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DBI Holding, LLC, Series B </w:t>
            </w:r>
            <w:r>
              <w:rPr>
                <w:rFonts w:ascii="Times New Roman" w:cs="Times New Roman" w:eastAsia="Times New Roman" w:hAnsi="Times New Roman"/>
                <w:sz w:val="15"/>
                <w:szCs w:val="15"/>
                <w:color w:val="auto"/>
                <w:vertAlign w:val="superscript"/>
              </w:rPr>
              <w:t>(10), (8)</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330,791</w:t>
            </w:r>
          </w:p>
        </w:tc>
        <w:tc>
          <w:tcPr>
            <w:tcW w:w="2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DecoPac Holdings Inc. </w:t>
            </w:r>
            <w:r>
              <w:rPr>
                <w:rFonts w:ascii="Times New Roman" w:cs="Times New Roman" w:eastAsia="Times New Roman" w:hAnsi="Times New Roman"/>
                <w:sz w:val="15"/>
                <w:szCs w:val="15"/>
                <w:color w:val="auto"/>
                <w:vertAlign w:val="superscript"/>
              </w:rPr>
              <w:t>(7)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1,632,744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3,149,261</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eCommission Holding Corporation </w:t>
            </w:r>
            <w:r>
              <w:rPr>
                <w:rFonts w:ascii="Times New Roman" w:cs="Times New Roman" w:eastAsia="Times New Roman" w:hAnsi="Times New Roman"/>
                <w:sz w:val="15"/>
                <w:szCs w:val="15"/>
                <w:color w:val="auto"/>
                <w:vertAlign w:val="superscript"/>
              </w:rPr>
              <w:t>(7), (10)</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370,436</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Faraday Holdings, LLC </w:t>
            </w:r>
            <w:r>
              <w:rPr>
                <w:rFonts w:ascii="Times New Roman" w:cs="Times New Roman" w:eastAsia="Times New Roman" w:hAnsi="Times New Roman"/>
                <w:sz w:val="15"/>
                <w:szCs w:val="15"/>
                <w:color w:val="auto"/>
                <w:vertAlign w:val="superscript"/>
              </w:rPr>
              <w:t>(7)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331,562</w:t>
            </w:r>
          </w:p>
        </w:tc>
        <w:tc>
          <w:tcPr>
            <w:tcW w:w="120" w:type="dxa"/>
            <w:vAlign w:val="bottom"/>
          </w:tcPr>
          <w:p>
            <w:pPr>
              <w:spacing w:after="0"/>
              <w:rPr>
                <w:sz w:val="11"/>
                <w:szCs w:val="11"/>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InfosoftCoInvest, LLC</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497,465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(The Infosoft Group, LLC) </w:t>
            </w:r>
            <w:r>
              <w:rPr>
                <w:rFonts w:ascii="Times New Roman" w:cs="Times New Roman" w:eastAsia="Times New Roman" w:hAnsi="Times New Roman"/>
                <w:sz w:val="15"/>
                <w:szCs w:val="15"/>
                <w:color w:val="auto"/>
                <w:vertAlign w:val="superscript"/>
              </w:rPr>
              <w:t>(7)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Gauge Schlesinger Coinvest LLC </w:t>
            </w:r>
            <w:r>
              <w:rPr>
                <w:rFonts w:ascii="Times New Roman" w:cs="Times New Roman" w:eastAsia="Times New Roman" w:hAnsi="Times New Roman"/>
                <w:sz w:val="15"/>
                <w:szCs w:val="15"/>
                <w:color w:val="auto"/>
                <w:vertAlign w:val="superscript"/>
              </w:rPr>
              <w:t>(7)</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403,005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403,005</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Gauge TVC Coinvest, LLC (TVC Enterprises, LLC) </w:t>
            </w:r>
            <w:r>
              <w:rPr>
                <w:rFonts w:ascii="Times New Roman" w:cs="Times New Roman" w:eastAsia="Times New Roman" w:hAnsi="Times New Roman"/>
                <w:sz w:val="15"/>
                <w:szCs w:val="15"/>
                <w:color w:val="auto"/>
                <w:vertAlign w:val="superscript"/>
              </w:rPr>
              <w:t>(7)</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399,678</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GCOM InvestCo LP </w:t>
            </w:r>
            <w:r>
              <w:rPr>
                <w:rFonts w:ascii="Times New Roman" w:cs="Times New Roman" w:eastAsia="Times New Roman" w:hAnsi="Times New Roman"/>
                <w:sz w:val="15"/>
                <w:szCs w:val="15"/>
                <w:color w:val="auto"/>
                <w:vertAlign w:val="superscript"/>
              </w:rPr>
              <w:t>(7), (8)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1,549,209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1,549,209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2,233,506</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GCOM InvestCo LP </w:t>
            </w:r>
            <w:r>
              <w:rPr>
                <w:rFonts w:ascii="Times New Roman" w:cs="Times New Roman" w:eastAsia="Times New Roman" w:hAnsi="Times New Roman"/>
                <w:sz w:val="15"/>
                <w:szCs w:val="15"/>
                <w:color w:val="auto"/>
                <w:vertAlign w:val="superscript"/>
              </w:rPr>
              <w:t>(7), (8), (9)</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450,791</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331,169</w:t>
            </w:r>
          </w:p>
        </w:tc>
        <w:tc>
          <w:tcPr>
            <w:tcW w:w="120" w:type="dxa"/>
            <w:vAlign w:val="bottom"/>
          </w:tcPr>
          <w:p>
            <w:pPr>
              <w:spacing w:after="0"/>
              <w:rPr>
                <w:sz w:val="11"/>
                <w:szCs w:val="11"/>
                <w:color w:val="auto"/>
              </w:rPr>
            </w:pPr>
          </w:p>
        </w:tc>
      </w:tr>
      <w:tr>
        <w:trPr>
          <w:trHeight w:val="141"/>
        </w:trPr>
        <w:tc>
          <w:tcPr>
            <w:tcW w:w="34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6"/>
                <w:szCs w:val="16"/>
                <w:color w:val="auto"/>
                <w:vertAlign w:val="superscript"/>
              </w:rPr>
              <w:t>(7), (8)</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IIN Group Holdings, LLC</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Consumer Services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1,392,905</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(Integrative Nutrition, LLC) </w:t>
            </w:r>
            <w:r>
              <w:rPr>
                <w:rFonts w:ascii="Times New Roman" w:cs="Times New Roman" w:eastAsia="Times New Roman" w:hAnsi="Times New Roman"/>
                <w:sz w:val="15"/>
                <w:szCs w:val="15"/>
                <w:color w:val="auto"/>
                <w:vertAlign w:val="superscript"/>
              </w:rPr>
              <w:t>(7), (8)</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ITC Rumba, LLC (Cano Health, LLC)</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607,059</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JWC/UMA Holdings, L.P.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1,210,541</w:t>
            </w:r>
          </w:p>
        </w:tc>
        <w:tc>
          <w:tcPr>
            <w:tcW w:w="120" w:type="dxa"/>
            <w:vAlign w:val="bottom"/>
            <w:shd w:val="clear" w:color="auto" w:fill="CCECFF"/>
          </w:tcPr>
          <w:p>
            <w:pPr>
              <w:spacing w:after="0"/>
              <w:rPr>
                <w:sz w:val="11"/>
                <w:szCs w:val="11"/>
                <w:color w:val="auto"/>
              </w:rPr>
            </w:pP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Wholesale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1,381,741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3,595,627</w:t>
            </w:r>
          </w:p>
        </w:tc>
        <w:tc>
          <w:tcPr>
            <w:tcW w:w="120" w:type="dxa"/>
            <w:vAlign w:val="bottom"/>
          </w:tcPr>
          <w:p>
            <w:pPr>
              <w:spacing w:after="0"/>
              <w:rPr>
                <w:sz w:val="11"/>
                <w:szCs w:val="11"/>
                <w:color w:val="auto"/>
              </w:rPr>
            </w:pPr>
          </w:p>
        </w:tc>
      </w:tr>
      <w:tr>
        <w:trPr>
          <w:trHeight w:val="141"/>
        </w:trPr>
        <w:tc>
          <w:tcPr>
            <w:tcW w:w="34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6"/>
                <w:szCs w:val="16"/>
                <w:color w:val="auto"/>
                <w:vertAlign w:val="superscript"/>
              </w:rPr>
              <w:t>(7), (8)</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Kentucky Racing Holdco, LLC (Warrants) </w:t>
            </w:r>
            <w:r>
              <w:rPr>
                <w:rFonts w:ascii="Times New Roman" w:cs="Times New Roman" w:eastAsia="Times New Roman" w:hAnsi="Times New Roman"/>
                <w:sz w:val="15"/>
                <w:szCs w:val="15"/>
                <w:color w:val="auto"/>
                <w:vertAlign w:val="superscript"/>
              </w:rPr>
              <w:t>(7), (8)</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8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166,773</w:t>
            </w:r>
          </w:p>
        </w:tc>
        <w:tc>
          <w:tcPr>
            <w:tcW w:w="120" w:type="dxa"/>
            <w:vAlign w:val="bottom"/>
            <w:shd w:val="clear" w:color="auto" w:fill="CCECFF"/>
          </w:tcPr>
          <w:p>
            <w:pPr>
              <w:spacing w:after="0"/>
              <w:rPr>
                <w:sz w:val="11"/>
                <w:szCs w:val="11"/>
                <w:color w:val="auto"/>
              </w:rPr>
            </w:pP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MeritDirect Holdings, LP </w:t>
            </w:r>
            <w:r>
              <w:rPr>
                <w:rFonts w:ascii="Times New Roman" w:cs="Times New Roman" w:eastAsia="Times New Roman" w:hAnsi="Times New Roman"/>
                <w:sz w:val="15"/>
                <w:szCs w:val="15"/>
                <w:color w:val="auto"/>
                <w:vertAlign w:val="superscript"/>
              </w:rPr>
              <w:t>(7), (8)</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98,635</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NXOF Holdings, Inc. (NextiraOne Federal, LLC)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PT Network Intermediate Holdings, LLC </w:t>
            </w:r>
            <w:r>
              <w:rPr>
                <w:rFonts w:ascii="Times New Roman" w:cs="Times New Roman" w:eastAsia="Times New Roman" w:hAnsi="Times New Roman"/>
                <w:sz w:val="15"/>
                <w:szCs w:val="15"/>
                <w:color w:val="auto"/>
                <w:vertAlign w:val="superscript"/>
              </w:rPr>
              <w:t>(7)</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239,333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680,580</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Signature CR Intermediate Holdco, Inc.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61,421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29,886</w:t>
            </w:r>
          </w:p>
        </w:tc>
        <w:tc>
          <w:tcPr>
            <w:tcW w:w="120" w:type="dxa"/>
            <w:vAlign w:val="bottom"/>
            <w:shd w:val="clear" w:color="auto" w:fill="CCECFF"/>
          </w:tcPr>
          <w:p>
            <w:pPr>
              <w:spacing w:after="0"/>
              <w:rPr>
                <w:sz w:val="11"/>
                <w:szCs w:val="11"/>
                <w:color w:val="auto"/>
              </w:rPr>
            </w:pPr>
          </w:p>
        </w:tc>
      </w:tr>
      <w:tr>
        <w:trPr>
          <w:trHeight w:val="132"/>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540,000</w:t>
            </w:r>
          </w:p>
        </w:tc>
        <w:tc>
          <w:tcPr>
            <w:tcW w:w="120" w:type="dxa"/>
            <w:vAlign w:val="bottom"/>
          </w:tcPr>
          <w:p>
            <w:pPr>
              <w:spacing w:after="0"/>
              <w:rPr>
                <w:sz w:val="11"/>
                <w:szCs w:val="11"/>
                <w:color w:val="auto"/>
              </w:rPr>
            </w:pPr>
          </w:p>
        </w:tc>
      </w:tr>
      <w:tr>
        <w:trPr>
          <w:trHeight w:val="141"/>
        </w:trPr>
        <w:tc>
          <w:tcPr>
            <w:tcW w:w="34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0"/>
                <w:szCs w:val="10"/>
                <w:color w:val="auto"/>
              </w:rPr>
              <w:t xml:space="preserve">Class A (US Dominion, Inc.) </w:t>
            </w:r>
            <w:r>
              <w:rPr>
                <w:rFonts w:ascii="Times New Roman" w:cs="Times New Roman" w:eastAsia="Times New Roman" w:hAnsi="Times New Roman"/>
                <w:sz w:val="16"/>
                <w:szCs w:val="16"/>
                <w:color w:val="auto"/>
                <w:vertAlign w:val="superscript"/>
              </w:rPr>
              <w:t>(7)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33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728,601</w:t>
            </w:r>
          </w:p>
        </w:tc>
        <w:tc>
          <w:tcPr>
            <w:tcW w:w="120" w:type="dxa"/>
            <w:vAlign w:val="bottom"/>
            <w:shd w:val="clear" w:color="auto" w:fill="CCECFF"/>
          </w:tcPr>
          <w:p>
            <w:pPr>
              <w:spacing w:after="0"/>
              <w:rPr>
                <w:sz w:val="11"/>
                <w:szCs w:val="11"/>
                <w:color w:val="auto"/>
              </w:rPr>
            </w:pPr>
          </w:p>
        </w:tc>
      </w:tr>
      <w:tr>
        <w:trPr>
          <w:trHeight w:val="136"/>
        </w:trPr>
        <w:tc>
          <w:tcPr>
            <w:tcW w:w="3340" w:type="dxa"/>
            <w:vAlign w:val="bottom"/>
            <w:shd w:val="clear" w:color="auto" w:fill="CCECFF"/>
          </w:tcPr>
          <w:p>
            <w:pPr>
              <w:ind w:left="120"/>
              <w:spacing w:after="0" w:line="136" w:lineRule="exact"/>
              <w:rPr>
                <w:sz w:val="20"/>
                <w:szCs w:val="20"/>
                <w:color w:val="auto"/>
              </w:rPr>
            </w:pPr>
            <w:r>
              <w:rPr>
                <w:rFonts w:ascii="Times New Roman" w:cs="Times New Roman" w:eastAsia="Times New Roman" w:hAnsi="Times New Roman"/>
                <w:sz w:val="9"/>
                <w:szCs w:val="9"/>
                <w:color w:val="auto"/>
              </w:rPr>
              <w:t xml:space="preserve">Class B (US Dominion, Inc.) </w:t>
            </w:r>
            <w:r>
              <w:rPr>
                <w:rFonts w:ascii="Times New Roman" w:cs="Times New Roman" w:eastAsia="Times New Roman" w:hAnsi="Times New Roman"/>
                <w:sz w:val="15"/>
                <w:szCs w:val="15"/>
                <w:color w:val="auto"/>
                <w:vertAlign w:val="superscript"/>
              </w:rPr>
              <w:t>(7)</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6"/>
        </w:trPr>
        <w:tc>
          <w:tcPr>
            <w:tcW w:w="3340" w:type="dxa"/>
            <w:vAlign w:val="bottom"/>
          </w:tcPr>
          <w:p>
            <w:pPr>
              <w:spacing w:after="0" w:line="136" w:lineRule="exact"/>
              <w:rPr>
                <w:sz w:val="20"/>
                <w:szCs w:val="20"/>
                <w:color w:val="auto"/>
              </w:rPr>
            </w:pPr>
            <w:r>
              <w:rPr>
                <w:rFonts w:ascii="Times New Roman" w:cs="Times New Roman" w:eastAsia="Times New Roman" w:hAnsi="Times New Roman"/>
                <w:sz w:val="9"/>
                <w:szCs w:val="9"/>
                <w:color w:val="auto"/>
              </w:rPr>
              <w:t xml:space="preserve">TPC Broadband Investors, LP </w:t>
            </w:r>
            <w:r>
              <w:rPr>
                <w:rFonts w:ascii="Times New Roman" w:cs="Times New Roman" w:eastAsia="Times New Roman" w:hAnsi="Times New Roman"/>
                <w:sz w:val="15"/>
                <w:szCs w:val="15"/>
                <w:color w:val="auto"/>
                <w:vertAlign w:val="superscript"/>
              </w:rPr>
              <w:t>(7)</w:t>
            </w:r>
          </w:p>
        </w:tc>
        <w:tc>
          <w:tcPr>
            <w:tcW w:w="120" w:type="dxa"/>
            <w:vAlign w:val="bottom"/>
          </w:tcPr>
          <w:p>
            <w:pPr>
              <w:spacing w:after="0"/>
              <w:rPr>
                <w:sz w:val="11"/>
                <w:szCs w:val="11"/>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754,821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754,820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1,589,878</w:t>
            </w:r>
          </w:p>
        </w:tc>
        <w:tc>
          <w:tcPr>
            <w:tcW w:w="120" w:type="dxa"/>
            <w:vAlign w:val="bottom"/>
          </w:tcPr>
          <w:p>
            <w:pPr>
              <w:spacing w:after="0"/>
              <w:rPr>
                <w:sz w:val="11"/>
                <w:szCs w:val="11"/>
                <w:color w:val="auto"/>
              </w:rPr>
            </w:pP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TPC Broadband Investors, LP </w:t>
            </w:r>
            <w:r>
              <w:rPr>
                <w:rFonts w:ascii="Times New Roman" w:cs="Times New Roman" w:eastAsia="Times New Roman" w:hAnsi="Times New Roman"/>
                <w:sz w:val="15"/>
                <w:szCs w:val="15"/>
                <w:color w:val="auto"/>
                <w:vertAlign w:val="superscript"/>
              </w:rPr>
              <w:t>(7), (8), (9)</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245,179</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UniTek Global Services, Inc. </w:t>
            </w:r>
            <w:r>
              <w:rPr>
                <w:rFonts w:ascii="Times New Roman" w:cs="Times New Roman" w:eastAsia="Times New Roman" w:hAnsi="Times New Roman"/>
                <w:sz w:val="15"/>
                <w:szCs w:val="15"/>
                <w:color w:val="auto"/>
                <w:vertAlign w:val="superscript"/>
              </w:rPr>
              <w:t>(7)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4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UniTek Global Services, Inc. (Warrants) </w:t>
            </w:r>
            <w:r>
              <w:rPr>
                <w:rFonts w:ascii="Times New Roman" w:cs="Times New Roman" w:eastAsia="Times New Roman" w:hAnsi="Times New Roman"/>
                <w:sz w:val="15"/>
                <w:szCs w:val="15"/>
                <w:color w:val="auto"/>
                <w:vertAlign w:val="superscript"/>
              </w:rPr>
              <w:t>(7)</w:t>
            </w: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3460" w:type="dxa"/>
            <w:vAlign w:val="bottom"/>
            <w:tcBorders>
              <w:bottom w:val="single" w:sz="8" w:color="CCECFF"/>
            </w:tcBorders>
            <w:gridSpan w:val="2"/>
          </w:tcPr>
          <w:p>
            <w:pPr>
              <w:spacing w:after="0" w:line="136" w:lineRule="exact"/>
              <w:rPr>
                <w:sz w:val="20"/>
                <w:szCs w:val="20"/>
                <w:color w:val="auto"/>
              </w:rPr>
            </w:pPr>
            <w:r>
              <w:rPr>
                <w:rFonts w:ascii="Times New Roman" w:cs="Times New Roman" w:eastAsia="Times New Roman" w:hAnsi="Times New Roman"/>
                <w:sz w:val="9"/>
                <w:szCs w:val="9"/>
                <w:color w:val="auto"/>
              </w:rPr>
              <w:t xml:space="preserve">WBB Equity, LLC </w:t>
            </w:r>
            <w:r>
              <w:rPr>
                <w:rFonts w:ascii="Times New Roman" w:cs="Times New Roman" w:eastAsia="Times New Roman" w:hAnsi="Times New Roman"/>
                <w:sz w:val="15"/>
                <w:szCs w:val="15"/>
                <w:color w:val="auto"/>
                <w:vertAlign w:val="superscript"/>
              </w:rPr>
              <w:t>(7), (8)</w:t>
            </w:r>
          </w:p>
        </w:tc>
        <w:tc>
          <w:tcPr>
            <w:tcW w:w="780" w:type="dxa"/>
            <w:vAlign w:val="bottom"/>
            <w:tcBorders>
              <w:bottom w:val="single" w:sz="8" w:color="CCECFF"/>
            </w:tcBorders>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48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498,572</w:t>
            </w:r>
          </w:p>
        </w:tc>
        <w:tc>
          <w:tcPr>
            <w:tcW w:w="120" w:type="dxa"/>
            <w:vAlign w:val="bottom"/>
            <w:tcBorders>
              <w:bottom w:val="single" w:sz="8" w:color="CCECFF"/>
            </w:tcBorders>
          </w:tcPr>
          <w:p>
            <w:pPr>
              <w:spacing w:after="0"/>
              <w:rPr>
                <w:sz w:val="11"/>
                <w:szCs w:val="11"/>
                <w:color w:val="auto"/>
              </w:rPr>
            </w:pPr>
          </w:p>
        </w:tc>
      </w:tr>
      <w:tr>
        <w:trPr>
          <w:trHeight w:val="129"/>
        </w:trPr>
        <w:tc>
          <w:tcPr>
            <w:tcW w:w="34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17,218,314</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32,301,030</w:t>
            </w:r>
          </w:p>
        </w:tc>
        <w:tc>
          <w:tcPr>
            <w:tcW w:w="120" w:type="dxa"/>
            <w:vAlign w:val="bottom"/>
            <w:shd w:val="clear" w:color="auto" w:fill="CCECFF"/>
          </w:tcPr>
          <w:p>
            <w:pPr>
              <w:spacing w:after="0"/>
              <w:rPr>
                <w:sz w:val="11"/>
                <w:szCs w:val="11"/>
                <w:color w:val="auto"/>
              </w:rPr>
            </w:pPr>
          </w:p>
        </w:tc>
      </w:tr>
      <w:tr>
        <w:trPr>
          <w:trHeight w:val="129"/>
        </w:trPr>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Total Investments in Non-Controlled, Non-Affiliated Portfolio Companies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886,955,156</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889,113,264</w:t>
            </w:r>
          </w:p>
        </w:tc>
        <w:tc>
          <w:tcPr>
            <w:tcW w:w="120" w:type="dxa"/>
            <w:vAlign w:val="bottom"/>
          </w:tcPr>
          <w:p>
            <w:pPr>
              <w:spacing w:after="0"/>
              <w:rPr>
                <w:sz w:val="11"/>
                <w:szCs w:val="1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2019</w:t>
      </w:r>
    </w:p>
    <w:tbl>
      <w:tblPr>
        <w:tblLayout w:type="fixed"/>
        <w:tblInd w:w="1" w:type="dxa"/>
        <w:tblCellMar>
          <w:top w:w="0" w:type="dxa"/>
          <w:left w:w="0" w:type="dxa"/>
          <w:bottom w:w="0" w:type="dxa"/>
          <w:right w:w="0" w:type="dxa"/>
        </w:tblCellMar>
      </w:tblPr>
      <w:tr>
        <w:trPr>
          <w:trHeight w:val="119"/>
        </w:trPr>
        <w:tc>
          <w:tcPr>
            <w:tcW w:w="2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16" w:lineRule="exact"/>
              <w:rPr>
                <w:sz w:val="20"/>
                <w:szCs w:val="20"/>
                <w:color w:val="auto"/>
              </w:rPr>
            </w:pPr>
            <w:r>
              <w:rPr>
                <w:rFonts w:ascii="Times New Roman" w:cs="Times New Roman" w:eastAsia="Times New Roman" w:hAnsi="Times New Roman"/>
                <w:sz w:val="11"/>
                <w:szCs w:val="11"/>
                <w:b w:val="1"/>
                <w:bCs w:val="1"/>
                <w:color w:val="auto"/>
              </w:rPr>
              <w:t>Current</w:t>
            </w:r>
          </w:p>
        </w:tc>
        <w:tc>
          <w:tcPr>
            <w:tcW w:w="92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680" w:type="dxa"/>
            <w:vAlign w:val="bottom"/>
          </w:tcPr>
          <w:p>
            <w:pPr>
              <w:jc w:val="right"/>
              <w:ind w:right="186"/>
              <w:spacing w:after="0" w:line="116"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920" w:type="dxa"/>
            <w:vAlign w:val="bottom"/>
          </w:tcPr>
          <w:p>
            <w:pPr>
              <w:jc w:val="center"/>
              <w:ind w:right="286"/>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6"/>
                <w:szCs w:val="16"/>
                <w:b w:val="1"/>
                <w:bCs w:val="1"/>
                <w:color w:val="auto"/>
                <w:vertAlign w:val="superscript"/>
              </w:rPr>
              <w:t>(1)</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0"/>
                <w:szCs w:val="10"/>
                <w:b w:val="1"/>
                <w:bCs w:val="1"/>
                <w:color w:val="auto"/>
                <w:w w:val="95"/>
              </w:rPr>
              <w:t xml:space="preserve">Fair Value </w:t>
            </w:r>
            <w:r>
              <w:rPr>
                <w:rFonts w:ascii="Times New Roman" w:cs="Times New Roman" w:eastAsia="Times New Roman" w:hAnsi="Times New Roman"/>
                <w:sz w:val="16"/>
                <w:szCs w:val="16"/>
                <w:b w:val="1"/>
                <w:bCs w:val="1"/>
                <w:color w:val="auto"/>
                <w:w w:val="95"/>
                <w:vertAlign w:val="superscript"/>
              </w:rPr>
              <w:t>(2)</w:t>
            </w:r>
          </w:p>
        </w:tc>
        <w:tc>
          <w:tcPr>
            <w:tcW w:w="0" w:type="dxa"/>
            <w:vAlign w:val="bottom"/>
          </w:tcPr>
          <w:p>
            <w:pPr>
              <w:spacing w:after="0"/>
              <w:rPr>
                <w:sz w:val="1"/>
                <w:szCs w:val="1"/>
                <w:color w:val="auto"/>
              </w:rPr>
            </w:pPr>
          </w:p>
        </w:tc>
      </w:tr>
      <w:tr>
        <w:trPr>
          <w:trHeight w:val="129"/>
        </w:trPr>
        <w:tc>
          <w:tcPr>
            <w:tcW w:w="4300" w:type="dxa"/>
            <w:vAlign w:val="bottom"/>
            <w:tcBorders>
              <w:top w:val="single" w:sz="8" w:color="auto"/>
            </w:tcBorders>
            <w:gridSpan w:val="4"/>
            <w:shd w:val="clear" w:color="auto" w:fill="CCECFF"/>
          </w:tcPr>
          <w:p>
            <w:pPr>
              <w:spacing w:after="0" w:line="129"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Companies—4.1% </w:t>
            </w:r>
            <w:r>
              <w:rPr>
                <w:rFonts w:ascii="Times New Roman" w:cs="Times New Roman" w:eastAsia="Times New Roman" w:hAnsi="Times New Roman"/>
                <w:sz w:val="14"/>
                <w:szCs w:val="14"/>
                <w:b w:val="1"/>
                <w:bCs w:val="1"/>
                <w:color w:val="auto"/>
                <w:vertAlign w:val="superscript"/>
              </w:rPr>
              <w:t>(3), (4)</w:t>
            </w:r>
          </w:p>
        </w:tc>
        <w:tc>
          <w:tcPr>
            <w:tcW w:w="22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Debt—0.9%</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Country Fresh Holdings, LLC </w:t>
            </w:r>
            <w:r>
              <w:rPr>
                <w:rFonts w:ascii="Times New Roman" w:cs="Times New Roman" w:eastAsia="Times New Roman" w:hAnsi="Times New Roman"/>
                <w:sz w:val="15"/>
                <w:szCs w:val="15"/>
                <w:color w:val="auto"/>
                <w:vertAlign w:val="superscript"/>
              </w:rPr>
              <w:t>(7)</w:t>
            </w:r>
          </w:p>
        </w:tc>
        <w:tc>
          <w:tcPr>
            <w:tcW w:w="9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9"/>
              </w:rPr>
              <w:t>05/01/2023</w:t>
            </w:r>
          </w:p>
        </w:tc>
        <w:tc>
          <w:tcPr>
            <w:tcW w:w="23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7.10%</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1,505,589</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line="136" w:lineRule="exact"/>
              <w:rPr>
                <w:sz w:val="20"/>
                <w:szCs w:val="20"/>
                <w:color w:val="auto"/>
              </w:rPr>
            </w:pPr>
            <w:r>
              <w:rPr>
                <w:rFonts w:ascii="Times New Roman" w:cs="Times New Roman" w:eastAsia="Times New Roman" w:hAnsi="Times New Roman"/>
                <w:sz w:val="9"/>
                <w:szCs w:val="9"/>
                <w:color w:val="auto"/>
              </w:rPr>
              <w:t xml:space="preserve">Country Fresh Holdings, LLC (Revolver) </w:t>
            </w:r>
            <w:r>
              <w:rPr>
                <w:rFonts w:ascii="Times New Roman" w:cs="Times New Roman" w:eastAsia="Times New Roman" w:hAnsi="Times New Roman"/>
                <w:sz w:val="15"/>
                <w:szCs w:val="15"/>
                <w:color w:val="auto"/>
                <w:vertAlign w:val="superscript"/>
              </w:rPr>
              <w:t>(7)</w:t>
            </w:r>
          </w:p>
        </w:tc>
        <w:tc>
          <w:tcPr>
            <w:tcW w:w="9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9"/>
              </w:rPr>
              <w:t>05/01/2023</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7.10%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769,038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769,038</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Country Fresh Holdings, LLC (Revolver) </w:t>
            </w:r>
            <w:r>
              <w:rPr>
                <w:rFonts w:ascii="Times New Roman" w:cs="Times New Roman" w:eastAsia="Times New Roman" w:hAnsi="Times New Roman"/>
                <w:sz w:val="15"/>
                <w:szCs w:val="15"/>
                <w:color w:val="auto"/>
                <w:vertAlign w:val="superscript"/>
              </w:rPr>
              <w:t>(7), (9)</w:t>
            </w:r>
          </w:p>
        </w:tc>
        <w:tc>
          <w:tcPr>
            <w:tcW w:w="920" w:type="dxa"/>
            <w:vAlign w:val="bottom"/>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9"/>
              </w:rPr>
              <w:t>05/01/2023</w:t>
            </w:r>
          </w:p>
        </w:tc>
        <w:tc>
          <w:tcPr>
            <w:tcW w:w="23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1,977,526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line="136" w:lineRule="exact"/>
              <w:rPr>
                <w:sz w:val="20"/>
                <w:szCs w:val="20"/>
                <w:color w:val="auto"/>
              </w:rPr>
            </w:pPr>
            <w:r>
              <w:rPr>
                <w:rFonts w:ascii="Times New Roman" w:cs="Times New Roman" w:eastAsia="Times New Roman" w:hAnsi="Times New Roman"/>
                <w:sz w:val="9"/>
                <w:szCs w:val="9"/>
                <w:color w:val="auto"/>
              </w:rPr>
              <w:t xml:space="preserve">Quick Weight Loss Centers, LLC </w:t>
            </w:r>
            <w:r>
              <w:rPr>
                <w:rFonts w:ascii="Times New Roman" w:cs="Times New Roman" w:eastAsia="Times New Roman" w:hAnsi="Times New Roman"/>
                <w:sz w:val="15"/>
                <w:szCs w:val="15"/>
                <w:color w:val="auto"/>
                <w:vertAlign w:val="superscript"/>
              </w:rPr>
              <w:t>(7)</w:t>
            </w:r>
          </w:p>
        </w:tc>
        <w:tc>
          <w:tcPr>
            <w:tcW w:w="9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9"/>
              </w:rPr>
              <w:t>10/12/2023</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2,016,667</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2,016,667</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2,036,833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4.00%)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4,291,294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4,350,032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Debt—1.1%</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380" w:type="dxa"/>
            <w:vAlign w:val="bottom"/>
            <w:gridSpan w:val="3"/>
          </w:tcPr>
          <w:p>
            <w:pPr>
              <w:spacing w:after="0" w:line="140" w:lineRule="exact"/>
              <w:rPr>
                <w:sz w:val="20"/>
                <w:szCs w:val="20"/>
                <w:color w:val="auto"/>
              </w:rPr>
            </w:pPr>
            <w:r>
              <w:rPr>
                <w:rFonts w:ascii="Times New Roman" w:cs="Times New Roman" w:eastAsia="Times New Roman" w:hAnsi="Times New Roman"/>
                <w:sz w:val="10"/>
                <w:szCs w:val="10"/>
                <w:color w:val="auto"/>
              </w:rPr>
              <w:t xml:space="preserve">Country Fresh Holdings, LLC </w:t>
            </w:r>
            <w:r>
              <w:rPr>
                <w:rFonts w:ascii="Times New Roman" w:cs="Times New Roman" w:eastAsia="Times New Roman" w:hAnsi="Times New Roman"/>
                <w:sz w:val="16"/>
                <w:szCs w:val="16"/>
                <w:color w:val="auto"/>
                <w:vertAlign w:val="superscript"/>
              </w:rPr>
              <w:t>(7)</w:t>
            </w:r>
          </w:p>
        </w:tc>
        <w:tc>
          <w:tcPr>
            <w:tcW w:w="920" w:type="dxa"/>
            <w:vAlign w:val="bottom"/>
          </w:tcPr>
          <w:p>
            <w:pPr>
              <w:jc w:val="center"/>
              <w:ind w:right="286"/>
              <w:spacing w:after="0"/>
              <w:rPr>
                <w:sz w:val="20"/>
                <w:szCs w:val="20"/>
                <w:color w:val="auto"/>
              </w:rPr>
            </w:pPr>
            <w:r>
              <w:rPr>
                <w:rFonts w:ascii="Times New Roman" w:cs="Times New Roman" w:eastAsia="Times New Roman" w:hAnsi="Times New Roman"/>
                <w:sz w:val="11"/>
                <w:szCs w:val="11"/>
                <w:color w:val="auto"/>
                <w:w w:val="99"/>
              </w:rPr>
              <w:t>04/29/2024</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10.60%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5,314,125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5,314,125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5,314,125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10.60%)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Borders>
              <w:bottom w:val="single" w:sz="8" w:color="CCECFF"/>
            </w:tcBorders>
            <w:gridSpan w:val="2"/>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Quick Weight Loss Centers, LLC </w:t>
            </w:r>
            <w:r>
              <w:rPr>
                <w:rFonts w:ascii="Times New Roman" w:cs="Times New Roman" w:eastAsia="Times New Roman" w:hAnsi="Times New Roman"/>
                <w:sz w:val="15"/>
                <w:szCs w:val="15"/>
                <w:color w:val="auto"/>
                <w:vertAlign w:val="superscript"/>
              </w:rPr>
              <w:t>(7)</w:t>
            </w:r>
          </w:p>
        </w:tc>
        <w:tc>
          <w:tcPr>
            <w:tcW w:w="10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jc w:val="center"/>
              <w:ind w:right="286"/>
              <w:spacing w:after="0"/>
              <w:rPr>
                <w:sz w:val="20"/>
                <w:szCs w:val="20"/>
                <w:color w:val="auto"/>
              </w:rPr>
            </w:pPr>
            <w:r>
              <w:rPr>
                <w:rFonts w:ascii="Times New Roman" w:cs="Times New Roman" w:eastAsia="Times New Roman" w:hAnsi="Times New Roman"/>
                <w:sz w:val="11"/>
                <w:szCs w:val="11"/>
                <w:color w:val="auto"/>
                <w:w w:val="99"/>
              </w:rPr>
              <w:t>10/12/2023</w:t>
            </w:r>
          </w:p>
        </w:tc>
        <w:tc>
          <w:tcPr>
            <w:tcW w:w="2320" w:type="dxa"/>
            <w:vAlign w:val="bottom"/>
            <w:tcBorders>
              <w:bottom w:val="single" w:sz="8" w:color="CCECFF"/>
            </w:tcBorders>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4.00%</w:t>
            </w: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233,572</w:t>
            </w:r>
          </w:p>
        </w:tc>
        <w:tc>
          <w:tcPr>
            <w:tcW w:w="2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233,572</w:t>
            </w:r>
          </w:p>
        </w:tc>
        <w:tc>
          <w:tcPr>
            <w:tcW w:w="24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235,908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4.00%)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5,547,697</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5,550,033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gridSpan w:val="2"/>
          </w:tcPr>
          <w:p>
            <w:pPr>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Preferred Equity—0.2% </w:t>
            </w:r>
            <w:r>
              <w:rPr>
                <w:rFonts w:ascii="Times New Roman" w:cs="Times New Roman" w:eastAsia="Times New Roman" w:hAnsi="Times New Roman"/>
                <w:sz w:val="15"/>
                <w:szCs w:val="15"/>
                <w:b w:val="1"/>
                <w:bCs w:val="1"/>
                <w:color w:val="auto"/>
                <w:vertAlign w:val="superscript"/>
              </w:rPr>
              <w:t>(6)</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Quick Weight Loss Centers Holdings, LLC </w:t>
            </w:r>
            <w:r>
              <w:rPr>
                <w:rFonts w:ascii="Times New Roman" w:cs="Times New Roman" w:eastAsia="Times New Roman" w:hAnsi="Times New Roman"/>
                <w:sz w:val="15"/>
                <w:szCs w:val="15"/>
                <w:color w:val="auto"/>
                <w:vertAlign w:val="superscript"/>
              </w:rPr>
              <w:t>(7), (8)</w:t>
            </w:r>
          </w:p>
        </w:tc>
        <w:tc>
          <w:tcPr>
            <w:tcW w:w="92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3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9,568,216</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842,352</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891,816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842,352</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891,816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b w:val="1"/>
                <w:bCs w:val="1"/>
                <w:color w:val="auto"/>
              </w:rPr>
              <w:t xml:space="preserve">Common Equity/Warrants—1.9% </w:t>
            </w:r>
            <w:r>
              <w:rPr>
                <w:rFonts w:ascii="Times New Roman" w:cs="Times New Roman" w:eastAsia="Times New Roman" w:hAnsi="Times New Roman"/>
                <w:sz w:val="15"/>
                <w:szCs w:val="15"/>
                <w:b w:val="1"/>
                <w:bCs w:val="1"/>
                <w:color w:val="auto"/>
                <w:vertAlign w:val="superscript"/>
              </w:rPr>
              <w:t>(6)</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line="136" w:lineRule="exact"/>
              <w:rPr>
                <w:sz w:val="20"/>
                <w:szCs w:val="20"/>
                <w:color w:val="auto"/>
              </w:rPr>
            </w:pPr>
            <w:r>
              <w:rPr>
                <w:rFonts w:ascii="Times New Roman" w:cs="Times New Roman" w:eastAsia="Times New Roman" w:hAnsi="Times New Roman"/>
                <w:sz w:val="9"/>
                <w:szCs w:val="9"/>
                <w:color w:val="auto"/>
              </w:rPr>
              <w:t xml:space="preserve">Country Fresh Holding Company Inc. </w:t>
            </w:r>
            <w:r>
              <w:rPr>
                <w:rFonts w:ascii="Times New Roman" w:cs="Times New Roman" w:eastAsia="Times New Roman" w:hAnsi="Times New Roman"/>
                <w:sz w:val="15"/>
                <w:szCs w:val="15"/>
                <w:color w:val="auto"/>
                <w:vertAlign w:val="superscript"/>
              </w:rPr>
              <w:t>(7)</w:t>
            </w:r>
          </w:p>
        </w:tc>
        <w:tc>
          <w:tcPr>
            <w:tcW w:w="9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10,453,350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6,864,302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Quick Weight Loss Centers, LLC </w:t>
            </w:r>
            <w:r>
              <w:rPr>
                <w:rFonts w:ascii="Times New Roman" w:cs="Times New Roman" w:eastAsia="Times New Roman" w:hAnsi="Times New Roman"/>
                <w:sz w:val="15"/>
                <w:szCs w:val="15"/>
                <w:color w:val="auto"/>
                <w:vertAlign w:val="superscript"/>
              </w:rPr>
              <w:t>(7), (8)</w:t>
            </w:r>
          </w:p>
        </w:tc>
        <w:tc>
          <w:tcPr>
            <w:tcW w:w="92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3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2,520,000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2,774,382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920" w:type="dxa"/>
            <w:vAlign w:val="bottom"/>
            <w:tcBorders>
              <w:bottom w:val="single" w:sz="8" w:color="CCECFF"/>
            </w:tcBorders>
          </w:tcPr>
          <w:p>
            <w:pPr>
              <w:spacing w:after="0"/>
              <w:rPr>
                <w:sz w:val="11"/>
                <w:szCs w:val="11"/>
                <w:color w:val="auto"/>
              </w:rPr>
            </w:pPr>
          </w:p>
        </w:tc>
        <w:tc>
          <w:tcPr>
            <w:tcW w:w="22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12,973,350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9,638,684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23,654,693</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20,430,565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tcPr>
          <w:p>
            <w:pPr>
              <w:spacing w:after="0" w:line="129" w:lineRule="exact"/>
              <w:rPr>
                <w:sz w:val="20"/>
                <w:szCs w:val="20"/>
                <w:color w:val="auto"/>
              </w:rPr>
            </w:pPr>
            <w:r>
              <w:rPr>
                <w:rFonts w:ascii="Times New Roman" w:cs="Times New Roman" w:eastAsia="Times New Roman" w:hAnsi="Times New Roman"/>
                <w:sz w:val="9"/>
                <w:szCs w:val="9"/>
                <w:b w:val="1"/>
                <w:bCs w:val="1"/>
                <w:color w:val="auto"/>
              </w:rPr>
              <w:t xml:space="preserve">Investments in Controlled, Affiliated Portfolio Companies—34.2% </w:t>
            </w:r>
            <w:r>
              <w:rPr>
                <w:rFonts w:ascii="Times New Roman" w:cs="Times New Roman" w:eastAsia="Times New Roman" w:hAnsi="Times New Roman"/>
                <w:sz w:val="14"/>
                <w:szCs w:val="14"/>
                <w:b w:val="1"/>
                <w:bCs w:val="1"/>
                <w:color w:val="auto"/>
                <w:vertAlign w:val="superscript"/>
              </w:rPr>
              <w:t>(3), (4)</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Debt—24.3%</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Borders>
              <w:bottom w:val="single" w:sz="8" w:color="CCECFF"/>
            </w:tcBorders>
            <w:gridSpan w:val="3"/>
          </w:tcPr>
          <w:p>
            <w:pPr>
              <w:spacing w:after="0" w:line="136" w:lineRule="exact"/>
              <w:rPr>
                <w:sz w:val="20"/>
                <w:szCs w:val="20"/>
                <w:color w:val="auto"/>
              </w:rPr>
            </w:pPr>
            <w:r>
              <w:rPr>
                <w:rFonts w:ascii="Times New Roman" w:cs="Times New Roman" w:eastAsia="Times New Roman" w:hAnsi="Times New Roman"/>
                <w:sz w:val="9"/>
                <w:szCs w:val="9"/>
                <w:color w:val="auto"/>
              </w:rPr>
              <w:t xml:space="preserve">PennantPark Senior Secured Loan Fund I LLC </w:t>
            </w:r>
            <w:r>
              <w:rPr>
                <w:rFonts w:ascii="Times New Roman" w:cs="Times New Roman" w:eastAsia="Times New Roman" w:hAnsi="Times New Roman"/>
                <w:sz w:val="15"/>
                <w:szCs w:val="15"/>
                <w:color w:val="auto"/>
                <w:vertAlign w:val="superscript"/>
              </w:rPr>
              <w:t>(7), (9), (10)</w:t>
            </w:r>
          </w:p>
        </w:tc>
        <w:tc>
          <w:tcPr>
            <w:tcW w:w="920" w:type="dxa"/>
            <w:vAlign w:val="bottom"/>
            <w:tcBorders>
              <w:bottom w:val="single" w:sz="8" w:color="CCECFF"/>
            </w:tcBorders>
          </w:tcPr>
          <w:p>
            <w:pPr>
              <w:jc w:val="center"/>
              <w:ind w:right="286"/>
              <w:spacing w:after="0"/>
              <w:rPr>
                <w:sz w:val="20"/>
                <w:szCs w:val="20"/>
                <w:color w:val="auto"/>
              </w:rPr>
            </w:pPr>
            <w:r>
              <w:rPr>
                <w:rFonts w:ascii="Times New Roman" w:cs="Times New Roman" w:eastAsia="Times New Roman" w:hAnsi="Times New Roman"/>
                <w:sz w:val="11"/>
                <w:szCs w:val="11"/>
                <w:color w:val="auto"/>
                <w:w w:val="99"/>
              </w:rPr>
              <w:t>05/06/2024</w:t>
            </w:r>
          </w:p>
        </w:tc>
        <w:tc>
          <w:tcPr>
            <w:tcW w:w="2320" w:type="dxa"/>
            <w:vAlign w:val="bottom"/>
            <w:tcBorders>
              <w:bottom w:val="single" w:sz="8" w:color="CCECFF"/>
            </w:tcBorders>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10.10%</w:t>
            </w:r>
          </w:p>
        </w:tc>
        <w:tc>
          <w:tcPr>
            <w:tcW w:w="920" w:type="dxa"/>
            <w:vAlign w:val="bottom"/>
            <w:tcBorders>
              <w:bottom w:val="single" w:sz="8" w:color="CCECFF"/>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L+800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122,193,750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122,193,750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122,193,750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122,193,750</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122,193,750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Equity Interests—9.9%</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line="136" w:lineRule="exact"/>
              <w:rPr>
                <w:sz w:val="20"/>
                <w:szCs w:val="20"/>
                <w:color w:val="auto"/>
              </w:rPr>
            </w:pPr>
            <w:r>
              <w:rPr>
                <w:rFonts w:ascii="Times New Roman" w:cs="Times New Roman" w:eastAsia="Times New Roman" w:hAnsi="Times New Roman"/>
                <w:sz w:val="9"/>
                <w:szCs w:val="9"/>
                <w:color w:val="auto"/>
              </w:rPr>
              <w:t xml:space="preserve">PennantPark Senior Secured Loan Fund I LLC </w:t>
            </w:r>
            <w:r>
              <w:rPr>
                <w:rFonts w:ascii="Times New Roman" w:cs="Times New Roman" w:eastAsia="Times New Roman" w:hAnsi="Times New Roman"/>
                <w:sz w:val="15"/>
                <w:szCs w:val="15"/>
                <w:color w:val="auto"/>
                <w:vertAlign w:val="superscript"/>
              </w:rPr>
              <w:t>(7), (9), (10)</w:t>
            </w:r>
          </w:p>
        </w:tc>
        <w:tc>
          <w:tcPr>
            <w:tcW w:w="92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23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52,369</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52,368,750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49,969,330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920" w:type="dxa"/>
            <w:vAlign w:val="bottom"/>
            <w:tcBorders>
              <w:bottom w:val="single" w:sz="8" w:color="CCECFF"/>
            </w:tcBorders>
          </w:tcPr>
          <w:p>
            <w:pPr>
              <w:spacing w:after="0"/>
              <w:rPr>
                <w:sz w:val="11"/>
                <w:szCs w:val="11"/>
                <w:color w:val="auto"/>
              </w:rPr>
            </w:pPr>
          </w:p>
        </w:tc>
        <w:tc>
          <w:tcPr>
            <w:tcW w:w="22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52,368,750</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49,969,330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174,562,500</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172,163,080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Investments—215.0%</w:t>
            </w:r>
          </w:p>
        </w:tc>
        <w:tc>
          <w:tcPr>
            <w:tcW w:w="920" w:type="dxa"/>
            <w:vAlign w:val="bottom"/>
            <w:tcBorders>
              <w:bottom w:val="single" w:sz="8" w:color="CCECFF"/>
            </w:tcBorders>
          </w:tcPr>
          <w:p>
            <w:pPr>
              <w:spacing w:after="0"/>
              <w:rPr>
                <w:sz w:val="11"/>
                <w:szCs w:val="11"/>
                <w:color w:val="auto"/>
              </w:rPr>
            </w:pPr>
          </w:p>
        </w:tc>
        <w:tc>
          <w:tcPr>
            <w:tcW w:w="22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1,085,172,349</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1,081,706,909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Equivalents—12.6%</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9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18,053,873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18,053,873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BNY Mellon Cash</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45,313,364</w:t>
            </w:r>
          </w:p>
        </w:tc>
        <w:tc>
          <w:tcPr>
            <w:tcW w:w="24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45,283,855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920" w:type="dxa"/>
            <w:vAlign w:val="bottom"/>
            <w:tcBorders>
              <w:bottom w:val="single" w:sz="8" w:color="CCECFF"/>
            </w:tcBorders>
          </w:tcPr>
          <w:p>
            <w:pPr>
              <w:spacing w:after="0"/>
              <w:rPr>
                <w:sz w:val="11"/>
                <w:szCs w:val="11"/>
                <w:color w:val="auto"/>
              </w:rPr>
            </w:pPr>
          </w:p>
        </w:tc>
        <w:tc>
          <w:tcPr>
            <w:tcW w:w="22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63,367,237</w:t>
            </w:r>
          </w:p>
        </w:tc>
        <w:tc>
          <w:tcPr>
            <w:tcW w:w="24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63,337,728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Equivalents—227.6%</w:t>
            </w:r>
          </w:p>
        </w:tc>
        <w:tc>
          <w:tcPr>
            <w:tcW w:w="920" w:type="dxa"/>
            <w:vAlign w:val="bottom"/>
            <w:shd w:val="clear" w:color="auto" w:fill="CCECFF"/>
          </w:tcPr>
          <w:p>
            <w:pPr>
              <w:spacing w:after="0"/>
              <w:rPr>
                <w:sz w:val="11"/>
                <w:szCs w:val="11"/>
                <w:color w:val="auto"/>
              </w:rPr>
            </w:pPr>
          </w:p>
        </w:tc>
        <w:tc>
          <w:tcPr>
            <w:tcW w:w="2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1,148,539,586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1,145,044,637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CFF"/>
              <w:bottom w:val="single" w:sz="8" w:color="CCECFF"/>
            </w:tcBorders>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Assets—(127.6)%</w:t>
            </w:r>
          </w:p>
        </w:tc>
        <w:tc>
          <w:tcPr>
            <w:tcW w:w="92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3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(641,987,126)</w:t>
            </w:r>
          </w:p>
        </w:tc>
        <w:tc>
          <w:tcPr>
            <w:tcW w:w="0" w:type="dxa"/>
            <w:vAlign w:val="bottom"/>
          </w:tcPr>
          <w:p>
            <w:pPr>
              <w:spacing w:after="0"/>
              <w:rPr>
                <w:sz w:val="1"/>
                <w:szCs w:val="1"/>
                <w:color w:val="auto"/>
              </w:rPr>
            </w:pPr>
          </w:p>
        </w:tc>
      </w:tr>
      <w:tr>
        <w:trPr>
          <w:trHeight w:val="136"/>
        </w:trPr>
        <w:tc>
          <w:tcPr>
            <w:tcW w:w="338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920" w:type="dxa"/>
            <w:vAlign w:val="bottom"/>
            <w:tcBorders>
              <w:bottom w:val="single" w:sz="8" w:color="CCECFF"/>
            </w:tcBorders>
            <w:shd w:val="clear" w:color="auto" w:fill="CCECFF"/>
          </w:tcPr>
          <w:p>
            <w:pPr>
              <w:spacing w:after="0"/>
              <w:rPr>
                <w:sz w:val="11"/>
                <w:szCs w:val="11"/>
                <w:color w:val="auto"/>
              </w:rPr>
            </w:pPr>
          </w:p>
        </w:tc>
        <w:tc>
          <w:tcPr>
            <w:tcW w:w="2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503,057,511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61" w:right="120" w:hanging="361"/>
        <w:spacing w:after="0" w:line="247" w:lineRule="auto"/>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8"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spacing w:after="0" w:line="34" w:lineRule="exact"/>
        <w:rPr>
          <w:rFonts w:ascii="Times New Roman" w:cs="Times New Roman" w:eastAsia="Times New Roman" w:hAnsi="Times New Roman"/>
          <w:sz w:val="11"/>
          <w:szCs w:val="11"/>
          <w:color w:val="auto"/>
        </w:rPr>
      </w:pPr>
    </w:p>
    <w:p>
      <w:pPr>
        <w:ind w:left="361" w:right="100" w:hanging="361"/>
        <w:spacing w:after="0" w:line="259" w:lineRule="auto"/>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1" w:lineRule="exact"/>
        <w:rPr>
          <w:rFonts w:ascii="Times New Roman" w:cs="Times New Roman" w:eastAsia="Times New Roman" w:hAnsi="Times New Roman"/>
          <w:sz w:val="11"/>
          <w:szCs w:val="11"/>
          <w:color w:val="auto"/>
        </w:rPr>
      </w:pPr>
    </w:p>
    <w:p>
      <w:pPr>
        <w:ind w:left="361" w:right="20" w:hanging="361"/>
        <w:spacing w:after="0" w:line="259" w:lineRule="auto"/>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Non-income producing securities.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through our Taxable Subsidiary (See Note 1).</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4" w:lineRule="exact"/>
        <w:rPr>
          <w:rFonts w:ascii="Times New Roman" w:cs="Times New Roman" w:eastAsia="Times New Roman" w:hAnsi="Times New Roman"/>
          <w:sz w:val="11"/>
          <w:szCs w:val="11"/>
          <w:color w:val="auto"/>
        </w:rPr>
      </w:pPr>
    </w:p>
    <w:p>
      <w:pPr>
        <w:ind w:left="361" w:right="200" w:hanging="361"/>
        <w:spacing w:after="0" w:line="259" w:lineRule="auto"/>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Canadian Dollars (C$) as denoted.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4"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ind w:right="-19"/>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13" w:lineRule="exact"/>
        <w:rPr>
          <w:sz w:val="20"/>
          <w:szCs w:val="20"/>
          <w:color w:val="auto"/>
        </w:rPr>
      </w:pPr>
    </w:p>
    <w:p>
      <w:pPr>
        <w:ind w:right="240" w:firstLine="439"/>
        <w:spacing w:after="0" w:line="254" w:lineRule="auto"/>
        <w:rPr>
          <w:sz w:val="20"/>
          <w:szCs w:val="20"/>
          <w:color w:val="auto"/>
        </w:rPr>
      </w:pPr>
      <w:r>
        <w:rPr>
          <w:rFonts w:ascii="Times New Roman" w:cs="Times New Roman" w:eastAsia="Times New Roman" w:hAnsi="Times New Roman"/>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92" w:lineRule="exact"/>
        <w:rPr>
          <w:sz w:val="20"/>
          <w:szCs w:val="20"/>
          <w:color w:val="auto"/>
        </w:rPr>
      </w:pPr>
    </w:p>
    <w:p>
      <w:pPr>
        <w:ind w:right="40" w:firstLine="439"/>
        <w:spacing w:after="0" w:line="228" w:lineRule="auto"/>
        <w:rPr>
          <w:sz w:val="20"/>
          <w:szCs w:val="20"/>
          <w:color w:val="auto"/>
        </w:rPr>
      </w:pPr>
      <w:r>
        <w:rPr>
          <w:rFonts w:ascii="Times New Roman" w:cs="Times New Roman" w:eastAsia="Times New Roman" w:hAnsi="Times New Roman"/>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02" w:lineRule="exact"/>
        <w:rPr>
          <w:sz w:val="20"/>
          <w:szCs w:val="20"/>
          <w:color w:val="auto"/>
        </w:rPr>
      </w:pPr>
    </w:p>
    <w:p>
      <w:pPr>
        <w:ind w:right="40" w:firstLine="439"/>
        <w:spacing w:after="0" w:line="254" w:lineRule="auto"/>
        <w:rPr>
          <w:sz w:val="20"/>
          <w:szCs w:val="20"/>
          <w:color w:val="auto"/>
        </w:rPr>
      </w:pPr>
      <w:r>
        <w:rPr>
          <w:rFonts w:ascii="Times New Roman" w:cs="Times New Roman" w:eastAsia="Times New Roman" w:hAnsi="Times New Roman"/>
          <w:sz w:val="13"/>
          <w:szCs w:val="13"/>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80" w:lineRule="exact"/>
        <w:rPr>
          <w:sz w:val="20"/>
          <w:szCs w:val="20"/>
          <w:color w:val="auto"/>
        </w:rPr>
      </w:pPr>
    </w:p>
    <w:p>
      <w:pPr>
        <w:ind w:right="60" w:firstLine="439"/>
        <w:spacing w:after="0" w:line="233" w:lineRule="auto"/>
        <w:rPr>
          <w:sz w:val="20"/>
          <w:szCs w:val="20"/>
          <w:color w:val="auto"/>
        </w:rPr>
      </w:pPr>
      <w:r>
        <w:rPr>
          <w:rFonts w:ascii="Times New Roman" w:cs="Times New Roman" w:eastAsia="Times New Roman" w:hAnsi="Times New Roman"/>
          <w:sz w:val="13"/>
          <w:szCs w:val="13"/>
          <w:color w:val="auto"/>
        </w:rPr>
        <w:t>Funding I, our wholly-owned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(or an alternative risk-free floating interest rate index) plus 200 basis points during the revolving period. The Credit Facility is secured by all of the assets held by Funding I. See Note 11.</w:t>
      </w:r>
    </w:p>
    <w:p>
      <w:pPr>
        <w:spacing w:after="0" w:line="101" w:lineRule="exact"/>
        <w:rPr>
          <w:sz w:val="20"/>
          <w:szCs w:val="20"/>
          <w:color w:val="auto"/>
        </w:rPr>
      </w:pPr>
    </w:p>
    <w:p>
      <w:pPr>
        <w:ind w:right="180" w:firstLine="439"/>
        <w:spacing w:after="0" w:line="254"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2"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See Note 4.</w:t>
      </w:r>
    </w:p>
    <w:p>
      <w:pPr>
        <w:spacing w:after="0" w:line="92"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101"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11.</w:t>
      </w:r>
    </w:p>
    <w:p>
      <w:pPr>
        <w:spacing w:after="0" w:line="101"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25" w:lineRule="exact"/>
        <w:rPr>
          <w:sz w:val="20"/>
          <w:szCs w:val="20"/>
          <w:color w:val="auto"/>
        </w:rPr>
      </w:pPr>
    </w:p>
    <w:p>
      <w:pPr>
        <w:ind w:right="60" w:firstLine="439"/>
        <w:spacing w:after="0" w:line="22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93" w:lineRule="exact"/>
        <w:rPr>
          <w:sz w:val="20"/>
          <w:szCs w:val="20"/>
          <w:color w:val="auto"/>
        </w:rPr>
      </w:pPr>
    </w:p>
    <w:p>
      <w:pPr>
        <w:jc w:val="both"/>
        <w:ind w:right="40" w:firstLine="439"/>
        <w:spacing w:after="0" w:line="237"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15" w:lineRule="exact"/>
        <w:rPr>
          <w:sz w:val="20"/>
          <w:szCs w:val="20"/>
          <w:color w:val="auto"/>
        </w:rPr>
      </w:pPr>
    </w:p>
    <w:p>
      <w:pPr>
        <w:ind w:firstLine="439"/>
        <w:spacing w:after="0" w:line="22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5" w:lineRule="exact"/>
        <w:rPr>
          <w:sz w:val="20"/>
          <w:szCs w:val="20"/>
          <w:color w:val="auto"/>
        </w:rPr>
      </w:pPr>
    </w:p>
    <w:p>
      <w:pPr>
        <w:ind w:right="480" w:firstLine="439"/>
        <w:spacing w:after="0" w:line="254"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0" w:lineRule="exact"/>
        <w:rPr>
          <w:sz w:val="20"/>
          <w:szCs w:val="20"/>
          <w:color w:val="auto"/>
        </w:rPr>
      </w:pPr>
    </w:p>
    <w:p>
      <w:pPr>
        <w:ind w:left="900" w:right="200" w:hanging="356"/>
        <w:spacing w:after="0" w:line="254" w:lineRule="auto"/>
        <w:tabs>
          <w:tab w:leader="none" w:pos="9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92"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valuation conclusions are then documented and discussed with the management of the Investment Adviser;</w:t>
      </w:r>
    </w:p>
    <w:p>
      <w:pPr>
        <w:spacing w:after="0" w:line="123" w:lineRule="exact"/>
        <w:rPr>
          <w:rFonts w:ascii="Times New Roman" w:cs="Times New Roman" w:eastAsia="Times New Roman" w:hAnsi="Times New Roman"/>
          <w:sz w:val="13"/>
          <w:szCs w:val="13"/>
          <w:color w:val="auto"/>
        </w:rPr>
      </w:pPr>
    </w:p>
    <w:p>
      <w:pPr>
        <w:jc w:val="both"/>
        <w:ind w:left="900" w:hanging="356"/>
        <w:spacing w:after="0" w:line="237" w:lineRule="auto"/>
        <w:tabs>
          <w:tab w:leader="none" w:pos="9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2" w:lineRule="exact"/>
        <w:rPr>
          <w:rFonts w:ascii="Times New Roman" w:cs="Times New Roman" w:eastAsia="Times New Roman" w:hAnsi="Times New Roman"/>
          <w:sz w:val="13"/>
          <w:szCs w:val="13"/>
          <w:color w:val="auto"/>
        </w:rPr>
      </w:pPr>
    </w:p>
    <w:p>
      <w:pPr>
        <w:ind w:left="900" w:right="20" w:hanging="356"/>
        <w:spacing w:after="0" w:line="254" w:lineRule="auto"/>
        <w:tabs>
          <w:tab w:leader="none" w:pos="9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2" w:lineRule="exact"/>
        <w:rPr>
          <w:rFonts w:ascii="Times New Roman" w:cs="Times New Roman" w:eastAsia="Times New Roman" w:hAnsi="Times New Roman"/>
          <w:sz w:val="13"/>
          <w:szCs w:val="13"/>
          <w:color w:val="auto"/>
        </w:rPr>
      </w:pPr>
    </w:p>
    <w:p>
      <w:pPr>
        <w:ind w:left="900" w:right="360" w:hanging="356"/>
        <w:spacing w:after="0" w:line="254" w:lineRule="auto"/>
        <w:tabs>
          <w:tab w:leader="none" w:pos="9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2"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27" w:lineRule="exact"/>
        <w:rPr>
          <w:sz w:val="20"/>
          <w:szCs w:val="20"/>
          <w:color w:val="auto"/>
        </w:rPr>
      </w:pPr>
    </w:p>
    <w:p>
      <w:pPr>
        <w:ind w:right="120" w:firstLine="439"/>
        <w:spacing w:after="0" w:line="233"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89" w:lineRule="exact"/>
        <w:rPr>
          <w:sz w:val="20"/>
          <w:szCs w:val="20"/>
          <w:color w:val="auto"/>
        </w:rPr>
      </w:pPr>
    </w:p>
    <w:p>
      <w:pPr>
        <w:ind w:firstLine="439"/>
        <w:spacing w:after="0" w:line="22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05" w:lineRule="exact"/>
        <w:rPr>
          <w:sz w:val="20"/>
          <w:szCs w:val="20"/>
          <w:color w:val="auto"/>
        </w:rPr>
      </w:pPr>
    </w:p>
    <w:p>
      <w:pPr>
        <w:ind w:right="120" w:firstLine="439"/>
        <w:spacing w:after="0" w:line="230"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2020, we had three portfolio companies on non-accrual, representing 2.1% and 1.8% of our overall portfolio on a cost and fair value basis, respectively. As of September 30, 2019, we had one portfolio company on non-accrual, representing 0.4% and zero of our overall portfolio on a cost and fair value basis, respectively.</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Income Taxes</w:t>
      </w:r>
    </w:p>
    <w:p>
      <w:pPr>
        <w:spacing w:after="0" w:line="115" w:lineRule="exact"/>
        <w:rPr>
          <w:sz w:val="20"/>
          <w:szCs w:val="20"/>
          <w:color w:val="auto"/>
        </w:rPr>
      </w:pPr>
    </w:p>
    <w:p>
      <w:pPr>
        <w:ind w:right="40" w:firstLine="439"/>
        <w:spacing w:after="0" w:line="228"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expect to be treated as a RIC for federal income tax purposes. In this regard, we account for income taxes using the asset and liability method prescribed by ASC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years ended September 30, 2020, 2019 and 2018, we recorded a provision for taxes of $0.4 million, zero and $0.8 million, respectively, pertaining to U.S. federal excise tax.</w:t>
      </w:r>
    </w:p>
    <w:p>
      <w:pPr>
        <w:spacing w:after="0" w:line="102" w:lineRule="exact"/>
        <w:rPr>
          <w:sz w:val="20"/>
          <w:szCs w:val="20"/>
          <w:color w:val="auto"/>
        </w:rPr>
      </w:pPr>
    </w:p>
    <w:p>
      <w:pPr>
        <w:ind w:right="120" w:firstLine="439"/>
        <w:spacing w:after="0" w:line="228"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02" w:lineRule="exact"/>
        <w:rPr>
          <w:sz w:val="20"/>
          <w:szCs w:val="20"/>
          <w:color w:val="auto"/>
        </w:rPr>
      </w:pPr>
    </w:p>
    <w:p>
      <w:pPr>
        <w:ind w:right="80" w:firstLine="439"/>
        <w:spacing w:after="0" w:line="237"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Distributions and Capital Transactions</w:t>
      </w:r>
    </w:p>
    <w:p>
      <w:pPr>
        <w:spacing w:after="0" w:line="115" w:lineRule="exact"/>
        <w:rPr>
          <w:sz w:val="20"/>
          <w:szCs w:val="20"/>
          <w:color w:val="auto"/>
        </w:rPr>
      </w:pPr>
    </w:p>
    <w:p>
      <w:pPr>
        <w:jc w:val="both"/>
        <w:ind w:right="40" w:firstLine="439"/>
        <w:spacing w:after="0" w:line="237"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2" w:lineRule="exact"/>
        <w:rPr>
          <w:sz w:val="20"/>
          <w:szCs w:val="20"/>
          <w:color w:val="auto"/>
        </w:rPr>
      </w:pPr>
    </w:p>
    <w:p>
      <w:pPr>
        <w:ind w:right="180" w:firstLine="439"/>
        <w:spacing w:after="0" w:line="254"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88" w:lineRule="exact"/>
        <w:rPr>
          <w:sz w:val="20"/>
          <w:szCs w:val="20"/>
          <w:color w:val="auto"/>
        </w:rPr>
      </w:pPr>
    </w:p>
    <w:p>
      <w:pPr>
        <w:ind w:left="420" w:hanging="172"/>
        <w:spacing w:after="0"/>
        <w:tabs>
          <w:tab w:leader="none" w:pos="420" w:val="left"/>
        </w:tabs>
        <w:numPr>
          <w:ilvl w:val="0"/>
          <w:numId w:val="6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14" w:lineRule="exact"/>
        <w:rPr>
          <w:rFonts w:ascii="Times New Roman" w:cs="Times New Roman" w:eastAsia="Times New Roman" w:hAnsi="Times New Roman"/>
          <w:sz w:val="13"/>
          <w:szCs w:val="13"/>
          <w:b w:val="1"/>
          <w:bCs w:val="1"/>
          <w:i w:val="1"/>
          <w:iCs w:val="1"/>
          <w:color w:val="auto"/>
        </w:rPr>
      </w:pPr>
    </w:p>
    <w:p>
      <w:pPr>
        <w:ind w:left="4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3" w:lineRule="exact"/>
        <w:rPr>
          <w:rFonts w:ascii="Times New Roman" w:cs="Times New Roman" w:eastAsia="Times New Roman" w:hAnsi="Times New Roman"/>
          <w:sz w:val="13"/>
          <w:szCs w:val="13"/>
          <w:b w:val="1"/>
          <w:bCs w:val="1"/>
          <w:i w:val="1"/>
          <w:iCs w:val="1"/>
          <w:color w:val="auto"/>
        </w:rPr>
      </w:pPr>
    </w:p>
    <w:p>
      <w:pPr>
        <w:ind w:left="900" w:hanging="356"/>
        <w:spacing w:after="0"/>
        <w:tabs>
          <w:tab w:leader="none" w:pos="90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23" w:lineRule="exact"/>
        <w:rPr>
          <w:sz w:val="20"/>
          <w:szCs w:val="20"/>
          <w:color w:val="auto"/>
        </w:rPr>
      </w:pPr>
    </w:p>
    <w:p>
      <w:pPr>
        <w:ind w:right="120" w:firstLine="439"/>
        <w:spacing w:after="0" w:line="237"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20" w:firstLine="439"/>
        <w:spacing w:after="0" w:line="237"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27" w:lineRule="exact"/>
        <w:rPr>
          <w:sz w:val="20"/>
          <w:szCs w:val="20"/>
          <w:color w:val="auto"/>
        </w:rPr>
      </w:pPr>
    </w:p>
    <w:p>
      <w:pPr>
        <w:ind w:right="240" w:firstLine="439"/>
        <w:spacing w:after="0" w:line="233"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See further description of our investment in PSSL in Note 4.</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15" w:lineRule="exact"/>
        <w:rPr>
          <w:sz w:val="20"/>
          <w:szCs w:val="20"/>
          <w:color w:val="auto"/>
        </w:rPr>
      </w:pPr>
    </w:p>
    <w:p>
      <w:pPr>
        <w:ind w:right="180" w:firstLine="439"/>
        <w:spacing w:after="0" w:line="237"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27"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new definition of “significant subsidiary” under Rule 1-02(w)(2) of Regulation S-X, which is tailored to investment companies, (i) modifies the investment test and the income test, and (ii) eliminates the asset test currently in the definition of “significant subsidiary.”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We evaluated the impact of adopting the Final Rules on our consolidated financial statements and because the new definition of “significant subsidiary” contained therein is specific to investment companies, we elected to early adopt the Final Rules for our year ended September 30, 2020. The adoption of the Final Rules did not have a material impact on our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13" w:lineRule="exact"/>
        <w:rPr>
          <w:sz w:val="20"/>
          <w:szCs w:val="20"/>
          <w:color w:val="auto"/>
        </w:rPr>
      </w:pPr>
    </w:p>
    <w:p>
      <w:pPr>
        <w:ind w:right="20" w:firstLine="439"/>
        <w:spacing w:after="0" w:line="230"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1" w:lineRule="exact"/>
        <w:rPr>
          <w:sz w:val="20"/>
          <w:szCs w:val="20"/>
          <w:color w:val="auto"/>
        </w:rPr>
      </w:pPr>
    </w:p>
    <w:p>
      <w:pPr>
        <w:ind w:right="20" w:firstLine="439"/>
        <w:spacing w:after="0" w:line="228"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2020, 2019 and 2018, the Investment Adviser earned a base management fee of $11.4 million, $10.2 million and $8.4 million, respectively, from us.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ind w:right="40"/>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11" w:lineRule="exact"/>
        <w:rPr>
          <w:sz w:val="20"/>
          <w:szCs w:val="20"/>
          <w:color w:val="auto"/>
        </w:rPr>
      </w:pPr>
    </w:p>
    <w:p>
      <w:pPr>
        <w:ind w:right="60" w:firstLine="439"/>
        <w:spacing w:after="0" w:line="22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2020, 2019 and 2018, the Investment Adviser earned $9.3 million, $7.6 million and $3.5 million, respectively, in incentive fees on net investment income from us.</w:t>
      </w:r>
    </w:p>
    <w:p>
      <w:pPr>
        <w:spacing w:after="0" w:line="108" w:lineRule="exact"/>
        <w:rPr>
          <w:sz w:val="20"/>
          <w:szCs w:val="20"/>
          <w:color w:val="auto"/>
        </w:rPr>
      </w:pPr>
    </w:p>
    <w:p>
      <w:pPr>
        <w:ind w:right="40" w:firstLine="439"/>
        <w:spacing w:after="0" w:line="233"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2020, 2019 and 2018, the Investment Adviser accrued an incentive fee on capital gains of approximately zero, zero and $(0.1) million, respectively, as calculated under the Investment Management Agreement (as described above).</w:t>
      </w:r>
    </w:p>
    <w:p>
      <w:pPr>
        <w:spacing w:after="0" w:line="101" w:lineRule="exact"/>
        <w:rPr>
          <w:sz w:val="20"/>
          <w:szCs w:val="20"/>
          <w:color w:val="auto"/>
        </w:rPr>
      </w:pPr>
    </w:p>
    <w:p>
      <w:pPr>
        <w:ind w:right="100" w:firstLine="439"/>
        <w:spacing w:after="0" w:line="22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2020, 2019 and 2018 was zero, $(1.4) million and $(1.0) million, respectively.</w:t>
      </w:r>
    </w:p>
    <w:p>
      <w:pPr>
        <w:spacing w:after="0" w:line="93" w:lineRule="exact"/>
        <w:rPr>
          <w:sz w:val="20"/>
          <w:szCs w:val="20"/>
          <w:color w:val="auto"/>
        </w:rPr>
      </w:pPr>
    </w:p>
    <w:p>
      <w:pPr>
        <w:ind w:right="40" w:firstLine="439"/>
        <w:spacing w:after="0" w:line="226"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the directors who are not interested persons of us, in February 2020.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2020, 2019 and 2018, we reimbursed the Investment Adviser approximately $1.6 million, $1.9 million and $1.3 million, respectively, including expenses the Investment Adviser incurred on behalf of the Administrator, for services described above.</w:t>
      </w:r>
    </w:p>
    <w:p>
      <w:pPr>
        <w:spacing w:after="0" w:line="105" w:lineRule="exact"/>
        <w:rPr>
          <w:sz w:val="20"/>
          <w:szCs w:val="20"/>
          <w:color w:val="auto"/>
        </w:rPr>
      </w:pPr>
    </w:p>
    <w:p>
      <w:pPr>
        <w:ind w:right="60" w:firstLine="439"/>
        <w:spacing w:after="0" w:line="237" w:lineRule="auto"/>
        <w:rPr>
          <w:sz w:val="20"/>
          <w:szCs w:val="20"/>
          <w:color w:val="auto"/>
        </w:rPr>
      </w:pPr>
      <w:r>
        <w:rPr>
          <w:rFonts w:ascii="Times New Roman" w:cs="Times New Roman" w:eastAsia="Times New Roman" w:hAnsi="Times New Roman"/>
          <w:sz w:val="13"/>
          <w:szCs w:val="13"/>
          <w:color w:val="auto"/>
        </w:rPr>
        <w:t>During the years ended September 30, 2020, 2019 and 2018, the Company purchased zero, zero and $3.9 million, respectively, from and sold $15.0 million, zero and zero in total investments to an affiliated fund managed by our Investment Adviser in accordance with, and pursuant to procedures adopted under, Rule 17a-7 of the 1940 Act. Realized losses on those sales for the same periods amounted to $1.0 million, zero and zero, respectively.</w:t>
      </w:r>
    </w:p>
    <w:p>
      <w:pPr>
        <w:spacing w:after="0" w:line="102" w:lineRule="exact"/>
        <w:rPr>
          <w:sz w:val="20"/>
          <w:szCs w:val="20"/>
          <w:color w:val="auto"/>
        </w:rPr>
      </w:pPr>
    </w:p>
    <w:p>
      <w:pPr>
        <w:ind w:right="400" w:firstLine="439"/>
        <w:spacing w:after="0" w:line="254" w:lineRule="auto"/>
        <w:rPr>
          <w:sz w:val="20"/>
          <w:szCs w:val="20"/>
          <w:color w:val="auto"/>
        </w:rPr>
      </w:pPr>
      <w:r>
        <w:rPr>
          <w:rFonts w:ascii="Times New Roman" w:cs="Times New Roman" w:eastAsia="Times New Roman" w:hAnsi="Times New Roman"/>
          <w:sz w:val="13"/>
          <w:szCs w:val="13"/>
          <w:color w:val="auto"/>
        </w:rPr>
        <w:t>For the years ended September 30, 2020, 2019 and 2018, we sold $86.7 million, $89.6 million and $108.0 million investments, respectively, in investments to PSSL at fair value and recognized $0.5 million, $0.5 million and $0.8 million of net realized gains for the same periods,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25" w:lineRule="exact"/>
        <w:rPr>
          <w:sz w:val="20"/>
          <w:szCs w:val="20"/>
          <w:color w:val="auto"/>
        </w:rPr>
      </w:pPr>
    </w:p>
    <w:p>
      <w:pPr>
        <w:ind w:right="120" w:firstLine="439"/>
        <w:spacing w:after="0" w:line="254" w:lineRule="auto"/>
        <w:rPr>
          <w:sz w:val="20"/>
          <w:szCs w:val="20"/>
          <w:color w:val="auto"/>
        </w:rPr>
      </w:pPr>
      <w:r>
        <w:rPr>
          <w:rFonts w:ascii="Times New Roman" w:cs="Times New Roman" w:eastAsia="Times New Roman" w:hAnsi="Times New Roman"/>
          <w:sz w:val="13"/>
          <w:szCs w:val="13"/>
          <w:color w:val="auto"/>
        </w:rPr>
        <w:t>Purchases of investments, including PIK interest, for the years ended September 30, 2020, 2019 and 2018 totaled $439.2 million, $641.7 million and $683.4 million, respectively. Sales and repayments of investments for the same periods totaled $396.9 million, $527.3 million and $391.4 million, respectively.</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Classification</w:t>
            </w: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w w:val="99"/>
              </w:rPr>
              <w:t>September 30, 2020</w:t>
            </w:r>
          </w:p>
        </w:tc>
        <w:tc>
          <w:tcPr>
            <w:tcW w:w="1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5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ind w:right="534"/>
              <w:spacing w:after="0" w:line="141" w:lineRule="exact"/>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ind w:right="374"/>
              <w:spacing w:after="0" w:line="14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3"/>
                <w:szCs w:val="13"/>
                <w:b w:val="1"/>
                <w:bCs w:val="1"/>
                <w:color w:val="auto"/>
              </w:rPr>
              <w:t>Cost</w:t>
            </w:r>
          </w:p>
        </w:tc>
        <w:tc>
          <w:tcPr>
            <w:tcW w:w="420" w:type="dxa"/>
            <w:vAlign w:val="bottom"/>
          </w:tcPr>
          <w:p>
            <w:pPr>
              <w:spacing w:after="0"/>
              <w:rPr>
                <w:sz w:val="12"/>
                <w:szCs w:val="12"/>
                <w:color w:val="auto"/>
              </w:rPr>
            </w:pPr>
          </w:p>
        </w:tc>
        <w:tc>
          <w:tcPr>
            <w:tcW w:w="1040" w:type="dxa"/>
            <w:vAlign w:val="bottom"/>
          </w:tcPr>
          <w:p>
            <w:pPr>
              <w:jc w:val="right"/>
              <w:ind w:right="374"/>
              <w:spacing w:after="0" w:line="14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8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tcBorders>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861,283,212</w:t>
            </w:r>
          </w:p>
        </w:tc>
        <w:tc>
          <w:tcPr>
            <w:tcW w:w="260" w:type="dxa"/>
            <w:vAlign w:val="bottom"/>
            <w:tcBorders>
              <w:top w:val="single" w:sz="8" w:color="CCECFF"/>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843,236,998</w:t>
            </w:r>
          </w:p>
        </w:tc>
        <w:tc>
          <w:tcPr>
            <w:tcW w:w="260" w:type="dxa"/>
            <w:vAlign w:val="bottom"/>
            <w:tcBorders>
              <w:top w:val="single" w:sz="8" w:color="CCECFF"/>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jc w:val="right"/>
              <w:ind w:right="19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833,678,981</w:t>
            </w:r>
          </w:p>
        </w:tc>
        <w:tc>
          <w:tcPr>
            <w:tcW w:w="260" w:type="dxa"/>
            <w:vAlign w:val="bottom"/>
            <w:tcBorders>
              <w:top w:val="single" w:sz="8" w:color="CCECFF"/>
            </w:tcBorders>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jc w:val="right"/>
              <w:ind w:right="27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822,707,050</w:t>
            </w:r>
          </w:p>
        </w:tc>
        <w:tc>
          <w:tcPr>
            <w:tcW w:w="100" w:type="dxa"/>
            <w:vAlign w:val="bottom"/>
            <w:tcBorders>
              <w:top w:val="single" w:sz="8" w:color="CCECFF"/>
            </w:tcBorders>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lien in PSSL</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125,378,750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125,378,750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122,193,750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122,193,750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31,627,520</w:t>
            </w:r>
          </w:p>
        </w:tc>
        <w:tc>
          <w:tcPr>
            <w:tcW w:w="26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29,911,030</w:t>
            </w:r>
          </w:p>
        </w:tc>
        <w:tc>
          <w:tcPr>
            <w:tcW w:w="2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34,307,150</w:t>
            </w:r>
          </w:p>
        </w:tc>
        <w:tc>
          <w:tcPr>
            <w:tcW w:w="26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34,370,598</w:t>
            </w:r>
          </w:p>
        </w:tc>
        <w:tc>
          <w:tcPr>
            <w:tcW w:w="10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44,928,206</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48,491,115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42,623,718</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52,466,181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 interests in PSSL</w:t>
            </w:r>
          </w:p>
        </w:tc>
        <w:tc>
          <w:tcPr>
            <w:tcW w:w="32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53,733,750</w:t>
            </w:r>
          </w:p>
        </w:tc>
        <w:tc>
          <w:tcPr>
            <w:tcW w:w="260" w:type="dxa"/>
            <w:vAlign w:val="bottom"/>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39,910,574</w:t>
            </w:r>
          </w:p>
        </w:tc>
        <w:tc>
          <w:tcPr>
            <w:tcW w:w="26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52,368,750</w:t>
            </w:r>
          </w:p>
        </w:tc>
        <w:tc>
          <w:tcPr>
            <w:tcW w:w="260" w:type="dxa"/>
            <w:vAlign w:val="bottom"/>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49,969,330</w:t>
            </w:r>
          </w:p>
        </w:tc>
        <w:tc>
          <w:tcPr>
            <w:tcW w:w="10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tcBorders>
              <w:bottom w:val="single" w:sz="8" w:color="CCECFF"/>
            </w:tcBorders>
            <w:gridSpan w:val="2"/>
          </w:tcPr>
          <w:p>
            <w:pPr>
              <w:spacing w:after="0" w:line="141" w:lineRule="exact"/>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1,116,951,438</w:t>
            </w:r>
          </w:p>
        </w:tc>
        <w:tc>
          <w:tcPr>
            <w:tcW w:w="260" w:type="dxa"/>
            <w:vAlign w:val="bottom"/>
            <w:tcBorders>
              <w:bottom w:val="single" w:sz="8" w:color="CCEC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1,086,928,467</w:t>
            </w:r>
          </w:p>
        </w:tc>
        <w:tc>
          <w:tcPr>
            <w:tcW w:w="260" w:type="dxa"/>
            <w:vAlign w:val="bottom"/>
            <w:tcBorders>
              <w:bottom w:val="single" w:sz="8" w:color="CCEC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1,085,172,349</w:t>
            </w:r>
          </w:p>
        </w:tc>
        <w:tc>
          <w:tcPr>
            <w:tcW w:w="260" w:type="dxa"/>
            <w:vAlign w:val="bottom"/>
            <w:tcBorders>
              <w:bottom w:val="single" w:sz="8" w:color="CCEC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1,081,706,909</w:t>
            </w:r>
          </w:p>
        </w:tc>
        <w:tc>
          <w:tcPr>
            <w:tcW w:w="100" w:type="dxa"/>
            <w:vAlign w:val="bottom"/>
            <w:tcBorders>
              <w:bottom w:val="single" w:sz="8" w:color="CCEC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57,534,421</w:t>
            </w:r>
          </w:p>
        </w:tc>
        <w:tc>
          <w:tcPr>
            <w:tcW w:w="260" w:type="dxa"/>
            <w:vAlign w:val="bottom"/>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57,511,928</w:t>
            </w:r>
          </w:p>
        </w:tc>
        <w:tc>
          <w:tcPr>
            <w:tcW w:w="26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63,367,237</w:t>
            </w:r>
          </w:p>
        </w:tc>
        <w:tc>
          <w:tcPr>
            <w:tcW w:w="260" w:type="dxa"/>
            <w:vAlign w:val="bottom"/>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63,337,728</w:t>
            </w:r>
          </w:p>
        </w:tc>
        <w:tc>
          <w:tcPr>
            <w:tcW w:w="10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4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1,174,485,859</w:t>
            </w:r>
          </w:p>
        </w:tc>
        <w:tc>
          <w:tcPr>
            <w:tcW w:w="260" w:type="dxa"/>
            <w:vAlign w:val="bottom"/>
          </w:tcPr>
          <w:p>
            <w:pPr>
              <w:spacing w:after="0"/>
              <w:rPr>
                <w:sz w:val="12"/>
                <w:szCs w:val="12"/>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1,144,440,395</w:t>
            </w:r>
          </w:p>
        </w:tc>
        <w:tc>
          <w:tcPr>
            <w:tcW w:w="260" w:type="dxa"/>
            <w:vAlign w:val="bottom"/>
          </w:tcPr>
          <w:p>
            <w:pPr>
              <w:spacing w:after="0"/>
              <w:rPr>
                <w:sz w:val="12"/>
                <w:szCs w:val="12"/>
                <w:color w:val="auto"/>
              </w:rPr>
            </w:pPr>
          </w:p>
        </w:tc>
        <w:tc>
          <w:tcPr>
            <w:tcW w:w="340" w:type="dxa"/>
            <w:vAlign w:val="bottom"/>
            <w:tcBorders>
              <w:bottom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1,148,539,586</w:t>
            </w:r>
          </w:p>
        </w:tc>
        <w:tc>
          <w:tcPr>
            <w:tcW w:w="260" w:type="dxa"/>
            <w:vAlign w:val="bottom"/>
          </w:tcPr>
          <w:p>
            <w:pPr>
              <w:spacing w:after="0"/>
              <w:rPr>
                <w:sz w:val="12"/>
                <w:szCs w:val="12"/>
                <w:color w:val="auto"/>
              </w:rPr>
            </w:pPr>
          </w:p>
        </w:tc>
        <w:tc>
          <w:tcPr>
            <w:tcW w:w="420" w:type="dxa"/>
            <w:vAlign w:val="bottom"/>
            <w:tcBorders>
              <w:bottom w:val="single" w:sz="8" w:color="auto"/>
            </w:tcBorders>
          </w:tcPr>
          <w:p>
            <w:pPr>
              <w:jc w:val="right"/>
              <w:ind w:right="27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1,145,044,637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71</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9"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80" w:type="dxa"/>
            <w:vAlign w:val="bottom"/>
            <w:tcBorders>
              <w:bottom w:val="single" w:sz="8" w:color="CCECFF"/>
            </w:tcBorders>
          </w:tcPr>
          <w:p>
            <w:pPr>
              <w:spacing w:after="0"/>
              <w:rPr>
                <w:sz w:val="13"/>
                <w:szCs w:val="13"/>
                <w:color w:val="auto"/>
              </w:rPr>
            </w:pPr>
          </w:p>
        </w:tc>
        <w:tc>
          <w:tcPr>
            <w:tcW w:w="1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xml:space="preserve">September 30, 2020 </w:t>
            </w:r>
            <w:r>
              <w:rPr>
                <w:rFonts w:ascii="Times New Roman" w:cs="Times New Roman" w:eastAsia="Times New Roman" w:hAnsi="Times New Roman"/>
                <w:sz w:val="11"/>
                <w:szCs w:val="11"/>
                <w:b w:val="1"/>
                <w:bCs w:val="1"/>
                <w:color w:val="auto"/>
              </w:rPr>
              <w:t>(1)</w:t>
            </w:r>
          </w:p>
        </w:tc>
        <w:tc>
          <w:tcPr>
            <w:tcW w:w="300" w:type="dxa"/>
            <w:vAlign w:val="bottom"/>
            <w:tcBorders>
              <w:bottom w:val="single" w:sz="8" w:color="CCECFF"/>
            </w:tcBorders>
          </w:tcPr>
          <w:p>
            <w:pPr>
              <w:spacing w:after="0"/>
              <w:rPr>
                <w:sz w:val="13"/>
                <w:szCs w:val="13"/>
                <w:color w:val="auto"/>
              </w:rPr>
            </w:pPr>
          </w:p>
        </w:tc>
        <w:tc>
          <w:tcPr>
            <w:tcW w:w="1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 xml:space="preserve">September 30, 2019 </w:t>
            </w:r>
            <w:r>
              <w:rPr>
                <w:rFonts w:ascii="Times New Roman" w:cs="Times New Roman" w:eastAsia="Times New Roman" w:hAnsi="Times New Roman"/>
                <w:sz w:val="11"/>
                <w:szCs w:val="11"/>
                <w:b w:val="1"/>
                <w:bCs w:val="1"/>
                <w:color w:val="auto"/>
              </w:rPr>
              <w:t>(1)</w:t>
            </w:r>
          </w:p>
        </w:tc>
        <w:tc>
          <w:tcPr>
            <w:tcW w:w="120" w:type="dxa"/>
            <w:vAlign w:val="bottom"/>
            <w:tcBorders>
              <w:bottom w:val="single" w:sz="8" w:color="CCECFF"/>
            </w:tcBorders>
          </w:tcPr>
          <w:p>
            <w:pPr>
              <w:spacing w:after="0"/>
              <w:rPr>
                <w:sz w:val="13"/>
                <w:szCs w:val="13"/>
                <w:color w:val="auto"/>
              </w:rPr>
            </w:pPr>
          </w:p>
        </w:tc>
      </w:tr>
      <w:tr>
        <w:trPr>
          <w:trHeight w:val="141"/>
        </w:trPr>
        <w:tc>
          <w:tcPr>
            <w:tcW w:w="754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Professional Services</w:t>
            </w:r>
          </w:p>
        </w:tc>
        <w:tc>
          <w:tcPr>
            <w:tcW w:w="180" w:type="dxa"/>
            <w:vAlign w:val="bottom"/>
            <w:shd w:val="clear" w:color="auto" w:fill="CCECFF"/>
          </w:tcPr>
          <w:p>
            <w:pPr>
              <w:spacing w:after="0"/>
              <w:rPr>
                <w:sz w:val="12"/>
                <w:szCs w:val="12"/>
                <w:color w:val="auto"/>
              </w:rPr>
            </w:pPr>
          </w:p>
        </w:tc>
        <w:tc>
          <w:tcPr>
            <w:tcW w:w="1840" w:type="dxa"/>
            <w:vAlign w:val="bottom"/>
            <w:gridSpan w:val="2"/>
            <w:shd w:val="clear" w:color="auto" w:fill="CCECFF"/>
          </w:tcPr>
          <w:p>
            <w:pPr>
              <w:jc w:val="right"/>
              <w:ind w:right="180"/>
              <w:spacing w:after="0" w:line="141" w:lineRule="exact"/>
              <w:rPr>
                <w:sz w:val="20"/>
                <w:szCs w:val="20"/>
                <w:color w:val="auto"/>
              </w:rPr>
            </w:pPr>
            <w:r>
              <w:rPr>
                <w:rFonts w:ascii="Times New Roman" w:cs="Times New Roman" w:eastAsia="Times New Roman" w:hAnsi="Times New Roman"/>
                <w:sz w:val="13"/>
                <w:szCs w:val="13"/>
                <w:color w:val="auto"/>
              </w:rPr>
              <w:t>8%</w:t>
            </w:r>
          </w:p>
        </w:tc>
        <w:tc>
          <w:tcPr>
            <w:tcW w:w="1680" w:type="dxa"/>
            <w:vAlign w:val="bottom"/>
            <w:gridSpan w:val="2"/>
            <w:shd w:val="clear" w:color="auto" w:fill="CCEC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3%</w:t>
            </w: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High Tech Industries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Aerospace and Defense</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Capital Equipment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Media</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Construction and Building</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Healthcare and Pharmaceuticals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Healthcare Technology</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Hotel, Gaming and Leisure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Beverage, Food and Tobacco</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Consumer Goods: Durable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Electronic Equipment, Instruments, and Components</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Banking, Finance, Insurance &amp; Real Estate</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Building Products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Consumer Goods: Non-Durable</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Consumer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Media: Advertising, Printing and Publishing</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Media: Broadcasting and Subscription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Telecommunications</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Wholesale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6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Energy Equipment and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2"/>
                <w:szCs w:val="1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Environmental Industries</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2"/>
                <w:szCs w:val="1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IT Services</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Personal Products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2"/>
                <w:szCs w:val="12"/>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3"/>
                <w:szCs w:val="13"/>
                <w:color w:val="auto"/>
              </w:rPr>
              <w:t>Retail</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CECFF"/>
          </w:tcPr>
          <w:p>
            <w:pPr>
              <w:spacing w:after="0"/>
              <w:rPr>
                <w:sz w:val="12"/>
                <w:szCs w:val="1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CFF"/>
          </w:tcPr>
          <w:p>
            <w:pPr>
              <w:spacing w:after="0"/>
              <w:rPr>
                <w:sz w:val="12"/>
                <w:szCs w:val="12"/>
                <w:color w:val="auto"/>
              </w:rPr>
            </w:pPr>
          </w:p>
        </w:tc>
      </w:tr>
      <w:tr>
        <w:trPr>
          <w:trHeight w:val="149"/>
        </w:trPr>
        <w:tc>
          <w:tcPr>
            <w:tcW w:w="772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3"/>
                <w:szCs w:val="13"/>
                <w:color w:val="auto"/>
              </w:rPr>
              <w:t>All Other</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Borders>
              <w:bottom w:val="single" w:sz="8" w:color="CCECFF"/>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CFF"/>
            </w:tcBorders>
          </w:tcPr>
          <w:p>
            <w:pPr>
              <w:spacing w:after="0"/>
              <w:rPr>
                <w:sz w:val="12"/>
                <w:szCs w:val="12"/>
                <w:color w:val="auto"/>
              </w:rPr>
            </w:pPr>
          </w:p>
        </w:tc>
      </w:tr>
      <w:tr>
        <w:trPr>
          <w:trHeight w:val="141"/>
        </w:trPr>
        <w:tc>
          <w:tcPr>
            <w:tcW w:w="7720" w:type="dxa"/>
            <w:vAlign w:val="bottom"/>
            <w:gridSpan w:val="3"/>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1840" w:type="dxa"/>
            <w:vAlign w:val="bottom"/>
            <w:gridSpan w:val="2"/>
            <w:shd w:val="clear" w:color="auto" w:fill="CCECFF"/>
          </w:tcPr>
          <w:p>
            <w:pPr>
              <w:jc w:val="right"/>
              <w:ind w:right="180"/>
              <w:spacing w:after="0" w:line="141" w:lineRule="exact"/>
              <w:rPr>
                <w:sz w:val="20"/>
                <w:szCs w:val="20"/>
                <w:color w:val="auto"/>
              </w:rPr>
            </w:pPr>
            <w:r>
              <w:rPr>
                <w:rFonts w:ascii="Times New Roman" w:cs="Times New Roman" w:eastAsia="Times New Roman" w:hAnsi="Times New Roman"/>
                <w:sz w:val="13"/>
                <w:szCs w:val="13"/>
                <w:color w:val="auto"/>
              </w:rPr>
              <w:t>100%</w:t>
            </w:r>
          </w:p>
        </w:tc>
        <w:tc>
          <w:tcPr>
            <w:tcW w:w="1680" w:type="dxa"/>
            <w:vAlign w:val="bottom"/>
            <w:gridSpan w:val="2"/>
            <w:shd w:val="clear" w:color="auto" w:fill="CCEC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100%</w:t>
            </w: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54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bl>
    <w:p>
      <w:pPr>
        <w:ind w:left="361" w:hanging="361"/>
        <w:spacing w:after="0" w:line="195" w:lineRule="auto"/>
        <w:tabs>
          <w:tab w:leader="none" w:pos="361" w:val="left"/>
        </w:tabs>
        <w:numPr>
          <w:ilvl w:val="0"/>
          <w:numId w:val="67"/>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Excludes investments in PSSL.</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5" w:lineRule="exact"/>
        <w:rPr>
          <w:sz w:val="20"/>
          <w:szCs w:val="20"/>
          <w:color w:val="auto"/>
        </w:rPr>
      </w:pPr>
    </w:p>
    <w:p>
      <w:pPr>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2020 and 2019, PSSL had total assets of $406.4 million and $506.7 million, respectively. As of the same dates, we and Kemper had remaining commitments to fund first lien secured debt and equity interests in PSSL in an aggregate amount of $25.3 million and $10.5 million, respectively. PSSL invests in portfolio companies in the same industries in which we may directly invest.</w:t>
      </w:r>
    </w:p>
    <w:p>
      <w:pPr>
        <w:spacing w:after="0" w:line="76" w:lineRule="exact"/>
        <w:rPr>
          <w:sz w:val="20"/>
          <w:szCs w:val="20"/>
          <w:color w:val="auto"/>
        </w:rPr>
      </w:pPr>
    </w:p>
    <w:p>
      <w:pPr>
        <w:ind w:left="1" w:right="160" w:firstLine="439"/>
        <w:spacing w:after="0" w:line="237" w:lineRule="auto"/>
        <w:rPr>
          <w:sz w:val="20"/>
          <w:szCs w:val="20"/>
          <w:color w:val="auto"/>
        </w:rPr>
      </w:pPr>
      <w:r>
        <w:rPr>
          <w:rFonts w:ascii="Times New Roman" w:cs="Times New Roman" w:eastAsia="Times New Roman" w:hAnsi="Times New Roman"/>
          <w:sz w:val="13"/>
          <w:szCs w:val="13"/>
          <w:color w:val="auto"/>
        </w:rPr>
        <w:t>We provide capital to PSSL in the form of first lien secured debt and equity interests. As of September 30, 2020 and 2019, we and Kemper owned 87.5% and 12.5%, respectively, of each of the outstanding first lien secured debt and equity interests. As of the same dates, our investment in PSSL consisted of first lien secured debt of $125.4 million (additional $15.5 million unfunded) and $122.2 million (additional $6.4 million unfunded), respectively, and equity interests of $53.7 million (additional $6.6 million unfunded) and $52.4 million (additional $2.8 million unfunded), respectively.</w:t>
      </w:r>
    </w:p>
    <w:p>
      <w:pPr>
        <w:spacing w:after="0" w:line="102" w:lineRule="exact"/>
        <w:rPr>
          <w:sz w:val="20"/>
          <w:szCs w:val="20"/>
          <w:color w:val="auto"/>
        </w:rPr>
      </w:pPr>
    </w:p>
    <w:p>
      <w:pPr>
        <w:ind w:left="1" w:right="200" w:firstLine="439"/>
        <w:spacing w:after="0" w:line="230"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01" w:lineRule="exact"/>
        <w:rPr>
          <w:sz w:val="20"/>
          <w:szCs w:val="20"/>
          <w:color w:val="auto"/>
        </w:rPr>
      </w:pPr>
    </w:p>
    <w:p>
      <w:pPr>
        <w:ind w:left="1" w:right="100" w:firstLine="439"/>
        <w:spacing w:after="0" w:line="254" w:lineRule="auto"/>
        <w:rPr>
          <w:sz w:val="20"/>
          <w:szCs w:val="20"/>
          <w:color w:val="auto"/>
        </w:rPr>
      </w:pPr>
      <w:r>
        <w:rPr>
          <w:rFonts w:ascii="Times New Roman" w:cs="Times New Roman" w:eastAsia="Times New Roman" w:hAnsi="Times New Roman"/>
          <w:sz w:val="13"/>
          <w:szCs w:val="13"/>
          <w:color w:val="auto"/>
        </w:rPr>
        <w:t>Additionally, PSSL has entered into a $325.0 million senior secured revolving credit facility which bears interest at LIBOR (or an alternative risk-free floating interest rate index) plus 225 basis points, or the PSSL Credit Facility, with Capital One, N.A. through its wholly-owned subsidiary, PennantPark Senior Secured Loan Facility LLC, or PSSL Subsidiary, subject to leverage and borrowing base restrictions.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9"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55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32"/>
        </w:trPr>
        <w:tc>
          <w:tcPr>
            <w:tcW w:w="5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 2019</w:t>
            </w:r>
          </w:p>
        </w:tc>
      </w:tr>
      <w:tr>
        <w:trPr>
          <w:trHeight w:val="141"/>
        </w:trPr>
        <w:tc>
          <w:tcPr>
            <w:tcW w:w="55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investments</w:t>
            </w:r>
          </w:p>
        </w:tc>
        <w:tc>
          <w:tcPr>
            <w:tcW w:w="22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392,986,090</w:t>
            </w: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488,549,847</w:t>
            </w:r>
          </w:p>
        </w:tc>
        <w:tc>
          <w:tcPr>
            <w:tcW w:w="120" w:type="dxa"/>
            <w:vAlign w:val="bottom"/>
            <w:tcBorders>
              <w:top w:val="single" w:sz="8" w:color="CCECFF"/>
            </w:tcBorders>
            <w:shd w:val="clear" w:color="auto" w:fill="CCECFF"/>
          </w:tcPr>
          <w:p>
            <w:pPr>
              <w:spacing w:after="0"/>
              <w:rPr>
                <w:sz w:val="12"/>
                <w:szCs w:val="12"/>
                <w:color w:val="auto"/>
              </w:rPr>
            </w:pPr>
          </w:p>
        </w:tc>
      </w:tr>
      <w:tr>
        <w:trPr>
          <w:trHeight w:val="149"/>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w:t>
            </w:r>
          </w:p>
        </w:tc>
      </w:tr>
      <w:tr>
        <w:trPr>
          <w:trHeight w:val="149"/>
        </w:trPr>
        <w:tc>
          <w:tcPr>
            <w:tcW w:w="5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CFF"/>
          </w:tcPr>
          <w:p>
            <w:pPr>
              <w:spacing w:after="0"/>
              <w:rPr>
                <w:sz w:val="12"/>
                <w:szCs w:val="12"/>
                <w:color w:val="auto"/>
              </w:rPr>
            </w:pPr>
          </w:p>
        </w:tc>
      </w:tr>
      <w:tr>
        <w:trPr>
          <w:trHeight w:val="149"/>
        </w:trPr>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34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20,614,860</w:t>
            </w:r>
          </w:p>
        </w:tc>
        <w:tc>
          <w:tcPr>
            <w:tcW w:w="2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22,026,186</w:t>
            </w:r>
          </w:p>
        </w:tc>
        <w:tc>
          <w:tcPr>
            <w:tcW w:w="120" w:type="dxa"/>
            <w:vAlign w:val="bottom"/>
          </w:tcPr>
          <w:p>
            <w:pPr>
              <w:spacing w:after="0"/>
              <w:rPr>
                <w:sz w:val="12"/>
                <w:szCs w:val="12"/>
                <w:color w:val="auto"/>
              </w:rPr>
            </w:pPr>
          </w:p>
        </w:tc>
      </w:tr>
      <w:tr>
        <w:trPr>
          <w:trHeight w:val="149"/>
        </w:trPr>
        <w:tc>
          <w:tcPr>
            <w:tcW w:w="5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34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93,320,993</w:t>
            </w:r>
          </w:p>
        </w:tc>
        <w:tc>
          <w:tcPr>
            <w:tcW w:w="220" w:type="dxa"/>
            <w:vAlign w:val="bottom"/>
            <w:shd w:val="clear" w:color="auto" w:fill="CCECFF"/>
          </w:tcPr>
          <w:p>
            <w:pPr>
              <w:spacing w:after="0"/>
              <w:rPr>
                <w:sz w:val="12"/>
                <w:szCs w:val="12"/>
                <w:color w:val="auto"/>
              </w:rPr>
            </w:pP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102,872,275</w:t>
            </w:r>
          </w:p>
        </w:tc>
        <w:tc>
          <w:tcPr>
            <w:tcW w:w="120" w:type="dxa"/>
            <w:vAlign w:val="bottom"/>
            <w:shd w:val="clear" w:color="auto" w:fill="CCECFF"/>
          </w:tcPr>
          <w:p>
            <w:pPr>
              <w:spacing w:after="0"/>
              <w:rPr>
                <w:sz w:val="12"/>
                <w:szCs w:val="12"/>
                <w:color w:val="auto"/>
              </w:rPr>
            </w:pPr>
          </w:p>
        </w:tc>
      </w:tr>
    </w:tbl>
    <w:p>
      <w:pPr>
        <w:spacing w:after="0" w:line="116"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2020:</w:t>
      </w:r>
    </w:p>
    <w:p>
      <w:pPr>
        <w:spacing w:after="0" w:line="39"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32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120" w:type="dxa"/>
            <w:vAlign w:val="bottom"/>
          </w:tcPr>
          <w:p>
            <w:pPr>
              <w:spacing w:after="0"/>
              <w:rPr>
                <w:sz w:val="9"/>
                <w:szCs w:val="9"/>
                <w:color w:val="auto"/>
              </w:rPr>
            </w:pPr>
          </w:p>
        </w:tc>
        <w:tc>
          <w:tcPr>
            <w:tcW w:w="940" w:type="dxa"/>
            <w:vAlign w:val="bottom"/>
            <w:gridSpan w:val="3"/>
          </w:tcPr>
          <w:p>
            <w:pPr>
              <w:jc w:val="center"/>
              <w:ind w:right="140"/>
              <w:spacing w:after="0" w:line="112" w:lineRule="exact"/>
              <w:rPr>
                <w:sz w:val="20"/>
                <w:szCs w:val="20"/>
                <w:color w:val="auto"/>
              </w:rPr>
            </w:pPr>
            <w:r>
              <w:rPr>
                <w:rFonts w:ascii="Times New Roman" w:cs="Times New Roman" w:eastAsia="Times New Roman" w:hAnsi="Times New Roman"/>
                <w:sz w:val="10"/>
                <w:szCs w:val="10"/>
                <w:b w:val="1"/>
                <w:bCs w:val="1"/>
                <w:color w:val="auto"/>
                <w:w w:val="99"/>
              </w:rPr>
              <w:t>Spread Above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20" w:type="dxa"/>
            <w:vAlign w:val="bottom"/>
          </w:tcPr>
          <w:p>
            <w:pPr>
              <w:spacing w:after="0"/>
              <w:rPr>
                <w:sz w:val="10"/>
                <w:szCs w:val="10"/>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1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r>
      <w:tr>
        <w:trPr>
          <w:trHeight w:val="116"/>
        </w:trPr>
        <w:tc>
          <w:tcPr>
            <w:tcW w:w="3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Debt—838.2%</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Technologies,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07/24/2025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4,856,155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4,795,251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4,686,189</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American Auto Auction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01/02/2024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Transportation: Consumer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7,670,399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7,596,860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7,440,287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05/16/2022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10,901,843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10,774,172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10,792,825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Cadence Aerospace,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11/14/2023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11,802,082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11,730,187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11,322,915</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Cardenas Markets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11/29/2023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4,779,776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4,759,527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4,779,776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Centauri Group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02/12/2024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5,330,847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5,330,847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5,304,193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08/31/2023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9,663,392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9,595,826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8,986,954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179,976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Holdings, LLC (Revolver)</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450,110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8,836,683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8,756,358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8,704,133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7,403,183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7,370,405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7,292,135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11/03/2025</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8,022,149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7,950,609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7,875,344</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05/31/2024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Banking, Finance, Insurance and Real Estate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5.46%</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L+525A</w:t>
            </w:r>
          </w:p>
        </w:tc>
        <w:tc>
          <w:tcPr>
            <w:tcW w:w="1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10,000,000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7,411,600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6,809,125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GCOM Software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11/14/2022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16,646,228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16,562,972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16,646,228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Good2Grow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11/18/2024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rPr>
              <w:t>Beverages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9,499,183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9,429,133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9,427,938</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GSM Holdings,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06/03/2024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19,470,523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19,354,235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19,275,817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IMIA Holdings,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10/26/2025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12,143,568</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12,097,717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12,022,132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Impact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06/27/2023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8.37%</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L+737</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9,290,185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9,216,206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9,336,636</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09/29/2023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5.75%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8,587,606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8,587,606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8,458,792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12/20/2023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L+700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19,650,000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19,436,214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19,217,700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10/31/2024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8.50%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9,975,861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9,902,990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9,188,766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05/01/2023</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Retail</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6,843,750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6,872,048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6,631,320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Manna Pro Products,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12/08/2023</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4,313,910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4,273,019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4,197,866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8"/>
                <w:szCs w:val="8"/>
                <w:color w:val="auto"/>
              </w:rPr>
              <w:t>(4)</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01/27/2023</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85"/>
              </w:rPr>
              <w:t>(5)</w:t>
            </w:r>
          </w:p>
        </w:tc>
        <w:tc>
          <w:tcPr>
            <w:tcW w:w="520" w:type="dxa"/>
            <w:vAlign w:val="bottom"/>
          </w:tcPr>
          <w:p>
            <w:pPr>
              <w:spacing w:after="0"/>
              <w:rPr>
                <w:sz w:val="10"/>
                <w:szCs w:val="10"/>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 C</w:t>
            </w:r>
          </w:p>
        </w:tc>
        <w:tc>
          <w:tcPr>
            <w:tcW w:w="16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5,730,254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4,449,786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3,623,691</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MeritDirect,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05/23/2024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Advertising, Printing &amp; Publishing</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4,812,500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4,771,073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4,583,906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09/28/2022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5,949,731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5,927,114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5,877,737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Milani Group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06/06/2024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14,662,500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14,568,019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13,379,531</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03/27/2024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7,803,419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7,825,029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7,101,111</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09/29/2025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5.19%</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9,792,594</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9,717,936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9,156,076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Plant Health Intermediate,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10/19/2022</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1,594,030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1,579,915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1,570,120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8"/>
              </w:rPr>
              <w:t>05/8/2026</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5.72%</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4,025,520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3,990,707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3,824,244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12/20/2024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4,925,000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4,860,858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4,836,350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11,904,617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11,904,617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11,041,532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10/14/2024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4.93%</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11,175,938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11,090,654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10,840,659</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Snak Club,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07/19/2021</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4,561,971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4,561,971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4,493,542</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01/17/2024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6,214,305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6,149,172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6,145,948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STV Group Incorporated</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12/11/2026</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Construction and Building</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5.40%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7,762,222</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7,692,023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7,684,600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TeleGuam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11/20/2025</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8,309,797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8,272,104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8,060,503</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07/18/2025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4,950,000</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4,783,595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4,764,375</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Infosoft Group,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09/16/2024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6.75%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6M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8,602,807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8,584,634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8,602,807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11/24/2025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8,924,066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8,837,614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8,656,344</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TVC Enterprises,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01/18/2024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9,747,335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9,747,335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9,674,230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06/16/2025</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6,910,465</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6,797,117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6,772,256</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UBEO,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04/03/2024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21,930,702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21,762,065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20,614,860</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Associates, LLC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08/30/2024</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6.00%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11,463,443</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11,311,325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11,119,540</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09/26/2024</w:t>
            </w:r>
          </w:p>
        </w:tc>
        <w:tc>
          <w:tcPr>
            <w:tcW w:w="240" w:type="dxa"/>
            <w:vAlign w:val="bottom"/>
          </w:tcPr>
          <w:p>
            <w:pPr>
              <w:spacing w:after="0"/>
              <w:rPr>
                <w:sz w:val="10"/>
                <w:szCs w:val="10"/>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7.25%</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10,594,047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10,440,520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10,594,047</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Whitney, Bradley &amp; Brown, Inc.</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10/18/2022</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8.50%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254,095</w:t>
            </w: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250,910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251,557</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392,309,962</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382,299,150</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Debt—19.5%</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04/29/2024</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9.50%</w:t>
            </w:r>
          </w:p>
        </w:tc>
        <w:tc>
          <w:tcPr>
            <w:tcW w:w="120" w:type="dxa"/>
            <w:vAlign w:val="bottom"/>
          </w:tcPr>
          <w:p>
            <w:pPr>
              <w:spacing w:after="0"/>
              <w:rPr>
                <w:sz w:val="10"/>
                <w:szCs w:val="1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0"/>
                <w:szCs w:val="10"/>
                <w:color w:val="auto"/>
                <w:w w:val="86"/>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964,045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964,045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889,813</w:t>
            </w:r>
          </w:p>
        </w:tc>
        <w:tc>
          <w:tcPr>
            <w:tcW w:w="120" w:type="dxa"/>
            <w:vAlign w:val="bottom"/>
          </w:tcPr>
          <w:p>
            <w:pPr>
              <w:spacing w:after="0"/>
              <w:rPr>
                <w:sz w:val="10"/>
                <w:szCs w:val="10"/>
                <w:color w:val="auto"/>
              </w:rPr>
            </w:pPr>
          </w:p>
        </w:tc>
      </w:tr>
      <w:tr>
        <w:trPr>
          <w:trHeight w:val="123"/>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(PIK 9.50%)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Term Loan B</w:t>
            </w:r>
          </w:p>
        </w:tc>
        <w:tc>
          <w:tcPr>
            <w:tcW w:w="660" w:type="dxa"/>
            <w:vAlign w:val="bottom"/>
            <w:gridSpan w:val="2"/>
            <w:shd w:val="clear" w:color="auto" w:fill="CCECFF"/>
          </w:tcPr>
          <w:p>
            <w:pPr>
              <w:jc w:val="center"/>
              <w:ind w:left="70"/>
              <w:spacing w:after="0"/>
              <w:rPr>
                <w:sz w:val="20"/>
                <w:szCs w:val="20"/>
                <w:color w:val="auto"/>
              </w:rPr>
            </w:pPr>
            <w:r>
              <w:rPr>
                <w:rFonts w:ascii="Times New Roman" w:cs="Times New Roman" w:eastAsia="Times New Roman" w:hAnsi="Times New Roman"/>
                <w:sz w:val="10"/>
                <w:szCs w:val="10"/>
                <w:color w:val="auto"/>
              </w:rPr>
              <w:t>03/26/2021</w:t>
            </w:r>
          </w:p>
        </w:tc>
        <w:tc>
          <w:tcPr>
            <w:tcW w:w="240" w:type="dxa"/>
            <w:vAlign w:val="bottom"/>
            <w:shd w:val="clear" w:color="auto" w:fill="CCECFF"/>
          </w:tcPr>
          <w:p>
            <w:pPr>
              <w:spacing w:after="0"/>
              <w:rPr>
                <w:sz w:val="10"/>
                <w:szCs w:val="10"/>
                <w:color w:val="auto"/>
              </w:rPr>
            </w:pP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9.00%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15,946</w:t>
            </w:r>
          </w:p>
        </w:tc>
        <w:tc>
          <w:tcPr>
            <w:tcW w:w="120" w:type="dxa"/>
            <w:vAlign w:val="bottom"/>
            <w:shd w:val="clear" w:color="auto" w:fill="CCECFF"/>
          </w:tcPr>
          <w:p>
            <w:pPr>
              <w:spacing w:after="0"/>
              <w:rPr>
                <w:sz w:val="10"/>
                <w:szCs w:val="10"/>
                <w:color w:val="auto"/>
              </w:rPr>
            </w:pPr>
          </w:p>
        </w:tc>
      </w:tr>
      <w:tr>
        <w:trPr>
          <w:trHeight w:val="124"/>
        </w:trPr>
        <w:tc>
          <w:tcPr>
            <w:tcW w:w="21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(PIK 9.00%)</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Term Loan C</w:t>
            </w:r>
          </w:p>
        </w:tc>
        <w:tc>
          <w:tcPr>
            <w:tcW w:w="660" w:type="dxa"/>
            <w:vAlign w:val="bottom"/>
            <w:gridSpan w:val="2"/>
          </w:tcPr>
          <w:p>
            <w:pPr>
              <w:jc w:val="center"/>
              <w:ind w:left="70"/>
              <w:spacing w:after="0"/>
              <w:rPr>
                <w:sz w:val="20"/>
                <w:szCs w:val="20"/>
                <w:color w:val="auto"/>
              </w:rPr>
            </w:pPr>
            <w:r>
              <w:rPr>
                <w:rFonts w:ascii="Times New Roman" w:cs="Times New Roman" w:eastAsia="Times New Roman" w:hAnsi="Times New Roman"/>
                <w:sz w:val="10"/>
                <w:szCs w:val="10"/>
                <w:color w:val="auto"/>
              </w:rPr>
              <w:t>02/02/2026</w:t>
            </w:r>
          </w:p>
        </w:tc>
        <w:tc>
          <w:tcPr>
            <w:tcW w:w="240" w:type="dxa"/>
            <w:vAlign w:val="bottom"/>
          </w:tcPr>
          <w:p>
            <w:pPr>
              <w:spacing w:after="0"/>
              <w:rPr>
                <w:sz w:val="10"/>
                <w:szCs w:val="10"/>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9.00%</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7,977,513</w:t>
            </w:r>
          </w:p>
        </w:tc>
        <w:tc>
          <w:tcPr>
            <w:tcW w:w="120" w:type="dxa"/>
            <w:vAlign w:val="bottom"/>
          </w:tcPr>
          <w:p>
            <w:pPr>
              <w:spacing w:after="0"/>
              <w:rPr>
                <w:sz w:val="10"/>
                <w:szCs w:val="10"/>
                <w:color w:val="auto"/>
              </w:rPr>
            </w:pPr>
          </w:p>
        </w:tc>
      </w:tr>
      <w:tr>
        <w:trPr>
          <w:trHeight w:val="123"/>
        </w:trPr>
        <w:tc>
          <w:tcPr>
            <w:tcW w:w="2120" w:type="dxa"/>
            <w:vAlign w:val="bottom"/>
            <w:tcBorders>
              <w:bottom w:val="single" w:sz="8" w:color="CCECFF"/>
            </w:tcBorders>
          </w:tcPr>
          <w:p>
            <w:pPr>
              <w:spacing w:after="0"/>
              <w:rPr>
                <w:sz w:val="10"/>
                <w:szCs w:val="10"/>
                <w:color w:val="auto"/>
              </w:rPr>
            </w:pPr>
          </w:p>
        </w:tc>
        <w:tc>
          <w:tcPr>
            <w:tcW w:w="96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820" w:type="dxa"/>
            <w:vAlign w:val="bottom"/>
            <w:tcBorders>
              <w:bottom w:val="single" w:sz="8" w:color="CCECFF"/>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(PIK 9.00%)</w:t>
            </w: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8,957,504</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8,883,272</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Equity Securities—4.0%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 Company Inc.</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w w:val="98"/>
              </w:rPr>
              <w:t>Beverage, Food and Tobacco</w:t>
            </w: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1,317</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1,713,105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Series A-1</w:t>
            </w:r>
          </w:p>
        </w:tc>
        <w:tc>
          <w:tcPr>
            <w:tcW w:w="120" w:type="dxa"/>
            <w:vAlign w:val="bottom"/>
          </w:tcPr>
          <w:p>
            <w:pPr>
              <w:spacing w:after="0"/>
              <w:rPr>
                <w:sz w:val="10"/>
                <w:szCs w:val="1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5,034,310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1,803,668</w:t>
            </w: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Series B</w:t>
            </w:r>
          </w:p>
        </w:tc>
        <w:tc>
          <w:tcPr>
            <w:tcW w:w="120" w:type="dxa"/>
            <w:vAlign w:val="bottom"/>
            <w:shd w:val="clear" w:color="auto" w:fill="CCECFF"/>
          </w:tcPr>
          <w:p>
            <w:pPr>
              <w:spacing w:after="0"/>
              <w:rPr>
                <w:sz w:val="10"/>
                <w:szCs w:val="10"/>
                <w:color w:val="auto"/>
              </w:rPr>
            </w:pPr>
          </w:p>
        </w:tc>
        <w:tc>
          <w:tcPr>
            <w:tcW w:w="78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0"/>
                <w:szCs w:val="10"/>
                <w:color w:val="auto"/>
              </w:rPr>
              <w:t>Business Services</w:t>
            </w:r>
          </w:p>
        </w:tc>
        <w:tc>
          <w:tcPr>
            <w:tcW w:w="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1,065,021</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236,521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6,983,936</w:t>
            </w: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1,803,668</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Investments—861.6%</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408,251,402</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392,986,090</w:t>
            </w:r>
          </w:p>
        </w:tc>
        <w:tc>
          <w:tcPr>
            <w:tcW w:w="120" w:type="dxa"/>
            <w:vAlign w:val="bottom"/>
            <w:shd w:val="clear" w:color="auto" w:fill="CCECFF"/>
          </w:tcPr>
          <w:p>
            <w:pPr>
              <w:spacing w:after="0"/>
              <w:rPr>
                <w:sz w:val="10"/>
                <w:szCs w:val="10"/>
                <w:color w:val="auto"/>
              </w:rPr>
            </w:pP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Equivalents—24.4%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6,005,963</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6,005,963</w:t>
            </w:r>
          </w:p>
        </w:tc>
        <w:tc>
          <w:tcPr>
            <w:tcW w:w="120" w:type="dxa"/>
            <w:vAlign w:val="bottom"/>
            <w:shd w:val="clear" w:color="auto" w:fill="CCECFF"/>
          </w:tcPr>
          <w:p>
            <w:pPr>
              <w:spacing w:after="0"/>
              <w:rPr>
                <w:sz w:val="10"/>
                <w:szCs w:val="10"/>
                <w:color w:val="auto"/>
              </w:rPr>
            </w:pPr>
          </w:p>
        </w:tc>
      </w:tr>
      <w:tr>
        <w:trPr>
          <w:trHeight w:val="124"/>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US Bank Cash</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254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20" w:type="dxa"/>
            <w:vAlign w:val="bottom"/>
            <w:tcBorders>
              <w:bottom w:val="single" w:sz="8" w:color="CCECFF"/>
            </w:tcBorders>
          </w:tcPr>
          <w:p>
            <w:pPr>
              <w:spacing w:after="0"/>
              <w:rPr>
                <w:sz w:val="10"/>
                <w:szCs w:val="10"/>
                <w:color w:val="auto"/>
              </w:rPr>
            </w:pPr>
          </w:p>
        </w:tc>
        <w:tc>
          <w:tcPr>
            <w:tcW w:w="3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5,109,410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5,115,516</w:t>
            </w:r>
          </w:p>
        </w:tc>
        <w:tc>
          <w:tcPr>
            <w:tcW w:w="120" w:type="dxa"/>
            <w:vAlign w:val="bottom"/>
            <w:tcBorders>
              <w:bottom w:val="single" w:sz="8" w:color="CCECFF"/>
            </w:tcBorders>
          </w:tcPr>
          <w:p>
            <w:pPr>
              <w:spacing w:after="0"/>
              <w:rPr>
                <w:sz w:val="10"/>
                <w:szCs w:val="10"/>
                <w:color w:val="auto"/>
              </w:rPr>
            </w:pPr>
          </w:p>
        </w:tc>
      </w:tr>
      <w:tr>
        <w:trPr>
          <w:trHeight w:val="116"/>
        </w:trPr>
        <w:tc>
          <w:tcPr>
            <w:tcW w:w="3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11,115,373</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11,121,479</w:t>
            </w:r>
          </w:p>
        </w:tc>
        <w:tc>
          <w:tcPr>
            <w:tcW w:w="120" w:type="dxa"/>
            <w:vAlign w:val="bottom"/>
            <w:shd w:val="clear" w:color="auto" w:fill="CCECFF"/>
          </w:tcPr>
          <w:p>
            <w:pPr>
              <w:spacing w:after="0"/>
              <w:rPr>
                <w:sz w:val="10"/>
                <w:szCs w:val="10"/>
                <w:color w:val="auto"/>
              </w:rPr>
            </w:pPr>
          </w:p>
        </w:tc>
      </w:tr>
      <w:tr>
        <w:trPr>
          <w:trHeight w:val="156"/>
        </w:trPr>
        <w:tc>
          <w:tcPr>
            <w:tcW w:w="30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Equivalents—886.0%</w:t>
            </w:r>
          </w:p>
        </w:tc>
        <w:tc>
          <w:tcPr>
            <w:tcW w:w="12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254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520" w:type="dxa"/>
            <w:vAlign w:val="bottom"/>
            <w:tcBorders>
              <w:bottom w:val="single" w:sz="8" w:color="CCECFF"/>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419,366,775</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404,107,569</w:t>
            </w:r>
          </w:p>
        </w:tc>
        <w:tc>
          <w:tcPr>
            <w:tcW w:w="120" w:type="dxa"/>
            <w:vAlign w:val="bottom"/>
            <w:tcBorders>
              <w:bottom w:val="single" w:sz="8" w:color="CCECFF"/>
            </w:tcBorders>
          </w:tcPr>
          <w:p>
            <w:pPr>
              <w:spacing w:after="0"/>
              <w:rPr>
                <w:sz w:val="13"/>
                <w:szCs w:val="13"/>
                <w:color w:val="auto"/>
              </w:rPr>
            </w:pPr>
          </w:p>
        </w:tc>
      </w:tr>
      <w:tr>
        <w:trPr>
          <w:trHeight w:val="101"/>
        </w:trPr>
        <w:tc>
          <w:tcPr>
            <w:tcW w:w="3080" w:type="dxa"/>
            <w:vAlign w:val="bottom"/>
            <w:gridSpan w:val="2"/>
            <w:shd w:val="clear" w:color="auto" w:fill="CCEC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Liabilities in Excess of Other Assets—(786.0)%</w:t>
            </w:r>
          </w:p>
        </w:tc>
        <w:tc>
          <w:tcPr>
            <w:tcW w:w="12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254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80"/>
              <w:spacing w:after="0" w:line="101" w:lineRule="exact"/>
              <w:rPr>
                <w:sz w:val="20"/>
                <w:szCs w:val="20"/>
                <w:color w:val="auto"/>
              </w:rPr>
            </w:pPr>
            <w:r>
              <w:rPr>
                <w:rFonts w:ascii="Times New Roman" w:cs="Times New Roman" w:eastAsia="Times New Roman" w:hAnsi="Times New Roman"/>
                <w:sz w:val="10"/>
                <w:szCs w:val="10"/>
                <w:color w:val="auto"/>
              </w:rPr>
              <w:t>(358,495,484)</w:t>
            </w:r>
          </w:p>
        </w:tc>
      </w:tr>
      <w:tr>
        <w:trPr>
          <w:trHeight w:val="116"/>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45,612,085</w:t>
            </w:r>
          </w:p>
        </w:tc>
        <w:tc>
          <w:tcPr>
            <w:tcW w:w="120" w:type="dxa"/>
            <w:vAlign w:val="bottom"/>
          </w:tcPr>
          <w:p>
            <w:pPr>
              <w:spacing w:after="0"/>
              <w:rPr>
                <w:sz w:val="10"/>
                <w:szCs w:val="10"/>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 w:lineRule="exact"/>
        <w:rPr>
          <w:sz w:val="20"/>
          <w:szCs w:val="20"/>
          <w:color w:val="auto"/>
        </w:rPr>
      </w:pPr>
    </w:p>
    <w:p>
      <w:pPr>
        <w:ind w:left="361" w:right="120" w:hanging="361"/>
        <w:spacing w:after="0" w:line="247" w:lineRule="auto"/>
        <w:tabs>
          <w:tab w:leader="none" w:pos="361"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58" w:lineRule="exact"/>
        <w:rPr>
          <w:sz w:val="20"/>
          <w:szCs w:val="20"/>
          <w:color w:val="auto"/>
        </w:rPr>
      </w:pPr>
    </w:p>
    <w:p>
      <w:pPr>
        <w:ind w:left="361" w:hanging="361"/>
        <w:spacing w:after="0"/>
        <w:tabs>
          <w:tab w:leader="none" w:pos="361"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Canadian Dollars (C$) as denoted.</w:t>
      </w:r>
    </w:p>
    <w:p>
      <w:pPr>
        <w:spacing w:after="0" w:line="9"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Non-income producing security.</w:t>
      </w:r>
    </w:p>
    <w:p>
      <w:pPr>
        <w:spacing w:after="0" w:line="11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2019:</w:t>
      </w:r>
    </w:p>
    <w:p>
      <w:pPr>
        <w:spacing w:after="0" w:line="52"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440"/>
              <w:spacing w:after="0" w:line="112" w:lineRule="exact"/>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gridSpan w:val="3"/>
          </w:tcPr>
          <w:p>
            <w:pPr>
              <w:jc w:val="center"/>
              <w:ind w:right="160"/>
              <w:spacing w:after="0" w:line="112" w:lineRule="exact"/>
              <w:rPr>
                <w:sz w:val="20"/>
                <w:szCs w:val="20"/>
                <w:color w:val="auto"/>
              </w:rPr>
            </w:pPr>
            <w:r>
              <w:rPr>
                <w:rFonts w:ascii="Times New Roman" w:cs="Times New Roman" w:eastAsia="Times New Roman" w:hAnsi="Times New Roman"/>
                <w:sz w:val="10"/>
                <w:szCs w:val="10"/>
                <w:b w:val="1"/>
                <w:bCs w:val="1"/>
                <w:color w:val="auto"/>
                <w:w w:val="99"/>
              </w:rPr>
              <w:t>Spread Above</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 xml:space="preserve">Index </w:t>
            </w:r>
            <w:r>
              <w:rPr>
                <w:rFonts w:ascii="Times New Roman" w:cs="Times New Roman" w:eastAsia="Times New Roman" w:hAnsi="Times New Roman"/>
                <w:sz w:val="8"/>
                <w:szCs w:val="8"/>
                <w:b w:val="1"/>
                <w:bCs w:val="1"/>
                <w:color w:val="auto"/>
                <w:w w:val="99"/>
              </w:rPr>
              <w:t>(1)</w:t>
            </w:r>
          </w:p>
        </w:tc>
        <w:tc>
          <w:tcPr>
            <w:tcW w:w="12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8"/>
                <w:szCs w:val="8"/>
                <w:b w:val="1"/>
                <w:bCs w:val="1"/>
                <w:color w:val="auto"/>
                <w:w w:val="93"/>
              </w:rPr>
              <w:t>(2)</w:t>
            </w:r>
          </w:p>
        </w:tc>
      </w:tr>
      <w:tr>
        <w:trPr>
          <w:trHeight w:val="116"/>
        </w:trPr>
        <w:tc>
          <w:tcPr>
            <w:tcW w:w="3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Debt—830.5%</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Altamira Technologies,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07/24/2025</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8.28%</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4,927,149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American Auto Auction Group,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01/02/2024</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8"/>
              </w:rPr>
              <w:t>Transportation: Consumer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7,749,274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7,674,216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7,671,781</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05/16/2022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8.52%</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13,772,261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13,531,751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13,772,261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Cadence Aerospace,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11/14/2023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8.54%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11,735,208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11,644,440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11,680,054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Cardenas Markets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11/29/2023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7.79%</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7,348,866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7,311,507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7,128,400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Centauri Group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02/12/2024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7.36%</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10,422,726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10,413,416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10,396,669</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08/31/2023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7.87%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10,127,447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10,040,432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9,874,261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179,170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182,403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Holdings, LLC (Revolver)</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126,031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Country Fresh Holdings, LLC - (Revolver) </w:t>
            </w:r>
            <w:r>
              <w:rPr>
                <w:rFonts w:ascii="Times New Roman" w:cs="Times New Roman" w:eastAsia="Times New Roman" w:hAnsi="Times New Roman"/>
                <w:sz w:val="8"/>
                <w:szCs w:val="8"/>
                <w:color w:val="auto"/>
              </w:rPr>
              <w:t>(5)</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324,080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Deva Holdings,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10/31/2023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7.54%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19,748,744</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Douglas Products and Packaging Company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12,312,500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12,157,345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12,189,375</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Douglas Sewer Intermediate,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7.85%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8,166,594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8,116,022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8,084,928</w:t>
            </w:r>
          </w:p>
        </w:tc>
        <w:tc>
          <w:tcPr>
            <w:tcW w:w="120" w:type="dxa"/>
            <w:vAlign w:val="bottom"/>
            <w:shd w:val="clear" w:color="auto" w:fill="CCECFF"/>
          </w:tcPr>
          <w:p>
            <w:pPr>
              <w:spacing w:after="0"/>
              <w:rPr>
                <w:sz w:val="10"/>
                <w:szCs w:val="10"/>
                <w:color w:val="auto"/>
              </w:rPr>
            </w:pPr>
          </w:p>
        </w:tc>
      </w:tr>
      <w:tr>
        <w:trPr>
          <w:trHeight w:val="13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8"/>
                <w:szCs w:val="8"/>
                <w:color w:val="auto"/>
              </w:rPr>
              <w:t>(3), (4)</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05/31/2024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Banking, Finance, Insurance and Real Estate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6.26%</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L+525A</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7,376,173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6,542,165</w:t>
            </w:r>
          </w:p>
        </w:tc>
        <w:tc>
          <w:tcPr>
            <w:tcW w:w="120" w:type="dxa"/>
            <w:vAlign w:val="bottom"/>
          </w:tcPr>
          <w:p>
            <w:pPr>
              <w:spacing w:after="0"/>
              <w:rPr>
                <w:sz w:val="11"/>
                <w:szCs w:val="11"/>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GCOM Software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11/14/2022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8.37%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17,384,864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17,263,748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17,384,864</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Good2Grow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11/18/2024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rPr>
              <w:t>Beverages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11,752,655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11,649,126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11,576,366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Good Source Solutions,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06/29/2023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6.37%</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14,357,813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14,241,579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14,135,267</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GSM Holdings,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06/03/2024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19,669,098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19,524,460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19,472,406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IMIA Holdings,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10/28/2024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6.60%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12,406,250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12,351,255</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12,344,219</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Impact Group,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06/27/2023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9,390,185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9,296,753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9,296,283</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Infrastructure Supply Operations Pty Ltd.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12/12/2023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5.80%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L+425A</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10,973,919</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9,717,138</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09/29/2023</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6.85%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L+475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12/20/2023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7.30%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19,850,000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19,586,294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19,609,815</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10/31/2024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9,837,686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9,916,068</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Leap Legal Software Pty Ltd </w:t>
            </w:r>
            <w:r>
              <w:rPr>
                <w:rFonts w:ascii="Times New Roman" w:cs="Times New Roman" w:eastAsia="Times New Roman" w:hAnsi="Times New Roman"/>
                <w:sz w:val="8"/>
                <w:szCs w:val="8"/>
                <w:color w:val="auto"/>
              </w:rPr>
              <w:t>(3), (4)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09/12/2022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6.80%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L+575A</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14,755,747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10,483,859</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9,952,014</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Long's Drugs Incorporated</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08/19/2022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17,820,000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17,688,160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17,641,800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05/01/2023</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rPr>
              <w:t>Retail</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7,078,125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7,118,977</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6,575,083</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Manna Pro Products,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12/08/2023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8.05%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6,877,500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6,797,207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6,688,369</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8"/>
                <w:szCs w:val="8"/>
                <w:color w:val="auto"/>
              </w:rPr>
              <w:t>(4)</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01/27/2021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7.20%</w:t>
            </w:r>
          </w:p>
        </w:tc>
        <w:tc>
          <w:tcPr>
            <w:tcW w:w="500" w:type="dxa"/>
            <w:vAlign w:val="bottom"/>
            <w:shd w:val="clear" w:color="auto" w:fill="CCECFF"/>
          </w:tcPr>
          <w:p>
            <w:pPr>
              <w:spacing w:after="0"/>
              <w:rPr>
                <w:sz w:val="11"/>
                <w:szCs w:val="11"/>
                <w:color w:val="auto"/>
              </w:rPr>
            </w:pP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P+275C</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5,760,254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4,461,926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4,350,645</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09/28/2022</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6,009,982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5,977,867</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6,009,982</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Milani Group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06/06/2024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14,812,500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14,691,710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14,664,375</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Olde Thompson,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05/14/2024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6.54%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11,876,667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11,757,900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11,876,667</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03/27/2024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6.54%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7,883,419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7,909,754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6,779,740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Pestell Minerals and Ingredients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06/01/2023</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7.57%</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9,840,202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9,825,750</w:t>
            </w:r>
          </w:p>
        </w:tc>
        <w:tc>
          <w:tcPr>
            <w:tcW w:w="120" w:type="dxa"/>
            <w:vAlign w:val="bottom"/>
          </w:tcPr>
          <w:p>
            <w:pPr>
              <w:spacing w:after="0"/>
              <w:rPr>
                <w:sz w:val="10"/>
                <w:szCs w:val="10"/>
                <w:color w:val="auto"/>
              </w:rPr>
            </w:pPr>
          </w:p>
        </w:tc>
      </w:tr>
      <w:tr>
        <w:trPr>
          <w:trHeight w:val="13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Pestell Minerals and Ingredients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06/01/2023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7.23%</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L+525C</w:t>
            </w:r>
          </w:p>
        </w:tc>
        <w:tc>
          <w:tcPr>
            <w:tcW w:w="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3,242,655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2,412,626</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2,424,644</w:t>
            </w:r>
          </w:p>
        </w:tc>
        <w:tc>
          <w:tcPr>
            <w:tcW w:w="120" w:type="dxa"/>
            <w:vAlign w:val="bottom"/>
            <w:shd w:val="clear" w:color="auto" w:fill="CCECFF"/>
          </w:tcPr>
          <w:p>
            <w:pPr>
              <w:spacing w:after="0"/>
              <w:rPr>
                <w:sz w:val="11"/>
                <w:szCs w:val="11"/>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09/29/2025</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7.04%</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9,892,519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9,804,058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9,397,893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Plant Health Intermediate,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10/19/2022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L+575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1,758,406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1,736,386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1,740,822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8"/>
              </w:rPr>
              <w:t>05/8/2026</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4,189,500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4,148,451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4,184,263</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10/14/2024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6.66%</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11,289,688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11,189,470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11,176,791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Snak Club,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07/19/2021</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8.10%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L+600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4,687,495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4,687,495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4,359,370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Sonny's Enterprises,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12/01/2022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6.35%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15,224,842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15,227,900</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15,224,842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07/18/2025</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7.29%</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4,804,110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4,762,500</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Infosoft Group,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12/02/2021</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8"/>
              </w:rPr>
              <w:t>Media: Broadcasting and Subscription</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7.43%</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6M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L+500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8,823,392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8,790,069</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8,735,157</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TVC Enterprises,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01/18/2024</w:t>
            </w:r>
          </w:p>
        </w:tc>
        <w:tc>
          <w:tcPr>
            <w:tcW w:w="220" w:type="dxa"/>
            <w:vAlign w:val="bottom"/>
          </w:tcPr>
          <w:p>
            <w:pPr>
              <w:spacing w:after="0"/>
              <w:rPr>
                <w:sz w:val="10"/>
                <w:szCs w:val="1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7.55%</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L+550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9,974,874</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06/16/2025</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Diversified Consumer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8.28%</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L+625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7,075,000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6,937,888</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6,933,500</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UBEO,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04/03/2024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6.78%</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22,248,673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22,045,879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22,026,186</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Associates, LLC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08/30/2024</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8"/>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7.04%</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L+450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11,572,122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11,388,612</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11,572,122</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09/26/2024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9"/>
              </w:rPr>
              <w:t>Wholesale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8.83%</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L+650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16,001,734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15,724,459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16,121,747</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Whitney, Bradley &amp; Brown, Inc.</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10/18/2022</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9"/>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9.55%</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L+750</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5,466,024</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5,389,938</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5,466,024</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478,935,867</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474,289,532</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Second Lien Secured Debt—14.8%</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Country Fresh Holdings, LLC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04/29/2024</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10.60%</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w w:val="97"/>
              </w:rPr>
              <w:t>L+850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870,886</w:t>
            </w:r>
          </w:p>
        </w:tc>
        <w:tc>
          <w:tcPr>
            <w:tcW w:w="120" w:type="dxa"/>
            <w:vAlign w:val="bottom"/>
          </w:tcPr>
          <w:p>
            <w:pPr>
              <w:spacing w:after="0"/>
              <w:rPr>
                <w:sz w:val="10"/>
                <w:szCs w:val="10"/>
                <w:color w:val="auto"/>
              </w:rPr>
            </w:pPr>
          </w:p>
        </w:tc>
      </w:tr>
      <w:tr>
        <w:trPr>
          <w:trHeight w:val="123"/>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10.60%)</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Term Loan B</w:t>
            </w:r>
          </w:p>
        </w:tc>
        <w:tc>
          <w:tcPr>
            <w:tcW w:w="660" w:type="dxa"/>
            <w:vAlign w:val="bottom"/>
            <w:gridSpan w:val="2"/>
            <w:shd w:val="clear" w:color="auto" w:fill="CCECFF"/>
          </w:tcPr>
          <w:p>
            <w:pPr>
              <w:jc w:val="center"/>
              <w:ind w:left="50"/>
              <w:spacing w:after="0"/>
              <w:rPr>
                <w:sz w:val="20"/>
                <w:szCs w:val="20"/>
                <w:color w:val="auto"/>
              </w:rPr>
            </w:pPr>
            <w:r>
              <w:rPr>
                <w:rFonts w:ascii="Times New Roman" w:cs="Times New Roman" w:eastAsia="Times New Roman" w:hAnsi="Times New Roman"/>
                <w:sz w:val="10"/>
                <w:szCs w:val="10"/>
                <w:color w:val="auto"/>
                <w:w w:val="96"/>
              </w:rPr>
              <w:t>03/26/2021</w:t>
            </w:r>
          </w:p>
        </w:tc>
        <w:tc>
          <w:tcPr>
            <w:tcW w:w="220" w:type="dxa"/>
            <w:vAlign w:val="bottom"/>
            <w:shd w:val="clear" w:color="auto" w:fill="CCECFF"/>
          </w:tcPr>
          <w:p>
            <w:pPr>
              <w:spacing w:after="0"/>
              <w:rPr>
                <w:sz w:val="10"/>
                <w:szCs w:val="10"/>
                <w:color w:val="auto"/>
              </w:rPr>
            </w:pP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6M</w:t>
            </w: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97"/>
              </w:rPr>
              <w:t>L+525</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15,206</w:t>
            </w:r>
          </w:p>
        </w:tc>
        <w:tc>
          <w:tcPr>
            <w:tcW w:w="120" w:type="dxa"/>
            <w:vAlign w:val="bottom"/>
            <w:shd w:val="clear" w:color="auto" w:fill="CCECFF"/>
          </w:tcPr>
          <w:p>
            <w:pPr>
              <w:spacing w:after="0"/>
              <w:rPr>
                <w:sz w:val="10"/>
                <w:szCs w:val="10"/>
                <w:color w:val="auto"/>
              </w:rPr>
            </w:pPr>
          </w:p>
        </w:tc>
      </w:tr>
      <w:tr>
        <w:trPr>
          <w:trHeight w:val="124"/>
        </w:trPr>
        <w:tc>
          <w:tcPr>
            <w:tcW w:w="21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(PIK 8.00%)</w:t>
            </w: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25"/>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Term Loan C</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0"/>
                <w:szCs w:val="10"/>
                <w:color w:val="auto"/>
                <w:w w:val="96"/>
              </w:rPr>
              <w:t>02/02/2026</w:t>
            </w:r>
          </w:p>
        </w:tc>
        <w:tc>
          <w:tcPr>
            <w:tcW w:w="220" w:type="dxa"/>
            <w:vAlign w:val="bottom"/>
          </w:tcPr>
          <w:p>
            <w:pPr>
              <w:spacing w:after="0"/>
              <w:rPr>
                <w:sz w:val="10"/>
                <w:szCs w:val="10"/>
                <w:color w:val="auto"/>
              </w:rPr>
            </w:pP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7,607,291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7,607,291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7,569,255</w:t>
            </w:r>
          </w:p>
        </w:tc>
        <w:tc>
          <w:tcPr>
            <w:tcW w:w="120" w:type="dxa"/>
            <w:vAlign w:val="bottom"/>
          </w:tcPr>
          <w:p>
            <w:pPr>
              <w:spacing w:after="0"/>
              <w:rPr>
                <w:sz w:val="10"/>
                <w:szCs w:val="10"/>
                <w:color w:val="auto"/>
              </w:rPr>
            </w:pPr>
          </w:p>
        </w:tc>
      </w:tr>
      <w:tr>
        <w:trPr>
          <w:trHeight w:val="123"/>
        </w:trPr>
        <w:tc>
          <w:tcPr>
            <w:tcW w:w="2120" w:type="dxa"/>
            <w:vAlign w:val="bottom"/>
            <w:tcBorders>
              <w:bottom w:val="single" w:sz="8" w:color="CCECFF"/>
            </w:tcBorders>
          </w:tcPr>
          <w:p>
            <w:pPr>
              <w:spacing w:after="0"/>
              <w:rPr>
                <w:sz w:val="10"/>
                <w:szCs w:val="10"/>
                <w:color w:val="auto"/>
              </w:rPr>
            </w:pPr>
          </w:p>
        </w:tc>
        <w:tc>
          <w:tcPr>
            <w:tcW w:w="9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(PIK 8.00%)</w:t>
            </w: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8,493,383</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8,455,347</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Equity Securities—10.2%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Country Fresh Holding Company Inc.</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Beverage, Food and Tobacco</w:t>
            </w: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1,317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1,713,106</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1,124,929</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DBI Holding, LLC, Series A-1</w:t>
            </w:r>
          </w:p>
        </w:tc>
        <w:tc>
          <w:tcPr>
            <w:tcW w:w="120" w:type="dxa"/>
            <w:vAlign w:val="bottom"/>
          </w:tcPr>
          <w:p>
            <w:pPr>
              <w:spacing w:after="0"/>
              <w:rPr>
                <w:sz w:val="10"/>
                <w:szCs w:val="1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0"/>
                <w:szCs w:val="1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5,034,310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4,680,039</w:t>
            </w: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DBI Holding, LLC, Series B</w:t>
            </w:r>
          </w:p>
        </w:tc>
        <w:tc>
          <w:tcPr>
            <w:tcW w:w="120" w:type="dxa"/>
            <w:vAlign w:val="bottom"/>
            <w:shd w:val="clear" w:color="auto" w:fill="CCECFF"/>
          </w:tcPr>
          <w:p>
            <w:pPr>
              <w:spacing w:after="0"/>
              <w:rPr>
                <w:sz w:val="10"/>
                <w:szCs w:val="10"/>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28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0"/>
                <w:szCs w:val="10"/>
                <w:color w:val="auto"/>
              </w:rPr>
            </w:pPr>
          </w:p>
        </w:tc>
        <w:tc>
          <w:tcPr>
            <w:tcW w:w="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1,065,021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236,524</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1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6,983,940</w:t>
            </w:r>
          </w:p>
        </w:tc>
        <w:tc>
          <w:tcPr>
            <w:tcW w:w="240" w:type="dxa"/>
            <w:vAlign w:val="bottom"/>
            <w:tcBorders>
              <w:bottom w:val="single" w:sz="8" w:color="CCEC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5,804,968</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Investments—855.5%</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494,413,190</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488,549,847</w:t>
            </w:r>
          </w:p>
        </w:tc>
        <w:tc>
          <w:tcPr>
            <w:tcW w:w="120" w:type="dxa"/>
            <w:vAlign w:val="bottom"/>
            <w:shd w:val="clear" w:color="auto" w:fill="CCECFF"/>
          </w:tcPr>
          <w:p>
            <w:pPr>
              <w:spacing w:after="0"/>
              <w:rPr>
                <w:sz w:val="10"/>
                <w:szCs w:val="10"/>
                <w:color w:val="auto"/>
              </w:rPr>
            </w:pP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Equivalents—26.8%</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12,166,301</w:t>
            </w:r>
          </w:p>
        </w:tc>
        <w:tc>
          <w:tcPr>
            <w:tcW w:w="24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12,166,301</w:t>
            </w:r>
          </w:p>
        </w:tc>
        <w:tc>
          <w:tcPr>
            <w:tcW w:w="120" w:type="dxa"/>
            <w:vAlign w:val="bottom"/>
            <w:shd w:val="clear" w:color="auto" w:fill="CCECFF"/>
          </w:tcPr>
          <w:p>
            <w:pPr>
              <w:spacing w:after="0"/>
              <w:rPr>
                <w:sz w:val="10"/>
                <w:szCs w:val="10"/>
                <w:color w:val="auto"/>
              </w:rPr>
            </w:pPr>
          </w:p>
        </w:tc>
      </w:tr>
      <w:tr>
        <w:trPr>
          <w:trHeight w:val="124"/>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color w:val="auto"/>
              </w:rPr>
              <w:t>US Bank Cash</w:t>
            </w:r>
          </w:p>
        </w:tc>
        <w:tc>
          <w:tcPr>
            <w:tcW w:w="120" w:type="dxa"/>
            <w:vAlign w:val="bottom"/>
            <w:tcBorders>
              <w:bottom w:val="single" w:sz="8" w:color="CCECFF"/>
            </w:tcBorders>
          </w:tcPr>
          <w:p>
            <w:pPr>
              <w:spacing w:after="0"/>
              <w:rPr>
                <w:sz w:val="10"/>
                <w:szCs w:val="10"/>
                <w:color w:val="auto"/>
              </w:rPr>
            </w:pPr>
          </w:p>
        </w:tc>
        <w:tc>
          <w:tcPr>
            <w:tcW w:w="5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268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80" w:type="dxa"/>
            <w:vAlign w:val="bottom"/>
            <w:tcBorders>
              <w:bottom w:val="single" w:sz="8" w:color="CCECFF"/>
            </w:tcBorders>
          </w:tcPr>
          <w:p>
            <w:pPr>
              <w:spacing w:after="0"/>
              <w:rPr>
                <w:sz w:val="10"/>
                <w:szCs w:val="10"/>
                <w:color w:val="auto"/>
              </w:rPr>
            </w:pPr>
          </w:p>
        </w:tc>
        <w:tc>
          <w:tcPr>
            <w:tcW w:w="260" w:type="dxa"/>
            <w:vAlign w:val="bottom"/>
            <w:tcBorders>
              <w:bottom w:val="single" w:sz="8" w:color="CCECFF"/>
            </w:tcBorders>
          </w:tcPr>
          <w:p>
            <w:pPr>
              <w:spacing w:after="0"/>
              <w:rPr>
                <w:sz w:val="10"/>
                <w:szCs w:val="10"/>
                <w:color w:val="auto"/>
              </w:rPr>
            </w:pPr>
          </w:p>
        </w:tc>
        <w:tc>
          <w:tcPr>
            <w:tcW w:w="500" w:type="dxa"/>
            <w:vAlign w:val="bottom"/>
            <w:tcBorders>
              <w:bottom w:val="single" w:sz="8" w:color="CCECFF"/>
            </w:tcBorders>
          </w:tcPr>
          <w:p>
            <w:pPr>
              <w:spacing w:after="0"/>
              <w:rPr>
                <w:sz w:val="10"/>
                <w:szCs w:val="10"/>
                <w:color w:val="auto"/>
              </w:rPr>
            </w:pPr>
          </w:p>
        </w:tc>
        <w:tc>
          <w:tcPr>
            <w:tcW w:w="280" w:type="dxa"/>
            <w:vAlign w:val="bottom"/>
            <w:tcBorders>
              <w:bottom w:val="single" w:sz="8" w:color="CCECFF"/>
            </w:tcBorders>
          </w:tcPr>
          <w:p>
            <w:pPr>
              <w:spacing w:after="0"/>
              <w:rPr>
                <w:sz w:val="10"/>
                <w:szCs w:val="10"/>
                <w:color w:val="auto"/>
              </w:rPr>
            </w:pPr>
          </w:p>
        </w:tc>
        <w:tc>
          <w:tcPr>
            <w:tcW w:w="14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5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3,156,230</w:t>
            </w:r>
          </w:p>
        </w:tc>
        <w:tc>
          <w:tcPr>
            <w:tcW w:w="24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3,128,580</w:t>
            </w:r>
          </w:p>
        </w:tc>
        <w:tc>
          <w:tcPr>
            <w:tcW w:w="120" w:type="dxa"/>
            <w:vAlign w:val="bottom"/>
            <w:tcBorders>
              <w:bottom w:val="single" w:sz="8" w:color="CCECFF"/>
            </w:tcBorders>
          </w:tcPr>
          <w:p>
            <w:pPr>
              <w:spacing w:after="0"/>
              <w:rPr>
                <w:sz w:val="10"/>
                <w:szCs w:val="10"/>
                <w:color w:val="auto"/>
              </w:rPr>
            </w:pPr>
          </w:p>
        </w:tc>
      </w:tr>
      <w:tr>
        <w:trPr>
          <w:trHeight w:val="116"/>
        </w:trPr>
        <w:tc>
          <w:tcPr>
            <w:tcW w:w="30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15,322,531</w:t>
            </w:r>
          </w:p>
        </w:tc>
        <w:tc>
          <w:tcPr>
            <w:tcW w:w="24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15,294,881</w:t>
            </w:r>
          </w:p>
        </w:tc>
        <w:tc>
          <w:tcPr>
            <w:tcW w:w="120" w:type="dxa"/>
            <w:vAlign w:val="bottom"/>
            <w:shd w:val="clear" w:color="auto" w:fill="CCECFF"/>
          </w:tcPr>
          <w:p>
            <w:pPr>
              <w:spacing w:after="0"/>
              <w:rPr>
                <w:sz w:val="10"/>
                <w:szCs w:val="10"/>
                <w:color w:val="auto"/>
              </w:rPr>
            </w:pPr>
          </w:p>
        </w:tc>
      </w:tr>
      <w:tr>
        <w:trPr>
          <w:trHeight w:val="156"/>
        </w:trPr>
        <w:tc>
          <w:tcPr>
            <w:tcW w:w="30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Equivalents—882.3%</w:t>
            </w:r>
          </w:p>
        </w:tc>
        <w:tc>
          <w:tcPr>
            <w:tcW w:w="120" w:type="dxa"/>
            <w:vAlign w:val="bottom"/>
            <w:tcBorders>
              <w:bottom w:val="single" w:sz="8" w:color="CCECFF"/>
            </w:tcBorders>
          </w:tcPr>
          <w:p>
            <w:pPr>
              <w:spacing w:after="0"/>
              <w:rPr>
                <w:sz w:val="13"/>
                <w:szCs w:val="13"/>
                <w:color w:val="auto"/>
              </w:rPr>
            </w:pPr>
          </w:p>
        </w:tc>
        <w:tc>
          <w:tcPr>
            <w:tcW w:w="54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268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500" w:type="dxa"/>
            <w:vAlign w:val="bottom"/>
            <w:tcBorders>
              <w:bottom w:val="single" w:sz="8" w:color="CCECFF"/>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509,735,721</w:t>
            </w:r>
          </w:p>
        </w:tc>
        <w:tc>
          <w:tcPr>
            <w:tcW w:w="24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503,844,728</w:t>
            </w:r>
          </w:p>
        </w:tc>
        <w:tc>
          <w:tcPr>
            <w:tcW w:w="120" w:type="dxa"/>
            <w:vAlign w:val="bottom"/>
            <w:tcBorders>
              <w:bottom w:val="single" w:sz="8" w:color="CCECFF"/>
            </w:tcBorders>
          </w:tcPr>
          <w:p>
            <w:pPr>
              <w:spacing w:after="0"/>
              <w:rPr>
                <w:sz w:val="13"/>
                <w:szCs w:val="13"/>
                <w:color w:val="auto"/>
              </w:rPr>
            </w:pPr>
          </w:p>
        </w:tc>
      </w:tr>
      <w:tr>
        <w:trPr>
          <w:trHeight w:val="101"/>
        </w:trPr>
        <w:tc>
          <w:tcPr>
            <w:tcW w:w="3040" w:type="dxa"/>
            <w:vAlign w:val="bottom"/>
            <w:gridSpan w:val="2"/>
            <w:shd w:val="clear" w:color="auto" w:fill="CCEC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Liabilities in Excess of Other Assets—(782.3)%</w:t>
            </w:r>
          </w:p>
        </w:tc>
        <w:tc>
          <w:tcPr>
            <w:tcW w:w="12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26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60" w:type="dxa"/>
            <w:vAlign w:val="bottom"/>
            <w:gridSpan w:val="2"/>
            <w:shd w:val="clear" w:color="auto" w:fill="CCECFF"/>
          </w:tcPr>
          <w:p>
            <w:pPr>
              <w:jc w:val="right"/>
              <w:ind w:right="80"/>
              <w:spacing w:after="0" w:line="101" w:lineRule="exact"/>
              <w:rPr>
                <w:sz w:val="20"/>
                <w:szCs w:val="20"/>
                <w:color w:val="auto"/>
              </w:rPr>
            </w:pPr>
            <w:r>
              <w:rPr>
                <w:rFonts w:ascii="Times New Roman" w:cs="Times New Roman" w:eastAsia="Times New Roman" w:hAnsi="Times New Roman"/>
                <w:sz w:val="10"/>
                <w:szCs w:val="10"/>
                <w:color w:val="auto"/>
              </w:rPr>
              <w:t>(446,736,922)</w:t>
            </w:r>
          </w:p>
        </w:tc>
      </w:tr>
      <w:tr>
        <w:trPr>
          <w:trHeight w:val="116"/>
        </w:trPr>
        <w:tc>
          <w:tcPr>
            <w:tcW w:w="3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57,107,806</w:t>
            </w:r>
          </w:p>
        </w:tc>
        <w:tc>
          <w:tcPr>
            <w:tcW w:w="120" w:type="dxa"/>
            <w:vAlign w:val="bottom"/>
          </w:tcPr>
          <w:p>
            <w:pPr>
              <w:spacing w:after="0"/>
              <w:rPr>
                <w:sz w:val="10"/>
                <w:szCs w:val="10"/>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 w:lineRule="exact"/>
        <w:rPr>
          <w:sz w:val="20"/>
          <w:szCs w:val="20"/>
          <w:color w:val="auto"/>
        </w:rPr>
      </w:pPr>
    </w:p>
    <w:p>
      <w:pPr>
        <w:ind w:left="361" w:right="220" w:hanging="361"/>
        <w:spacing w:after="0" w:line="259" w:lineRule="auto"/>
        <w:tabs>
          <w:tab w:leader="none" w:pos="361"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11"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34" w:lineRule="exact"/>
        <w:rPr>
          <w:rFonts w:ascii="Times New Roman" w:cs="Times New Roman" w:eastAsia="Times New Roman" w:hAnsi="Times New Roman"/>
          <w:sz w:val="11"/>
          <w:szCs w:val="11"/>
          <w:color w:val="auto"/>
        </w:rPr>
      </w:pPr>
    </w:p>
    <w:p>
      <w:pPr>
        <w:ind w:left="361" w:hanging="361"/>
        <w:spacing w:after="0"/>
        <w:tabs>
          <w:tab w:leader="none" w:pos="361"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Canadian Dollars (C$) as denoted.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6"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58" w:lineRule="exact"/>
        <w:rPr>
          <w:sz w:val="20"/>
          <w:szCs w:val="20"/>
          <w:color w:val="auto"/>
        </w:rPr>
      </w:pPr>
    </w:p>
    <w:p>
      <w:pPr>
        <w:ind w:left="361" w:hanging="361"/>
        <w:spacing w:after="0"/>
        <w:tabs>
          <w:tab w:leader="none" w:pos="361"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6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Below is the financial information for PSSL:</w:t>
      </w:r>
    </w:p>
    <w:p>
      <w:pPr>
        <w:spacing w:after="0" w:line="34"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520" w:type="dxa"/>
            <w:vAlign w:val="bottom"/>
            <w:gridSpan w:val="2"/>
          </w:tcPr>
          <w:p>
            <w:pPr>
              <w:jc w:val="right"/>
              <w:ind w:right="1265"/>
              <w:spacing w:after="0"/>
              <w:rPr>
                <w:sz w:val="20"/>
                <w:szCs w:val="20"/>
                <w:color w:val="auto"/>
              </w:rPr>
            </w:pPr>
            <w:r>
              <w:rPr>
                <w:rFonts w:ascii="Times New Roman" w:cs="Times New Roman" w:eastAsia="Times New Roman" w:hAnsi="Times New Roman"/>
                <w:sz w:val="13"/>
                <w:szCs w:val="13"/>
                <w:b w:val="1"/>
                <w:bCs w:val="1"/>
                <w:color w:val="auto"/>
              </w:rPr>
              <w:t>Statements of Assets and Liabilities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0" w:type="dxa"/>
            <w:vAlign w:val="bottom"/>
          </w:tcPr>
          <w:p>
            <w:pPr>
              <w:spacing w:after="0"/>
              <w:rPr>
                <w:sz w:val="1"/>
                <w:szCs w:val="1"/>
                <w:color w:val="auto"/>
              </w:rPr>
            </w:pPr>
          </w:p>
        </w:tc>
      </w:tr>
      <w:tr>
        <w:trPr>
          <w:trHeight w:val="141"/>
        </w:trPr>
        <w:tc>
          <w:tcPr>
            <w:tcW w:w="436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Investments at fair value (cost—$408,251,402 and $494,413,190, respectively)</w:t>
            </w:r>
          </w:p>
        </w:tc>
        <w:tc>
          <w:tcPr>
            <w:tcW w:w="352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392,986,090</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488,549,847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 (cost—$11,115,373 and $15,322,531, respectively)</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11,121,479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15,294,881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2,235,595</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1,855,545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62,812</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996,333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406,405,976</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506,696,606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216,969,469</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308,724,305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payable to members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143,290,000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credit facility</w:t>
            </w:r>
          </w:p>
        </w:tc>
        <w:tc>
          <w:tcPr>
            <w:tcW w:w="3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490,858</w:t>
            </w: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1,152,544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payable on members notes</w:t>
            </w: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other expenses</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10,845</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22,754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360,793,891</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449,588,800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 xml:space="preserve">Commitments and contingencies </w:t>
            </w:r>
            <w:r>
              <w:rPr>
                <w:rFonts w:ascii="Times New Roman" w:cs="Times New Roman" w:eastAsia="Times New Roman" w:hAnsi="Times New Roman"/>
                <w:sz w:val="11"/>
                <w:szCs w:val="11"/>
                <w:color w:val="auto"/>
              </w:rPr>
              <w:t>(1)</w:t>
            </w:r>
          </w:p>
        </w:tc>
        <w:tc>
          <w:tcPr>
            <w:tcW w:w="33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Members' equity</w:t>
            </w:r>
          </w:p>
        </w:tc>
        <w:tc>
          <w:tcPr>
            <w:tcW w:w="33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45,612,085</w:t>
            </w:r>
          </w:p>
        </w:tc>
        <w:tc>
          <w:tcPr>
            <w:tcW w:w="28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57,107,806</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Borders>
              <w:bottom w:val="single" w:sz="8" w:color="CCECFF"/>
            </w:tcBorders>
            <w:gridSpan w:val="2"/>
            <w:shd w:val="clear" w:color="auto" w:fill="CCECFF"/>
          </w:tcPr>
          <w:p>
            <w:pPr>
              <w:ind w:left="6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3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406,405,976</w:t>
            </w:r>
          </w:p>
        </w:tc>
        <w:tc>
          <w:tcPr>
            <w:tcW w:w="2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506,696,606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ind w:left="361" w:hanging="361"/>
        <w:spacing w:after="0" w:line="195" w:lineRule="auto"/>
        <w:tabs>
          <w:tab w:leader="none" w:pos="361" w:val="left"/>
        </w:tabs>
        <w:numPr>
          <w:ilvl w:val="0"/>
          <w:numId w:val="72"/>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As of both September 30, 2020 and 2019, PSSL had no unfunded commitments to fund investments.</w:t>
      </w:r>
    </w:p>
    <w:p>
      <w:pPr>
        <w:spacing w:after="0" w:line="132"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60" w:type="dxa"/>
            <w:vAlign w:val="bottom"/>
            <w:gridSpan w:val="2"/>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Statements of Operations</w:t>
            </w: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40" w:type="dxa"/>
            <w:vAlign w:val="bottom"/>
          </w:tcPr>
          <w:p>
            <w:pPr>
              <w:spacing w:after="0"/>
              <w:rPr>
                <w:sz w:val="15"/>
                <w:szCs w:val="15"/>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40" w:type="dxa"/>
            <w:vAlign w:val="bottom"/>
          </w:tcPr>
          <w:p>
            <w:pPr>
              <w:spacing w:after="0"/>
              <w:rPr>
                <w:sz w:val="15"/>
                <w:szCs w:val="15"/>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11"/>
        </w:trPr>
        <w:tc>
          <w:tcPr>
            <w:tcW w:w="2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44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460" w:type="dxa"/>
            <w:vAlign w:val="bottom"/>
            <w:gridSpan w:val="2"/>
          </w:tcPr>
          <w:p>
            <w:pPr>
              <w:jc w:val="center"/>
              <w:ind w:right="46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58"/>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6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w:t>
            </w:r>
          </w:p>
        </w:tc>
        <w:tc>
          <w:tcPr>
            <w:tcW w:w="2060" w:type="dxa"/>
            <w:vAlign w:val="bottom"/>
            <w:gridSpan w:val="2"/>
            <w:shd w:val="clear" w:color="auto" w:fill="CCEC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33,260,154</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39,288,981</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17,744,486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CEC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income</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138,795</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785,111</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280,080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33,398,949</w:t>
            </w:r>
          </w:p>
        </w:tc>
        <w:tc>
          <w:tcPr>
            <w:tcW w:w="30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40,074,092</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18,024,566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Interest and expenses on credit facility</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11,865,971</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16,487,783</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7,654,035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Interest expense on members notes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13,531,037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14,247,817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6,060,468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1,200,000</w:t>
            </w: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Borders>
              <w:bottom w:val="single" w:sz="8" w:color="CCEC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 xml:space="preserve">Other general and administrative expenses </w:t>
            </w:r>
            <w:r>
              <w:rPr>
                <w:rFonts w:ascii="Times New Roman" w:cs="Times New Roman" w:eastAsia="Times New Roman" w:hAnsi="Times New Roman"/>
                <w:sz w:val="11"/>
                <w:szCs w:val="11"/>
                <w:color w:val="auto"/>
              </w:rPr>
              <w:t>(1)</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485,660</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454,600</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692,736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gridSpan w:val="2"/>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Total expenses</w:t>
            </w:r>
          </w:p>
        </w:tc>
        <w:tc>
          <w:tcPr>
            <w:tcW w:w="192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27,082,668</w:t>
            </w:r>
          </w:p>
        </w:tc>
        <w:tc>
          <w:tcPr>
            <w:tcW w:w="30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32,340,200</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15,057,239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60" w:type="dxa"/>
            <w:vAlign w:val="bottom"/>
            <w:tcBorders>
              <w:bottom w:val="single" w:sz="8" w:color="CCECFF"/>
            </w:tcBorders>
            <w:gridSpan w:val="2"/>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Net investment income</w:t>
            </w:r>
          </w:p>
        </w:tc>
        <w:tc>
          <w:tcPr>
            <w:tcW w:w="192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6,316,281</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7,733,892</w:t>
            </w:r>
          </w:p>
        </w:tc>
        <w:tc>
          <w:tcPr>
            <w:tcW w:w="30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2,967,327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60" w:type="dxa"/>
            <w:vAlign w:val="bottom"/>
            <w:gridSpan w:val="2"/>
            <w:shd w:val="clear" w:color="auto" w:fill="CCEC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Realized and unrealized (loss) gain on investments and credit facility foreign</w:t>
            </w:r>
          </w:p>
        </w:tc>
        <w:tc>
          <w:tcPr>
            <w:tcW w:w="19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60" w:type="dxa"/>
            <w:vAlign w:val="bottom"/>
            <w:shd w:val="clear" w:color="auto" w:fill="CCECFF"/>
          </w:tcPr>
          <w:p>
            <w:pPr>
              <w:spacing w:after="0"/>
              <w:rPr>
                <w:sz w:val="10"/>
                <w:szCs w:val="10"/>
                <w:color w:val="auto"/>
              </w:rPr>
            </w:pPr>
          </w:p>
        </w:tc>
        <w:tc>
          <w:tcPr>
            <w:tcW w:w="300" w:type="dxa"/>
            <w:vAlign w:val="bottom"/>
            <w:tcBorders>
              <w:right w:val="single" w:sz="8" w:color="CCECFF"/>
            </w:tcBorders>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1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currency translations:</w:t>
            </w:r>
          </w:p>
        </w:tc>
        <w:tc>
          <w:tcPr>
            <w:tcW w:w="1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300" w:type="dxa"/>
            <w:vAlign w:val="bottom"/>
            <w:tcBorders>
              <w:right w:val="single" w:sz="8" w:color="CCECFF"/>
            </w:tcBorders>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realized (loss) gain on investments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(992,974)</w:t>
            </w:r>
          </w:p>
        </w:tc>
        <w:tc>
          <w:tcPr>
            <w:tcW w:w="14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(885,069)</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change in unrealized (depreciation) appreciation on:</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Investments</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(9,368,121)</w:t>
            </w:r>
          </w:p>
        </w:tc>
        <w:tc>
          <w:tcPr>
            <w:tcW w:w="14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(5,976,299)</w:t>
            </w:r>
          </w:p>
        </w:tc>
        <w:tc>
          <w:tcPr>
            <w:tcW w:w="14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(364,201)</w:t>
            </w:r>
          </w:p>
        </w:tc>
        <w:tc>
          <w:tcPr>
            <w:tcW w:w="0" w:type="dxa"/>
            <w:vAlign w:val="bottom"/>
          </w:tcPr>
          <w:p>
            <w:pPr>
              <w:spacing w:after="0"/>
              <w:rPr>
                <w:sz w:val="1"/>
                <w:szCs w:val="1"/>
                <w:color w:val="auto"/>
              </w:rPr>
            </w:pPr>
          </w:p>
        </w:tc>
      </w:tr>
      <w:tr>
        <w:trPr>
          <w:trHeight w:val="149"/>
        </w:trPr>
        <w:tc>
          <w:tcPr>
            <w:tcW w:w="476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Credit facility foreign currency translation</w:t>
            </w:r>
          </w:p>
        </w:tc>
        <w:tc>
          <w:tcPr>
            <w:tcW w:w="1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(2,210,907)</w:t>
            </w:r>
          </w:p>
        </w:tc>
        <w:tc>
          <w:tcPr>
            <w:tcW w:w="1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1,887,878</w:t>
            </w:r>
          </w:p>
        </w:tc>
        <w:tc>
          <w:tcPr>
            <w:tcW w:w="300" w:type="dxa"/>
            <w:vAlign w:val="bottom"/>
            <w:tcBorders>
              <w:right w:val="single" w:sz="8" w:color="CCECFF"/>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220"/>
              <w:spacing w:after="0" w:line="139" w:lineRule="exact"/>
              <w:rPr>
                <w:sz w:val="20"/>
                <w:szCs w:val="20"/>
                <w:color w:val="auto"/>
              </w:rPr>
            </w:pPr>
            <w:r>
              <w:rPr>
                <w:rFonts w:ascii="Times New Roman" w:cs="Times New Roman" w:eastAsia="Times New Roman" w:hAnsi="Times New Roman"/>
                <w:sz w:val="13"/>
                <w:szCs w:val="13"/>
                <w:b w:val="1"/>
                <w:bCs w:val="1"/>
                <w:color w:val="auto"/>
              </w:rPr>
              <w:t>Net change in unrealized (depreciation) appreciation on investments and credit</w:t>
            </w: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(11,579,028)</w:t>
            </w:r>
          </w:p>
        </w:tc>
        <w:tc>
          <w:tcPr>
            <w:tcW w:w="140" w:type="dxa"/>
            <w:vAlign w:val="bottom"/>
          </w:tcPr>
          <w:p>
            <w:pPr>
              <w:spacing w:after="0"/>
              <w:rPr>
                <w:sz w:val="10"/>
                <w:szCs w:val="10"/>
                <w:color w:val="auto"/>
              </w:rPr>
            </w:pPr>
          </w:p>
        </w:tc>
        <w:tc>
          <w:tcPr>
            <w:tcW w:w="1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(4,088,421)</w:t>
            </w:r>
          </w:p>
        </w:tc>
        <w:tc>
          <w:tcPr>
            <w:tcW w:w="1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facility foreign currency translations</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CFF"/>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Net realized and unrealized (loss) gain from investments and credit facility foreign</w:t>
            </w:r>
          </w:p>
        </w:tc>
        <w:tc>
          <w:tcPr>
            <w:tcW w:w="19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760" w:type="dxa"/>
            <w:vAlign w:val="bottom"/>
            <w:gridSpan w:val="2"/>
            <w:vMerge w:val="continue"/>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4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(12,572,002)</w:t>
            </w:r>
          </w:p>
        </w:tc>
        <w:tc>
          <w:tcPr>
            <w:tcW w:w="140" w:type="dxa"/>
            <w:vAlign w:val="bottom"/>
            <w:shd w:val="clear" w:color="auto" w:fill="CCECFF"/>
          </w:tcPr>
          <w:p>
            <w:pPr>
              <w:spacing w:after="0"/>
              <w:rPr>
                <w:sz w:val="10"/>
                <w:szCs w:val="10"/>
                <w:color w:val="auto"/>
              </w:rPr>
            </w:pPr>
          </w:p>
        </w:tc>
        <w:tc>
          <w:tcPr>
            <w:tcW w:w="1460" w:type="dxa"/>
            <w:vAlign w:val="bottom"/>
            <w:tcBorders>
              <w:right w:val="single" w:sz="8" w:color="CCECFF"/>
            </w:tcBorders>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(4,973,490)</w:t>
            </w:r>
          </w:p>
        </w:tc>
        <w:tc>
          <w:tcPr>
            <w:tcW w:w="140" w:type="dxa"/>
            <w:vAlign w:val="bottom"/>
            <w:shd w:val="clear" w:color="auto" w:fill="CCECFF"/>
          </w:tcPr>
          <w:p>
            <w:pPr>
              <w:spacing w:after="0"/>
              <w:rPr>
                <w:sz w:val="10"/>
                <w:szCs w:val="10"/>
                <w:color w:val="auto"/>
              </w:rPr>
            </w:pPr>
          </w:p>
        </w:tc>
        <w:tc>
          <w:tcPr>
            <w:tcW w:w="1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629,913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7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currency translations</w:t>
            </w:r>
          </w:p>
        </w:tc>
        <w:tc>
          <w:tcPr>
            <w:tcW w:w="1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40" w:type="dxa"/>
            <w:vAlign w:val="bottom"/>
            <w:gridSpan w:val="2"/>
            <w:vMerge w:val="continue"/>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60" w:type="dxa"/>
            <w:vAlign w:val="bottom"/>
            <w:tcBorders>
              <w:right w:val="single" w:sz="8" w:color="CCECFF"/>
            </w:tcBorders>
            <w:gridSpan w:val="2"/>
            <w:vMerge w:val="continue"/>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14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(decrease) increase in members' equity resulting from operations</w:t>
            </w:r>
          </w:p>
        </w:tc>
        <w:tc>
          <w:tcPr>
            <w:tcW w:w="19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(6,255,721)</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2,760,402</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1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3,597,240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120" w:type="dxa"/>
            <w:vAlign w:val="bottom"/>
            <w:tcBorders>
              <w:bottom w:val="single" w:sz="8" w:color="auto"/>
            </w:tcBorders>
          </w:tcPr>
          <w:p>
            <w:pPr>
              <w:spacing w:after="0"/>
              <w:rPr>
                <w:sz w:val="3"/>
                <w:szCs w:val="3"/>
                <w:color w:val="auto"/>
              </w:rPr>
            </w:pPr>
          </w:p>
        </w:tc>
        <w:tc>
          <w:tcPr>
            <w:tcW w:w="26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1" w:hanging="361"/>
        <w:spacing w:after="0" w:line="180" w:lineRule="auto"/>
        <w:tabs>
          <w:tab w:leader="none" w:pos="361" w:val="left"/>
        </w:tabs>
        <w:numPr>
          <w:ilvl w:val="0"/>
          <w:numId w:val="73"/>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No management or incentive fees are payable by PSSL. If any fees were to be charged, they would be separately disclosed in the Statements of Operations.</w:t>
      </w:r>
    </w:p>
    <w:p>
      <w:pPr>
        <w:spacing w:after="0" w:line="1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25" w:lineRule="exact"/>
        <w:rPr>
          <w:sz w:val="20"/>
          <w:szCs w:val="20"/>
          <w:color w:val="auto"/>
        </w:rPr>
      </w:pPr>
    </w:p>
    <w:p>
      <w:pPr>
        <w:ind w:left="1" w:right="40" w:firstLine="439"/>
        <w:spacing w:after="0" w:line="230"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89"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3" w:lineRule="exact"/>
        <w:rPr>
          <w:sz w:val="20"/>
          <w:szCs w:val="20"/>
          <w:color w:val="auto"/>
        </w:rPr>
      </w:pPr>
    </w:p>
    <w:p>
      <w:pPr>
        <w:ind w:left="541"/>
        <w:spacing w:after="0"/>
        <w:tabs>
          <w:tab w:leader="none" w:pos="134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23" w:lineRule="exact"/>
        <w:rPr>
          <w:sz w:val="20"/>
          <w:szCs w:val="20"/>
          <w:color w:val="auto"/>
        </w:rPr>
      </w:pPr>
    </w:p>
    <w:p>
      <w:pPr>
        <w:ind w:left="1361" w:right="140" w:hanging="817"/>
        <w:spacing w:after="0" w:line="254" w:lineRule="auto"/>
        <w:tabs>
          <w:tab w:leader="none" w:pos="134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2" w:lineRule="exact"/>
        <w:rPr>
          <w:sz w:val="20"/>
          <w:szCs w:val="20"/>
          <w:color w:val="auto"/>
        </w:rPr>
      </w:pPr>
    </w:p>
    <w:p>
      <w:pPr>
        <w:ind w:left="541"/>
        <w:spacing w:after="0"/>
        <w:tabs>
          <w:tab w:leader="none" w:pos="134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5" w:lineRule="exact"/>
        <w:rPr>
          <w:sz w:val="20"/>
          <w:szCs w:val="20"/>
          <w:color w:val="auto"/>
        </w:rPr>
      </w:pPr>
    </w:p>
    <w:p>
      <w:pPr>
        <w:ind w:left="1" w:right="60" w:firstLine="439"/>
        <w:spacing w:after="0"/>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21" w:lineRule="exact"/>
        <w:rPr>
          <w:sz w:val="20"/>
          <w:szCs w:val="20"/>
          <w:color w:val="auto"/>
        </w:rPr>
      </w:pPr>
    </w:p>
    <w:p>
      <w:pPr>
        <w:ind w:left="1" w:right="20" w:firstLine="439"/>
        <w:spacing w:after="0" w:line="230"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01" w:lineRule="exact"/>
        <w:rPr>
          <w:sz w:val="20"/>
          <w:szCs w:val="20"/>
          <w:color w:val="auto"/>
        </w:rPr>
      </w:pPr>
    </w:p>
    <w:p>
      <w:pPr>
        <w:ind w:left="1" w:right="160" w:firstLine="439"/>
        <w:spacing w:after="0" w:line="233" w:lineRule="auto"/>
        <w:rPr>
          <w:sz w:val="20"/>
          <w:szCs w:val="20"/>
          <w:color w:val="auto"/>
        </w:rPr>
      </w:pPr>
      <w:r>
        <w:rPr>
          <w:rFonts w:ascii="Times New Roman" w:cs="Times New Roman" w:eastAsia="Times New Roman" w:hAnsi="Times New Roman"/>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1" w:lineRule="exact"/>
        <w:rPr>
          <w:sz w:val="20"/>
          <w:szCs w:val="20"/>
          <w:color w:val="auto"/>
        </w:rPr>
      </w:pPr>
    </w:p>
    <w:p>
      <w:pPr>
        <w:ind w:left="1" w:right="20" w:firstLine="439"/>
        <w:spacing w:after="0" w:line="254"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2" w:lineRule="exact"/>
        <w:rPr>
          <w:sz w:val="20"/>
          <w:szCs w:val="20"/>
          <w:color w:val="auto"/>
        </w:rPr>
      </w:pPr>
    </w:p>
    <w:p>
      <w:pPr>
        <w:ind w:left="1" w:right="40" w:firstLine="439"/>
        <w:spacing w:after="0" w:line="230"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01" w:lineRule="exact"/>
        <w:rPr>
          <w:sz w:val="20"/>
          <w:szCs w:val="20"/>
          <w:color w:val="auto"/>
        </w:rPr>
      </w:pPr>
    </w:p>
    <w:p>
      <w:pPr>
        <w:ind w:left="1" w:right="40" w:firstLine="439"/>
        <w:spacing w:after="0" w:line="224" w:lineRule="auto"/>
        <w:rPr>
          <w:sz w:val="20"/>
          <w:szCs w:val="20"/>
          <w:color w:val="auto"/>
        </w:rPr>
      </w:pPr>
      <w:r>
        <w:rPr>
          <w:rFonts w:ascii="Times New Roman" w:cs="Times New Roman" w:eastAsia="Times New Roman" w:hAnsi="Times New Roman"/>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92"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w:t>
      </w:r>
    </w:p>
    <w:p>
      <w:pPr>
        <w:spacing w:after="0" w:line="12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20" w:type="dxa"/>
            <w:vAlign w:val="bottom"/>
          </w:tcPr>
          <w:p>
            <w:pPr>
              <w:spacing w:after="0"/>
              <w:rPr>
                <w:sz w:val="12"/>
                <w:szCs w:val="12"/>
                <w:color w:val="auto"/>
              </w:rPr>
            </w:pPr>
          </w:p>
        </w:tc>
        <w:tc>
          <w:tcPr>
            <w:tcW w:w="19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0" w:type="dxa"/>
            <w:vAlign w:val="bottom"/>
          </w:tcPr>
          <w:p>
            <w:pPr>
              <w:spacing w:after="0"/>
              <w:rPr>
                <w:sz w:val="12"/>
                <w:szCs w:val="12"/>
                <w:color w:val="auto"/>
              </w:rPr>
            </w:pPr>
          </w:p>
        </w:tc>
        <w:tc>
          <w:tcPr>
            <w:tcW w:w="19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Valuation Technique</w:t>
            </w:r>
          </w:p>
        </w:tc>
        <w:tc>
          <w:tcPr>
            <w:tcW w:w="20" w:type="dxa"/>
            <w:vAlign w:val="bottom"/>
          </w:tcPr>
          <w:p>
            <w:pPr>
              <w:spacing w:after="0"/>
              <w:rPr>
                <w:sz w:val="12"/>
                <w:szCs w:val="12"/>
                <w:color w:val="auto"/>
              </w:rPr>
            </w:pPr>
          </w:p>
        </w:tc>
        <w:tc>
          <w:tcPr>
            <w:tcW w:w="19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 w:type="dxa"/>
            <w:vAlign w:val="bottom"/>
          </w:tcPr>
          <w:p>
            <w:pPr>
              <w:spacing w:after="0"/>
              <w:rPr>
                <w:sz w:val="12"/>
                <w:szCs w:val="12"/>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58"/>
        </w:trPr>
        <w:tc>
          <w:tcPr>
            <w:tcW w:w="35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1"/>
                <w:szCs w:val="11"/>
                <w:b w:val="1"/>
                <w:bCs w:val="1"/>
                <w:color w:val="auto"/>
                <w:w w:val="98"/>
              </w:rPr>
              <w:t>(1)</w:t>
            </w:r>
          </w:p>
        </w:tc>
        <w:tc>
          <w:tcPr>
            <w:tcW w:w="0" w:type="dxa"/>
            <w:vAlign w:val="bottom"/>
          </w:tcPr>
          <w:p>
            <w:pPr>
              <w:spacing w:after="0"/>
              <w:rPr>
                <w:sz w:val="1"/>
                <w:szCs w:val="1"/>
                <w:color w:val="auto"/>
              </w:rPr>
            </w:pPr>
          </w:p>
        </w:tc>
      </w:tr>
      <w:tr>
        <w:trPr>
          <w:trHeight w:val="141"/>
        </w:trPr>
        <w:tc>
          <w:tcPr>
            <w:tcW w:w="3360" w:type="dxa"/>
            <w:vAlign w:val="bottom"/>
            <w:tcBorders>
              <w:top w:val="single" w:sz="8" w:color="auto"/>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First lien</w:t>
            </w:r>
          </w:p>
        </w:tc>
        <w:tc>
          <w:tcPr>
            <w:tcW w:w="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114,844,301</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auto"/>
            </w:tcBorders>
            <w:shd w:val="clear" w:color="auto" w:fill="CCECFF"/>
          </w:tcPr>
          <w:p>
            <w:pPr>
              <w:spacing w:after="0"/>
              <w:rPr>
                <w:sz w:val="12"/>
                <w:szCs w:val="12"/>
                <w:color w:val="auto"/>
              </w:rPr>
            </w:pPr>
          </w:p>
        </w:tc>
        <w:tc>
          <w:tcPr>
            <w:tcW w:w="180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auto"/>
            </w:tcBorders>
            <w:shd w:val="clear" w:color="auto" w:fill="CCECFF"/>
          </w:tcPr>
          <w:p>
            <w:pPr>
              <w:spacing w:after="0"/>
              <w:rPr>
                <w:sz w:val="12"/>
                <w:szCs w:val="12"/>
                <w:color w:val="auto"/>
              </w:rPr>
            </w:pPr>
          </w:p>
        </w:tc>
        <w:tc>
          <w:tcPr>
            <w:tcW w:w="178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rPr>
              <w:t>Broker/Dealer bids or quotes</w:t>
            </w:r>
          </w:p>
        </w:tc>
        <w:tc>
          <w:tcPr>
            <w:tcW w:w="2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auto"/>
            </w:tcBorders>
            <w:shd w:val="clear" w:color="auto" w:fill="CCECFF"/>
          </w:tcPr>
          <w:p>
            <w:pPr>
              <w:spacing w:after="0"/>
              <w:rPr>
                <w:sz w:val="12"/>
                <w:szCs w:val="12"/>
                <w:color w:val="auto"/>
              </w:rPr>
            </w:pPr>
          </w:p>
        </w:tc>
        <w:tc>
          <w:tcPr>
            <w:tcW w:w="1800" w:type="dxa"/>
            <w:vAlign w:val="bottom"/>
            <w:tcBorders>
              <w:top w:val="single" w:sz="8" w:color="auto"/>
            </w:tcBorders>
            <w:gridSpan w:val="2"/>
            <w:shd w:val="clear" w:color="auto" w:fill="CCECFF"/>
          </w:tcPr>
          <w:p>
            <w:pPr>
              <w:jc w:val="center"/>
              <w:ind w:right="20"/>
              <w:spacing w:after="0" w:line="141"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49"/>
        </w:trPr>
        <w:tc>
          <w:tcPr>
            <w:tcW w:w="3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First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848,114,233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Pr>
          <w:p>
            <w:pPr>
              <w:spacing w:after="0"/>
              <w:rPr>
                <w:sz w:val="12"/>
                <w:szCs w:val="12"/>
                <w:color w:val="auto"/>
              </w:rPr>
            </w:pPr>
          </w:p>
        </w:tc>
        <w:tc>
          <w:tcPr>
            <w:tcW w:w="19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Market Yield</w:t>
            </w:r>
          </w:p>
        </w:tc>
        <w:tc>
          <w:tcPr>
            <w:tcW w:w="20" w:type="dxa"/>
            <w:vAlign w:val="bottom"/>
          </w:tcPr>
          <w:p>
            <w:pPr>
              <w:spacing w:after="0"/>
              <w:rPr>
                <w:sz w:val="12"/>
                <w:szCs w:val="12"/>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5.4% – 19.5% (8.4%)</w:t>
            </w:r>
          </w:p>
        </w:tc>
        <w:tc>
          <w:tcPr>
            <w:tcW w:w="0" w:type="dxa"/>
            <w:vAlign w:val="bottom"/>
          </w:tcPr>
          <w:p>
            <w:pPr>
              <w:spacing w:after="0"/>
              <w:rPr>
                <w:sz w:val="1"/>
                <w:szCs w:val="1"/>
                <w:color w:val="auto"/>
              </w:rPr>
            </w:pPr>
          </w:p>
        </w:tc>
      </w:tr>
      <w:tr>
        <w:trPr>
          <w:trHeight w:val="149"/>
        </w:trPr>
        <w:tc>
          <w:tcPr>
            <w:tcW w:w="35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23,017,187</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960" w:type="dxa"/>
            <w:vAlign w:val="bottom"/>
            <w:gridSpan w:val="3"/>
            <w:shd w:val="clear" w:color="auto" w:fill="CCECFF"/>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shd w:val="clear" w:color="auto" w:fill="CCECFF"/>
          </w:tcPr>
          <w:p>
            <w:pPr>
              <w:spacing w:after="0"/>
              <w:rPr>
                <w:sz w:val="12"/>
                <w:szCs w:val="12"/>
                <w:color w:val="auto"/>
              </w:rPr>
            </w:pPr>
          </w:p>
        </w:tc>
        <w:tc>
          <w:tcPr>
            <w:tcW w:w="1940" w:type="dxa"/>
            <w:vAlign w:val="bottom"/>
            <w:gridSpan w:val="3"/>
            <w:shd w:val="clear" w:color="auto" w:fill="CCECFF"/>
          </w:tcPr>
          <w:p>
            <w:pPr>
              <w:jc w:val="center"/>
              <w:ind w:right="200"/>
              <w:spacing w:after="0"/>
              <w:rPr>
                <w:sz w:val="20"/>
                <w:szCs w:val="20"/>
                <w:color w:val="auto"/>
              </w:rPr>
            </w:pPr>
            <w:r>
              <w:rPr>
                <w:rFonts w:ascii="Times New Roman" w:cs="Times New Roman" w:eastAsia="Times New Roman" w:hAnsi="Times New Roman"/>
                <w:sz w:val="13"/>
                <w:szCs w:val="13"/>
                <w:color w:val="auto"/>
              </w:rPr>
              <w:t>Market Yield</w:t>
            </w:r>
          </w:p>
        </w:tc>
        <w:tc>
          <w:tcPr>
            <w:tcW w:w="20" w:type="dxa"/>
            <w:vAlign w:val="bottom"/>
            <w:shd w:val="clear" w:color="auto" w:fill="CCECFF"/>
          </w:tcPr>
          <w:p>
            <w:pPr>
              <w:spacing w:after="0"/>
              <w:rPr>
                <w:sz w:val="12"/>
                <w:szCs w:val="12"/>
                <w:color w:val="auto"/>
              </w:rPr>
            </w:pPr>
          </w:p>
        </w:tc>
        <w:tc>
          <w:tcPr>
            <w:tcW w:w="1800" w:type="dxa"/>
            <w:vAlign w:val="bottom"/>
            <w:gridSpan w:val="2"/>
            <w:shd w:val="clear" w:color="auto" w:fill="CCECFF"/>
          </w:tcPr>
          <w:p>
            <w:pPr>
              <w:jc w:val="center"/>
              <w:ind w:right="20"/>
              <w:spacing w:after="0"/>
              <w:rPr>
                <w:sz w:val="20"/>
                <w:szCs w:val="20"/>
                <w:color w:val="auto"/>
              </w:rPr>
            </w:pPr>
            <w:r>
              <w:rPr>
                <w:rFonts w:ascii="Times New Roman" w:cs="Times New Roman" w:eastAsia="Times New Roman" w:hAnsi="Times New Roman"/>
                <w:sz w:val="13"/>
                <w:szCs w:val="13"/>
                <w:color w:val="auto"/>
              </w:rPr>
              <w:t>9.3% – 11.0% (9.5%)</w:t>
            </w:r>
          </w:p>
        </w:tc>
        <w:tc>
          <w:tcPr>
            <w:tcW w:w="0" w:type="dxa"/>
            <w:vAlign w:val="bottom"/>
          </w:tcPr>
          <w:p>
            <w:pPr>
              <w:spacing w:after="0"/>
              <w:rPr>
                <w:sz w:val="1"/>
                <w:szCs w:val="1"/>
                <w:color w:val="auto"/>
              </w:rPr>
            </w:pPr>
          </w:p>
        </w:tc>
      </w:tr>
      <w:tr>
        <w:trPr>
          <w:trHeight w:val="149"/>
        </w:trPr>
        <w:tc>
          <w:tcPr>
            <w:tcW w:w="3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First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5,657,214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Enterprise Market Value</w:t>
            </w:r>
          </w:p>
        </w:tc>
        <w:tc>
          <w:tcPr>
            <w:tcW w:w="20" w:type="dxa"/>
            <w:vAlign w:val="bottom"/>
          </w:tcPr>
          <w:p>
            <w:pPr>
              <w:spacing w:after="0"/>
              <w:rPr>
                <w:sz w:val="12"/>
                <w:szCs w:val="12"/>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EBITDA multiple</w:t>
            </w:r>
          </w:p>
        </w:tc>
        <w:tc>
          <w:tcPr>
            <w:tcW w:w="20" w:type="dxa"/>
            <w:vAlign w:val="bottom"/>
          </w:tcPr>
          <w:p>
            <w:pPr>
              <w:spacing w:after="0"/>
              <w:rPr>
                <w:sz w:val="12"/>
                <w:szCs w:val="12"/>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6"/>
              </w:rPr>
              <w:t>0.3x</w:t>
            </w:r>
          </w:p>
        </w:tc>
        <w:tc>
          <w:tcPr>
            <w:tcW w:w="0" w:type="dxa"/>
            <w:vAlign w:val="bottom"/>
          </w:tcPr>
          <w:p>
            <w:pPr>
              <w:spacing w:after="0"/>
              <w:rPr>
                <w:sz w:val="1"/>
                <w:szCs w:val="1"/>
                <w:color w:val="auto"/>
              </w:rPr>
            </w:pPr>
          </w:p>
        </w:tc>
      </w:tr>
      <w:tr>
        <w:trPr>
          <w:trHeight w:val="149"/>
        </w:trPr>
        <w:tc>
          <w:tcPr>
            <w:tcW w:w="35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6,893,843</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960" w:type="dxa"/>
            <w:vAlign w:val="bottom"/>
            <w:gridSpan w:val="3"/>
            <w:shd w:val="clear" w:color="auto" w:fill="CCECFF"/>
          </w:tcPr>
          <w:p>
            <w:pPr>
              <w:jc w:val="center"/>
              <w:ind w:right="180"/>
              <w:spacing w:after="0"/>
              <w:rPr>
                <w:sz w:val="20"/>
                <w:szCs w:val="20"/>
                <w:color w:val="auto"/>
              </w:rPr>
            </w:pPr>
            <w:r>
              <w:rPr>
                <w:rFonts w:ascii="Times New Roman" w:cs="Times New Roman" w:eastAsia="Times New Roman" w:hAnsi="Times New Roman"/>
                <w:sz w:val="13"/>
                <w:szCs w:val="13"/>
                <w:color w:val="auto"/>
              </w:rPr>
              <w:t>Enterprise Market Value</w:t>
            </w:r>
          </w:p>
        </w:tc>
        <w:tc>
          <w:tcPr>
            <w:tcW w:w="20" w:type="dxa"/>
            <w:vAlign w:val="bottom"/>
            <w:shd w:val="clear" w:color="auto" w:fill="CCECFF"/>
          </w:tcPr>
          <w:p>
            <w:pPr>
              <w:spacing w:after="0"/>
              <w:rPr>
                <w:sz w:val="12"/>
                <w:szCs w:val="12"/>
                <w:color w:val="auto"/>
              </w:rPr>
            </w:pPr>
          </w:p>
        </w:tc>
        <w:tc>
          <w:tcPr>
            <w:tcW w:w="1940" w:type="dxa"/>
            <w:vAlign w:val="bottom"/>
            <w:gridSpan w:val="3"/>
            <w:shd w:val="clear" w:color="auto" w:fill="CCECFF"/>
          </w:tcPr>
          <w:p>
            <w:pPr>
              <w:jc w:val="center"/>
              <w:ind w:right="180"/>
              <w:spacing w:after="0"/>
              <w:rPr>
                <w:sz w:val="20"/>
                <w:szCs w:val="20"/>
                <w:color w:val="auto"/>
              </w:rPr>
            </w:pPr>
            <w:r>
              <w:rPr>
                <w:rFonts w:ascii="Times New Roman" w:cs="Times New Roman" w:eastAsia="Times New Roman" w:hAnsi="Times New Roman"/>
                <w:sz w:val="13"/>
                <w:szCs w:val="13"/>
                <w:color w:val="auto"/>
              </w:rPr>
              <w:t>EBITDA multiple</w:t>
            </w:r>
          </w:p>
        </w:tc>
        <w:tc>
          <w:tcPr>
            <w:tcW w:w="20" w:type="dxa"/>
            <w:vAlign w:val="bottom"/>
            <w:shd w:val="clear" w:color="auto" w:fill="CCECFF"/>
          </w:tcPr>
          <w:p>
            <w:pPr>
              <w:spacing w:after="0"/>
              <w:rPr>
                <w:sz w:val="12"/>
                <w:szCs w:val="12"/>
                <w:color w:val="auto"/>
              </w:rPr>
            </w:pPr>
          </w:p>
        </w:tc>
        <w:tc>
          <w:tcPr>
            <w:tcW w:w="1800" w:type="dxa"/>
            <w:vAlign w:val="bottom"/>
            <w:gridSpan w:val="2"/>
            <w:shd w:val="clear" w:color="auto" w:fill="CCECFF"/>
          </w:tcPr>
          <w:p>
            <w:pPr>
              <w:jc w:val="center"/>
              <w:ind w:right="20"/>
              <w:spacing w:after="0"/>
              <w:rPr>
                <w:sz w:val="20"/>
                <w:szCs w:val="20"/>
                <w:color w:val="auto"/>
              </w:rPr>
            </w:pPr>
            <w:r>
              <w:rPr>
                <w:rFonts w:ascii="Times New Roman" w:cs="Times New Roman" w:eastAsia="Times New Roman" w:hAnsi="Times New Roman"/>
                <w:sz w:val="13"/>
                <w:szCs w:val="13"/>
                <w:color w:val="auto"/>
              </w:rPr>
              <w:t>0.3x – 8.5x (2.0x)</w:t>
            </w:r>
          </w:p>
        </w:tc>
        <w:tc>
          <w:tcPr>
            <w:tcW w:w="0" w:type="dxa"/>
            <w:vAlign w:val="bottom"/>
          </w:tcPr>
          <w:p>
            <w:pPr>
              <w:spacing w:after="0"/>
              <w:rPr>
                <w:sz w:val="1"/>
                <w:szCs w:val="1"/>
                <w:color w:val="auto"/>
              </w:rPr>
            </w:pPr>
          </w:p>
        </w:tc>
      </w:tr>
      <w:tr>
        <w:trPr>
          <w:trHeight w:val="149"/>
        </w:trPr>
        <w:tc>
          <w:tcPr>
            <w:tcW w:w="3520" w:type="dxa"/>
            <w:vAlign w:val="bottom"/>
            <w:tcBorders>
              <w:bottom w:val="single" w:sz="8" w:color="CCECFF"/>
            </w:tcBorders>
            <w:gridSpan w:val="4"/>
          </w:tcPr>
          <w:p>
            <w:pPr>
              <w:spacing w:after="0"/>
              <w:rPr>
                <w:sz w:val="20"/>
                <w:szCs w:val="20"/>
                <w:color w:val="auto"/>
              </w:rPr>
            </w:pPr>
            <w:r>
              <w:rPr>
                <w:rFonts w:ascii="Times New Roman" w:cs="Times New Roman" w:eastAsia="Times New Roman" w:hAnsi="Times New Roman"/>
                <w:sz w:val="13"/>
                <w:szCs w:val="13"/>
                <w:color w:val="auto"/>
              </w:rPr>
              <w:t>Equity</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48,491,115</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1960" w:type="dxa"/>
            <w:vAlign w:val="bottom"/>
            <w:tcBorders>
              <w:bottom w:val="single" w:sz="8" w:color="CCECFF"/>
            </w:tcBorders>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Enterprise Market Value</w:t>
            </w:r>
          </w:p>
        </w:tc>
        <w:tc>
          <w:tcPr>
            <w:tcW w:w="20" w:type="dxa"/>
            <w:vAlign w:val="bottom"/>
            <w:tcBorders>
              <w:bottom w:val="single" w:sz="8" w:color="CCECFF"/>
            </w:tcBorders>
          </w:tcPr>
          <w:p>
            <w:pPr>
              <w:spacing w:after="0"/>
              <w:rPr>
                <w:sz w:val="12"/>
                <w:szCs w:val="12"/>
                <w:color w:val="auto"/>
              </w:rPr>
            </w:pPr>
          </w:p>
        </w:tc>
        <w:tc>
          <w:tcPr>
            <w:tcW w:w="1940" w:type="dxa"/>
            <w:vAlign w:val="bottom"/>
            <w:tcBorders>
              <w:bottom w:val="single" w:sz="8" w:color="CCECFF"/>
            </w:tcBorders>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EBITDA multiple</w:t>
            </w:r>
          </w:p>
        </w:tc>
        <w:tc>
          <w:tcPr>
            <w:tcW w:w="20" w:type="dxa"/>
            <w:vAlign w:val="bottom"/>
            <w:tcBorders>
              <w:bottom w:val="single" w:sz="8" w:color="CCECFF"/>
            </w:tcBorders>
          </w:tcPr>
          <w:p>
            <w:pPr>
              <w:spacing w:after="0"/>
              <w:rPr>
                <w:sz w:val="12"/>
                <w:szCs w:val="12"/>
                <w:color w:val="auto"/>
              </w:rPr>
            </w:pPr>
          </w:p>
        </w:tc>
        <w:tc>
          <w:tcPr>
            <w:tcW w:w="1800" w:type="dxa"/>
            <w:vAlign w:val="bottom"/>
            <w:tcBorders>
              <w:bottom w:val="single" w:sz="8" w:color="CCECFF"/>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0.3x – 15.2x (10.4x)</w:t>
            </w:r>
          </w:p>
        </w:tc>
        <w:tc>
          <w:tcPr>
            <w:tcW w:w="0" w:type="dxa"/>
            <w:vAlign w:val="bottom"/>
          </w:tcPr>
          <w:p>
            <w:pPr>
              <w:spacing w:after="0"/>
              <w:rPr>
                <w:sz w:val="1"/>
                <w:szCs w:val="1"/>
                <w:color w:val="auto"/>
              </w:rPr>
            </w:pPr>
          </w:p>
        </w:tc>
      </w:tr>
      <w:tr>
        <w:trPr>
          <w:trHeight w:val="141"/>
        </w:trPr>
        <w:tc>
          <w:tcPr>
            <w:tcW w:w="3520" w:type="dxa"/>
            <w:vAlign w:val="bottom"/>
            <w:tcBorders>
              <w:bottom w:val="single" w:sz="8" w:color="CCECFF"/>
            </w:tcBorders>
            <w:gridSpan w:val="4"/>
            <w:shd w:val="clear" w:color="auto" w:fill="CCECFF"/>
          </w:tcPr>
          <w:p>
            <w:pPr>
              <w:ind w:left="220"/>
              <w:spacing w:after="0" w:line="141" w:lineRule="exact"/>
              <w:rPr>
                <w:sz w:val="20"/>
                <w:szCs w:val="20"/>
                <w:color w:val="auto"/>
              </w:rPr>
            </w:pPr>
            <w:r>
              <w:rPr>
                <w:rFonts w:ascii="Times New Roman" w:cs="Times New Roman" w:eastAsia="Times New Roman" w:hAnsi="Times New Roman"/>
                <w:sz w:val="13"/>
                <w:szCs w:val="13"/>
                <w:color w:val="auto"/>
              </w:rPr>
              <w:t>Total Level 3 investments</w:t>
            </w:r>
          </w:p>
        </w:tc>
        <w:tc>
          <w:tcPr>
            <w:tcW w:w="8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1,047,017,893</w:t>
            </w:r>
          </w:p>
        </w:tc>
        <w:tc>
          <w:tcPr>
            <w:tcW w:w="26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80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7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7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auto"/>
              </w:rPr>
              <w:t>Long-Term Credit Facility</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Pr>
          <w:p>
            <w:pPr>
              <w:spacing w:after="0" w:line="20" w:lineRule="exact"/>
              <w:rPr>
                <w:sz w:val="1"/>
                <w:szCs w:val="1"/>
                <w:color w:val="auto"/>
              </w:rPr>
            </w:pPr>
          </w:p>
        </w:tc>
        <w:tc>
          <w:tcPr>
            <w:tcW w:w="1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Market Yield</w:t>
            </w:r>
          </w:p>
        </w:tc>
        <w:tc>
          <w:tcPr>
            <w:tcW w:w="1720" w:type="dxa"/>
            <w:vAlign w:val="bottom"/>
            <w:gridSpan w:val="2"/>
            <w:vMerge w:val="restart"/>
          </w:tcPr>
          <w:p>
            <w:pPr>
              <w:jc w:val="center"/>
              <w:ind w:left="34"/>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520" w:type="dxa"/>
            <w:vAlign w:val="bottom"/>
            <w:gridSpan w:val="4"/>
            <w:vMerge w:val="continue"/>
          </w:tcPr>
          <w:p>
            <w:pPr>
              <w:spacing w:after="0"/>
              <w:rPr>
                <w:sz w:val="10"/>
                <w:szCs w:val="10"/>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299,047,275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0" w:type="dxa"/>
            <w:vAlign w:val="bottom"/>
          </w:tcPr>
          <w:p>
            <w:pPr>
              <w:spacing w:after="0"/>
              <w:rPr>
                <w:sz w:val="20"/>
                <w:szCs w:val="20"/>
                <w:color w:val="auto"/>
              </w:rPr>
            </w:pPr>
          </w:p>
        </w:tc>
        <w:tc>
          <w:tcPr>
            <w:tcW w:w="19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Valuation Technique</w:t>
            </w:r>
          </w:p>
        </w:tc>
        <w:tc>
          <w:tcPr>
            <w:tcW w:w="20" w:type="dxa"/>
            <w:vAlign w:val="bottom"/>
          </w:tcPr>
          <w:p>
            <w:pPr>
              <w:spacing w:after="0"/>
              <w:rPr>
                <w:sz w:val="20"/>
                <w:szCs w:val="20"/>
                <w:color w:val="auto"/>
              </w:rPr>
            </w:pPr>
          </w:p>
        </w:tc>
        <w:tc>
          <w:tcPr>
            <w:tcW w:w="1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58"/>
        </w:trPr>
        <w:tc>
          <w:tcPr>
            <w:tcW w:w="35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1"/>
        </w:trPr>
        <w:tc>
          <w:tcPr>
            <w:tcW w:w="3380" w:type="dxa"/>
            <w:vAlign w:val="bottom"/>
            <w:tcBorders>
              <w:top w:val="single" w:sz="8" w:color="auto"/>
            </w:tcBorders>
            <w:gridSpan w:val="3"/>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274,095,799</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1820" w:type="dxa"/>
            <w:vAlign w:val="bottom"/>
            <w:tcBorders>
              <w:top w:val="single" w:sz="8" w:color="auto"/>
            </w:tcBorders>
            <w:gridSpan w:val="2"/>
            <w:shd w:val="clear" w:color="auto" w:fill="CCECFF"/>
          </w:tcPr>
          <w:p>
            <w:pPr>
              <w:jc w:val="center"/>
              <w:ind w:right="40"/>
              <w:spacing w:after="0" w:line="141" w:lineRule="exact"/>
              <w:rPr>
                <w:sz w:val="20"/>
                <w:szCs w:val="20"/>
                <w:color w:val="auto"/>
              </w:rPr>
            </w:pPr>
            <w:r>
              <w:rPr>
                <w:rFonts w:ascii="Times New Roman" w:cs="Times New Roman" w:eastAsia="Times New Roman" w:hAnsi="Times New Roman"/>
                <w:sz w:val="13"/>
                <w:szCs w:val="13"/>
                <w:color w:val="auto"/>
              </w:rPr>
              <w:t>Market Comparable</w:t>
            </w:r>
          </w:p>
        </w:tc>
        <w:tc>
          <w:tcPr>
            <w:tcW w:w="1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1800" w:type="dxa"/>
            <w:vAlign w:val="bottom"/>
            <w:tcBorders>
              <w:top w:val="single" w:sz="8" w:color="auto"/>
            </w:tcBorders>
            <w:gridSpan w:val="2"/>
            <w:shd w:val="clear" w:color="auto" w:fill="CCECFF"/>
          </w:tcPr>
          <w:p>
            <w:pPr>
              <w:jc w:val="center"/>
              <w:ind w:right="20"/>
              <w:spacing w:after="0" w:line="141" w:lineRule="exact"/>
              <w:rPr>
                <w:sz w:val="20"/>
                <w:szCs w:val="20"/>
                <w:color w:val="auto"/>
              </w:rPr>
            </w:pPr>
            <w:r>
              <w:rPr>
                <w:rFonts w:ascii="Times New Roman" w:cs="Times New Roman" w:eastAsia="Times New Roman" w:hAnsi="Times New Roman"/>
                <w:sz w:val="13"/>
                <w:szCs w:val="13"/>
                <w:color w:val="auto"/>
              </w:rPr>
              <w:t>Broker/Dealer bids or quotes</w:t>
            </w:r>
          </w:p>
        </w:tc>
        <w:tc>
          <w:tcPr>
            <w:tcW w:w="1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170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rPr>
              <w:t>N/A</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Second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2,205,284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Pr>
          <w:p>
            <w:pPr>
              <w:spacing w:after="0"/>
              <w:rPr>
                <w:sz w:val="12"/>
                <w:szCs w:val="12"/>
                <w:color w:val="auto"/>
              </w:rPr>
            </w:pP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20" w:type="dxa"/>
            <w:vAlign w:val="bottom"/>
          </w:tcPr>
          <w:p>
            <w:pPr>
              <w:spacing w:after="0"/>
              <w:rPr>
                <w:sz w:val="12"/>
                <w:szCs w:val="12"/>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49"/>
        </w:trPr>
        <w:tc>
          <w:tcPr>
            <w:tcW w:w="35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661,720,734</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960" w:type="dxa"/>
            <w:vAlign w:val="bottom"/>
            <w:gridSpan w:val="3"/>
            <w:shd w:val="clear" w:color="auto" w:fill="CCECFF"/>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shd w:val="clear" w:color="auto" w:fill="CCECFF"/>
          </w:tcPr>
          <w:p>
            <w:pPr>
              <w:spacing w:after="0"/>
              <w:rPr>
                <w:sz w:val="12"/>
                <w:szCs w:val="12"/>
                <w:color w:val="auto"/>
              </w:rPr>
            </w:pPr>
          </w:p>
        </w:tc>
        <w:tc>
          <w:tcPr>
            <w:tcW w:w="1940" w:type="dxa"/>
            <w:vAlign w:val="bottom"/>
            <w:gridSpan w:val="3"/>
            <w:shd w:val="clear" w:color="auto" w:fill="CCECFF"/>
          </w:tcPr>
          <w:p>
            <w:pPr>
              <w:jc w:val="center"/>
              <w:ind w:right="160"/>
              <w:spacing w:after="0"/>
              <w:rPr>
                <w:sz w:val="20"/>
                <w:szCs w:val="20"/>
                <w:color w:val="auto"/>
              </w:rPr>
            </w:pPr>
            <w:r>
              <w:rPr>
                <w:rFonts w:ascii="Times New Roman" w:cs="Times New Roman" w:eastAsia="Times New Roman" w:hAnsi="Times New Roman"/>
                <w:sz w:val="13"/>
                <w:szCs w:val="13"/>
                <w:color w:val="auto"/>
              </w:rPr>
              <w:t>Market Yield</w:t>
            </w:r>
          </w:p>
        </w:tc>
        <w:tc>
          <w:tcPr>
            <w:tcW w:w="20" w:type="dxa"/>
            <w:vAlign w:val="bottom"/>
            <w:shd w:val="clear" w:color="auto" w:fill="CCECFF"/>
          </w:tcPr>
          <w:p>
            <w:pPr>
              <w:spacing w:after="0"/>
              <w:rPr>
                <w:sz w:val="12"/>
                <w:szCs w:val="12"/>
                <w:color w:val="auto"/>
              </w:rPr>
            </w:pPr>
          </w:p>
        </w:tc>
        <w:tc>
          <w:tcPr>
            <w:tcW w:w="1800" w:type="dxa"/>
            <w:vAlign w:val="bottom"/>
            <w:gridSpan w:val="2"/>
            <w:shd w:val="clear" w:color="auto" w:fill="CCECFF"/>
          </w:tcPr>
          <w:p>
            <w:pPr>
              <w:jc w:val="center"/>
              <w:ind w:right="100"/>
              <w:spacing w:after="0"/>
              <w:rPr>
                <w:sz w:val="20"/>
                <w:szCs w:val="20"/>
                <w:color w:val="auto"/>
              </w:rPr>
            </w:pPr>
            <w:r>
              <w:rPr>
                <w:rFonts w:ascii="Times New Roman" w:cs="Times New Roman" w:eastAsia="Times New Roman" w:hAnsi="Times New Roman"/>
                <w:sz w:val="13"/>
                <w:szCs w:val="13"/>
                <w:color w:val="auto"/>
              </w:rPr>
              <w:t>3.9% – 29.2% (8.3%)</w:t>
            </w:r>
          </w:p>
        </w:tc>
        <w:tc>
          <w:tcPr>
            <w:tcW w:w="0" w:type="dxa"/>
            <w:vAlign w:val="bottom"/>
          </w:tcPr>
          <w:p>
            <w:pPr>
              <w:spacing w:after="0"/>
              <w:rPr>
                <w:sz w:val="1"/>
                <w:szCs w:val="1"/>
                <w:color w:val="auto"/>
              </w:rPr>
            </w:pPr>
          </w:p>
        </w:tc>
      </w:tr>
      <w:tr>
        <w:trPr>
          <w:trHeight w:val="149"/>
        </w:trPr>
        <w:tc>
          <w:tcPr>
            <w:tcW w:w="3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Second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26,851,188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Pr>
          <w:p>
            <w:pPr>
              <w:spacing w:after="0"/>
              <w:rPr>
                <w:sz w:val="12"/>
                <w:szCs w:val="12"/>
                <w:color w:val="auto"/>
              </w:rPr>
            </w:pP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rPr>
              <w:t>Market Yield</w:t>
            </w:r>
          </w:p>
        </w:tc>
        <w:tc>
          <w:tcPr>
            <w:tcW w:w="20" w:type="dxa"/>
            <w:vAlign w:val="bottom"/>
          </w:tcPr>
          <w:p>
            <w:pPr>
              <w:spacing w:after="0"/>
              <w:rPr>
                <w:sz w:val="12"/>
                <w:szCs w:val="12"/>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3.9% – 14.2% (10.6%)</w:t>
            </w:r>
          </w:p>
        </w:tc>
        <w:tc>
          <w:tcPr>
            <w:tcW w:w="0" w:type="dxa"/>
            <w:vAlign w:val="bottom"/>
          </w:tcPr>
          <w:p>
            <w:pPr>
              <w:spacing w:after="0"/>
              <w:rPr>
                <w:sz w:val="1"/>
                <w:szCs w:val="1"/>
                <w:color w:val="auto"/>
              </w:rPr>
            </w:pPr>
          </w:p>
        </w:tc>
      </w:tr>
      <w:tr>
        <w:trPr>
          <w:trHeight w:val="149"/>
        </w:trPr>
        <w:tc>
          <w:tcPr>
            <w:tcW w:w="35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9,084,267</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960" w:type="dxa"/>
            <w:vAlign w:val="bottom"/>
            <w:gridSpan w:val="3"/>
            <w:shd w:val="clear" w:color="auto" w:fill="CCEC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Enterprise Market Value</w:t>
            </w:r>
          </w:p>
        </w:tc>
        <w:tc>
          <w:tcPr>
            <w:tcW w:w="20" w:type="dxa"/>
            <w:vAlign w:val="bottom"/>
            <w:shd w:val="clear" w:color="auto" w:fill="CCECFF"/>
          </w:tcPr>
          <w:p>
            <w:pPr>
              <w:spacing w:after="0"/>
              <w:rPr>
                <w:sz w:val="12"/>
                <w:szCs w:val="12"/>
                <w:color w:val="auto"/>
              </w:rPr>
            </w:pPr>
          </w:p>
        </w:tc>
        <w:tc>
          <w:tcPr>
            <w:tcW w:w="1940" w:type="dxa"/>
            <w:vAlign w:val="bottom"/>
            <w:gridSpan w:val="3"/>
            <w:shd w:val="clear" w:color="auto" w:fill="CCEC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EBITDA multiple</w:t>
            </w:r>
          </w:p>
        </w:tc>
        <w:tc>
          <w:tcPr>
            <w:tcW w:w="20" w:type="dxa"/>
            <w:vAlign w:val="bottom"/>
            <w:shd w:val="clear" w:color="auto" w:fill="CCECFF"/>
          </w:tcPr>
          <w:p>
            <w:pPr>
              <w:spacing w:after="0"/>
              <w:rPr>
                <w:sz w:val="12"/>
                <w:szCs w:val="12"/>
                <w:color w:val="auto"/>
              </w:rPr>
            </w:pP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3"/>
                <w:szCs w:val="13"/>
                <w:color w:val="auto"/>
              </w:rPr>
              <w:t>5.0x – 10.9x (6.5x)</w:t>
            </w:r>
          </w:p>
        </w:tc>
        <w:tc>
          <w:tcPr>
            <w:tcW w:w="0" w:type="dxa"/>
            <w:vAlign w:val="bottom"/>
          </w:tcPr>
          <w:p>
            <w:pPr>
              <w:spacing w:after="0"/>
              <w:rPr>
                <w:sz w:val="1"/>
                <w:szCs w:val="1"/>
                <w:color w:val="auto"/>
              </w:rPr>
            </w:pPr>
          </w:p>
        </w:tc>
      </w:tr>
      <w:tr>
        <w:trPr>
          <w:trHeight w:val="149"/>
        </w:trPr>
        <w:tc>
          <w:tcPr>
            <w:tcW w:w="3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Second lien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5,314,125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9"/>
              </w:rPr>
              <w:t>Enterprise Market Value</w:t>
            </w:r>
          </w:p>
        </w:tc>
        <w:tc>
          <w:tcPr>
            <w:tcW w:w="20" w:type="dxa"/>
            <w:vAlign w:val="bottom"/>
          </w:tcPr>
          <w:p>
            <w:pPr>
              <w:spacing w:after="0"/>
              <w:rPr>
                <w:sz w:val="12"/>
                <w:szCs w:val="12"/>
                <w:color w:val="auto"/>
              </w:rPr>
            </w:pPr>
          </w:p>
        </w:tc>
        <w:tc>
          <w:tcPr>
            <w:tcW w:w="1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9"/>
              </w:rPr>
              <w:t>EBITDA multiple</w:t>
            </w:r>
          </w:p>
        </w:tc>
        <w:tc>
          <w:tcPr>
            <w:tcW w:w="20" w:type="dxa"/>
            <w:vAlign w:val="bottom"/>
          </w:tcPr>
          <w:p>
            <w:pPr>
              <w:spacing w:after="0"/>
              <w:rPr>
                <w:sz w:val="12"/>
                <w:szCs w:val="1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10.9x</w:t>
            </w:r>
          </w:p>
        </w:tc>
        <w:tc>
          <w:tcPr>
            <w:tcW w:w="0" w:type="dxa"/>
            <w:vAlign w:val="bottom"/>
          </w:tcPr>
          <w:p>
            <w:pPr>
              <w:spacing w:after="0"/>
              <w:rPr>
                <w:sz w:val="1"/>
                <w:szCs w:val="1"/>
                <w:color w:val="auto"/>
              </w:rPr>
            </w:pPr>
          </w:p>
        </w:tc>
      </w:tr>
      <w:tr>
        <w:trPr>
          <w:trHeight w:val="149"/>
        </w:trPr>
        <w:tc>
          <w:tcPr>
            <w:tcW w:w="352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2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52,466,181</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960" w:type="dxa"/>
            <w:vAlign w:val="bottom"/>
            <w:gridSpan w:val="3"/>
            <w:shd w:val="clear" w:color="auto" w:fill="CCEC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Enterprise Market Value</w:t>
            </w:r>
          </w:p>
        </w:tc>
        <w:tc>
          <w:tcPr>
            <w:tcW w:w="20" w:type="dxa"/>
            <w:vAlign w:val="bottom"/>
            <w:shd w:val="clear" w:color="auto" w:fill="CCECFF"/>
          </w:tcPr>
          <w:p>
            <w:pPr>
              <w:spacing w:after="0"/>
              <w:rPr>
                <w:sz w:val="12"/>
                <w:szCs w:val="12"/>
                <w:color w:val="auto"/>
              </w:rPr>
            </w:pPr>
          </w:p>
        </w:tc>
        <w:tc>
          <w:tcPr>
            <w:tcW w:w="1940" w:type="dxa"/>
            <w:vAlign w:val="bottom"/>
            <w:gridSpan w:val="3"/>
            <w:shd w:val="clear" w:color="auto" w:fill="CCEC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EBITDA multiple</w:t>
            </w:r>
          </w:p>
        </w:tc>
        <w:tc>
          <w:tcPr>
            <w:tcW w:w="20" w:type="dxa"/>
            <w:vAlign w:val="bottom"/>
            <w:shd w:val="clear" w:color="auto" w:fill="CCECFF"/>
          </w:tcPr>
          <w:p>
            <w:pPr>
              <w:spacing w:after="0"/>
              <w:rPr>
                <w:sz w:val="12"/>
                <w:szCs w:val="12"/>
                <w:color w:val="auto"/>
              </w:rPr>
            </w:pPr>
          </w:p>
        </w:tc>
        <w:tc>
          <w:tcPr>
            <w:tcW w:w="18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3"/>
                <w:szCs w:val="13"/>
                <w:color w:val="auto"/>
              </w:rPr>
              <w:t>6.3x – 50.8x (15.4x)</w:t>
            </w:r>
          </w:p>
        </w:tc>
        <w:tc>
          <w:tcPr>
            <w:tcW w:w="0" w:type="dxa"/>
            <w:vAlign w:val="bottom"/>
          </w:tcPr>
          <w:p>
            <w:pPr>
              <w:spacing w:after="0"/>
              <w:rPr>
                <w:sz w:val="1"/>
                <w:szCs w:val="1"/>
                <w:color w:val="auto"/>
              </w:rPr>
            </w:pPr>
          </w:p>
        </w:tc>
      </w:tr>
      <w:tr>
        <w:trPr>
          <w:trHeight w:val="181"/>
        </w:trPr>
        <w:tc>
          <w:tcPr>
            <w:tcW w:w="3520" w:type="dxa"/>
            <w:vAlign w:val="bottom"/>
            <w:tcBorders>
              <w:bottom w:val="single" w:sz="8" w:color="CCECFF"/>
            </w:tcBorders>
            <w:gridSpan w:val="4"/>
          </w:tcPr>
          <w:p>
            <w:pPr>
              <w:ind w:left="220"/>
              <w:spacing w:after="0" w:line="141" w:lineRule="exact"/>
              <w:rPr>
                <w:sz w:val="20"/>
                <w:szCs w:val="20"/>
                <w:color w:val="auto"/>
              </w:rPr>
            </w:pPr>
            <w:r>
              <w:rPr>
                <w:rFonts w:ascii="Times New Roman" w:cs="Times New Roman" w:eastAsia="Times New Roman" w:hAnsi="Times New Roman"/>
                <w:sz w:val="13"/>
                <w:szCs w:val="13"/>
                <w:color w:val="auto"/>
              </w:rPr>
              <w:t>Total Level 3 investments</w:t>
            </w:r>
          </w:p>
        </w:tc>
        <w:tc>
          <w:tcPr>
            <w:tcW w:w="20" w:type="dxa"/>
            <w:vAlign w:val="bottom"/>
            <w:tcBorders>
              <w:bottom w:val="single" w:sz="8" w:color="CCEC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1,031,737,579</w:t>
            </w:r>
          </w:p>
        </w:tc>
        <w:tc>
          <w:tcPr>
            <w:tcW w:w="26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180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14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178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14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17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520" w:type="dxa"/>
            <w:vAlign w:val="bottom"/>
            <w:tcBorders>
              <w:bottom w:val="single" w:sz="8" w:color="CCECFF"/>
            </w:tcBorders>
            <w:gridSpan w:val="4"/>
            <w:shd w:val="clear" w:color="auto" w:fill="CCECFF"/>
          </w:tcPr>
          <w:p>
            <w:pPr>
              <w:spacing w:after="0" w:line="126" w:lineRule="exact"/>
              <w:rPr>
                <w:sz w:val="20"/>
                <w:szCs w:val="20"/>
                <w:color w:val="auto"/>
              </w:rPr>
            </w:pPr>
            <w:r>
              <w:rPr>
                <w:rFonts w:ascii="Times New Roman" w:cs="Times New Roman" w:eastAsia="Times New Roman" w:hAnsi="Times New Roman"/>
                <w:sz w:val="13"/>
                <w:szCs w:val="13"/>
                <w:color w:val="auto"/>
              </w:rPr>
              <w:t>Long-Term Credit Facility</w:t>
            </w:r>
          </w:p>
        </w:tc>
        <w:tc>
          <w:tcPr>
            <w:tcW w:w="2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263,988,583</w:t>
            </w:r>
          </w:p>
        </w:tc>
        <w:tc>
          <w:tcPr>
            <w:tcW w:w="260" w:type="dxa"/>
            <w:vAlign w:val="bottom"/>
            <w:tcBorders>
              <w:bottom w:val="single" w:sz="8" w:color="CCECFF"/>
            </w:tcBorders>
            <w:shd w:val="clear" w:color="auto" w:fill="CCECFF"/>
          </w:tcPr>
          <w:p>
            <w:pPr>
              <w:spacing w:after="0"/>
              <w:rPr>
                <w:sz w:val="10"/>
                <w:szCs w:val="10"/>
                <w:color w:val="auto"/>
              </w:rPr>
            </w:pPr>
          </w:p>
        </w:tc>
        <w:tc>
          <w:tcPr>
            <w:tcW w:w="20" w:type="dxa"/>
            <w:vAlign w:val="bottom"/>
            <w:tcBorders>
              <w:bottom w:val="single" w:sz="8" w:color="CCECFF"/>
            </w:tcBorders>
            <w:shd w:val="clear" w:color="auto" w:fill="CCECFF"/>
          </w:tcPr>
          <w:p>
            <w:pPr>
              <w:spacing w:after="0"/>
              <w:rPr>
                <w:sz w:val="10"/>
                <w:szCs w:val="10"/>
                <w:color w:val="auto"/>
              </w:rPr>
            </w:pPr>
          </w:p>
        </w:tc>
        <w:tc>
          <w:tcPr>
            <w:tcW w:w="1960" w:type="dxa"/>
            <w:vAlign w:val="bottom"/>
            <w:tcBorders>
              <w:bottom w:val="single" w:sz="8" w:color="CCECFF"/>
            </w:tcBorders>
            <w:gridSpan w:val="3"/>
            <w:shd w:val="clear" w:color="auto" w:fill="CCECFF"/>
          </w:tcPr>
          <w:p>
            <w:pPr>
              <w:jc w:val="center"/>
              <w:ind w:right="180"/>
              <w:spacing w:after="0" w:line="126" w:lineRule="exact"/>
              <w:rPr>
                <w:sz w:val="20"/>
                <w:szCs w:val="20"/>
                <w:color w:val="auto"/>
              </w:rPr>
            </w:pPr>
            <w:r>
              <w:rPr>
                <w:rFonts w:ascii="Times New Roman" w:cs="Times New Roman" w:eastAsia="Times New Roman" w:hAnsi="Times New Roman"/>
                <w:sz w:val="13"/>
                <w:szCs w:val="13"/>
                <w:color w:val="auto"/>
              </w:rPr>
              <w:t>Market Comparable</w:t>
            </w:r>
          </w:p>
        </w:tc>
        <w:tc>
          <w:tcPr>
            <w:tcW w:w="20" w:type="dxa"/>
            <w:vAlign w:val="bottom"/>
            <w:tcBorders>
              <w:bottom w:val="single" w:sz="8" w:color="CCECFF"/>
            </w:tcBorders>
            <w:shd w:val="clear" w:color="auto" w:fill="CCECFF"/>
          </w:tcPr>
          <w:p>
            <w:pPr>
              <w:spacing w:after="0"/>
              <w:rPr>
                <w:sz w:val="10"/>
                <w:szCs w:val="10"/>
                <w:color w:val="auto"/>
              </w:rPr>
            </w:pPr>
          </w:p>
        </w:tc>
        <w:tc>
          <w:tcPr>
            <w:tcW w:w="1940" w:type="dxa"/>
            <w:vAlign w:val="bottom"/>
            <w:tcBorders>
              <w:bottom w:val="single" w:sz="8" w:color="CCECFF"/>
            </w:tcBorders>
            <w:gridSpan w:val="3"/>
            <w:shd w:val="clear" w:color="auto" w:fill="CCECFF"/>
          </w:tcPr>
          <w:p>
            <w:pPr>
              <w:jc w:val="center"/>
              <w:ind w:right="160"/>
              <w:spacing w:after="0" w:line="126" w:lineRule="exact"/>
              <w:rPr>
                <w:sz w:val="20"/>
                <w:szCs w:val="20"/>
                <w:color w:val="auto"/>
              </w:rPr>
            </w:pPr>
            <w:r>
              <w:rPr>
                <w:rFonts w:ascii="Times New Roman" w:cs="Times New Roman" w:eastAsia="Times New Roman" w:hAnsi="Times New Roman"/>
                <w:sz w:val="13"/>
                <w:szCs w:val="13"/>
                <w:color w:val="auto"/>
              </w:rPr>
              <w:t>Market Yield</w:t>
            </w:r>
          </w:p>
        </w:tc>
        <w:tc>
          <w:tcPr>
            <w:tcW w:w="1720" w:type="dxa"/>
            <w:vAlign w:val="bottom"/>
            <w:tcBorders>
              <w:bottom w:val="single" w:sz="8" w:color="CCECFF"/>
            </w:tcBorders>
            <w:gridSpan w:val="2"/>
            <w:shd w:val="clear" w:color="auto" w:fill="CCECFF"/>
          </w:tcPr>
          <w:p>
            <w:pPr>
              <w:jc w:val="center"/>
              <w:spacing w:after="0" w:line="126"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9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1" w:hanging="361"/>
        <w:spacing w:after="0" w:line="180" w:lineRule="auto"/>
        <w:tabs>
          <w:tab w:leader="none" w:pos="361" w:val="left"/>
        </w:tabs>
        <w:numPr>
          <w:ilvl w:val="0"/>
          <w:numId w:val="74"/>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ind w:right="39"/>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9"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Our investments, cash and cash equivalents, Credit Facility, 2023 Notes and the 2031 Asset-Backed Debt were categorized as follows in the fair value hierarchy for ASC 820 purposes: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6"/>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Fair Value at September 30, 2020</w:t>
            </w: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54"/>
              <w:spacing w:after="0" w:line="119" w:lineRule="exact"/>
              <w:rPr>
                <w:sz w:val="20"/>
                <w:szCs w:val="20"/>
                <w:color w:val="auto"/>
              </w:rPr>
            </w:pPr>
            <w:r>
              <w:rPr>
                <w:rFonts w:ascii="Times New Roman" w:cs="Times New Roman" w:eastAsia="Times New Roman" w:hAnsi="Times New Roman"/>
                <w:sz w:val="13"/>
                <w:szCs w:val="13"/>
                <w:b w:val="1"/>
                <w:bCs w:val="1"/>
                <w:color w:val="auto"/>
                <w:w w:val="99"/>
              </w:rPr>
              <w:t>Measured at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1"/>
                <w:szCs w:val="11"/>
                <w:b w:val="1"/>
                <w:bCs w:val="1"/>
                <w:color w:val="auto"/>
                <w:w w:val="98"/>
              </w:rPr>
              <w:t>(1)</w:t>
            </w:r>
          </w:p>
        </w:tc>
        <w:tc>
          <w:tcPr>
            <w:tcW w:w="0" w:type="dxa"/>
            <w:vAlign w:val="bottom"/>
          </w:tcPr>
          <w:p>
            <w:pPr>
              <w:spacing w:after="0"/>
              <w:rPr>
                <w:sz w:val="1"/>
                <w:szCs w:val="1"/>
                <w:color w:val="auto"/>
              </w:rPr>
            </w:pPr>
          </w:p>
        </w:tc>
      </w:tr>
      <w:tr>
        <w:trPr>
          <w:trHeight w:val="141"/>
        </w:trPr>
        <w:tc>
          <w:tcPr>
            <w:tcW w:w="3740" w:type="dxa"/>
            <w:vAlign w:val="bottom"/>
            <w:tcBorders>
              <w:top w:val="single" w:sz="8" w:color="auto"/>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968,615,748</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968,615,748</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29,911,030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29,911,030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88,401,689</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48,491,115</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39,910,574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40" w:type="dxa"/>
            <w:vAlign w:val="bottom"/>
            <w:tcBorders>
              <w:bottom w:val="single" w:sz="8" w:color="CCECFF"/>
            </w:tcBorders>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investments</w:t>
            </w:r>
          </w:p>
        </w:tc>
        <w:tc>
          <w:tcPr>
            <w:tcW w:w="140" w:type="dxa"/>
            <w:vAlign w:val="bottom"/>
            <w:tcBorders>
              <w:bottom w:val="single" w:sz="8" w:color="CCEC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1,086,928,467</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1,047,017,893</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39,910,574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4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57,511,928</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57,511,928</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tcBorders>
              <w:bottom w:val="single" w:sz="8" w:color="CCECFF"/>
            </w:tcBorders>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40" w:type="dxa"/>
            <w:vAlign w:val="bottom"/>
            <w:tcBorders>
              <w:bottom w:val="single" w:sz="8" w:color="CCEC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1,144,440,395</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57,511,928</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1,047,017,893</w:t>
            </w:r>
          </w:p>
        </w:tc>
        <w:tc>
          <w:tcPr>
            <w:tcW w:w="26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39,910,574</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CCECFF"/>
          </w:tcPr>
          <w:p>
            <w:pPr>
              <w:spacing w:after="0" w:line="126" w:lineRule="exact"/>
              <w:rPr>
                <w:sz w:val="20"/>
                <w:szCs w:val="20"/>
                <w:color w:val="auto"/>
              </w:rPr>
            </w:pPr>
            <w:r>
              <w:rPr>
                <w:rFonts w:ascii="Times New Roman" w:cs="Times New Roman" w:eastAsia="Times New Roman" w:hAnsi="Times New Roman"/>
                <w:sz w:val="13"/>
                <w:szCs w:val="13"/>
                <w:color w:val="auto"/>
              </w:rPr>
              <w:t>Long-Term Credit Facility</w:t>
            </w:r>
          </w:p>
        </w:tc>
        <w:tc>
          <w:tcPr>
            <w:tcW w:w="140" w:type="dxa"/>
            <w:vAlign w:val="bottom"/>
            <w:shd w:val="clear" w:color="auto" w:fill="CCECFF"/>
          </w:tcPr>
          <w:p>
            <w:pPr>
              <w:spacing w:after="0"/>
              <w:rPr>
                <w:sz w:val="10"/>
                <w:szCs w:val="10"/>
                <w:color w:val="auto"/>
              </w:rPr>
            </w:pPr>
          </w:p>
        </w:tc>
        <w:tc>
          <w:tcPr>
            <w:tcW w:w="20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299,047,275</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ind w:left="86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299,047,275</w:t>
            </w:r>
          </w:p>
        </w:tc>
        <w:tc>
          <w:tcPr>
            <w:tcW w:w="26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2023 Notes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129,295,008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129,295,008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2031 Asset-Backed Debt</w:t>
            </w:r>
            <w:r>
              <w:rPr>
                <w:rFonts w:ascii="Times New Roman" w:cs="Times New Roman" w:eastAsia="Times New Roman" w:hAnsi="Times New Roman"/>
                <w:sz w:val="11"/>
                <w:szCs w:val="11"/>
                <w:color w:val="auto"/>
              </w:rPr>
              <w:t>(2)</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224,866,334</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224,866,334</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3740" w:type="dxa"/>
            <w:vAlign w:val="bottom"/>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653,208,617</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129,295,008</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523,913,609</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61" w:right="180" w:hanging="361"/>
        <w:spacing w:after="0" w:line="186" w:lineRule="auto"/>
        <w:tabs>
          <w:tab w:leader="none" w:pos="361" w:val="left"/>
        </w:tabs>
        <w:numPr>
          <w:ilvl w:val="0"/>
          <w:numId w:val="75"/>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1" w:lineRule="exact"/>
        <w:rPr>
          <w:rFonts w:ascii="Times New Roman" w:cs="Times New Roman" w:eastAsia="Times New Roman" w:hAnsi="Times New Roman"/>
          <w:sz w:val="18"/>
          <w:szCs w:val="18"/>
          <w:b w:val="1"/>
          <w:bCs w:val="1"/>
          <w:color w:val="auto"/>
          <w:vertAlign w:val="superscript"/>
        </w:rPr>
      </w:pPr>
    </w:p>
    <w:p>
      <w:pPr>
        <w:ind w:left="361" w:hanging="361"/>
        <w:spacing w:after="0" w:line="190" w:lineRule="auto"/>
        <w:tabs>
          <w:tab w:leader="none" w:pos="361" w:val="left"/>
        </w:tabs>
        <w:numPr>
          <w:ilvl w:val="0"/>
          <w:numId w:val="7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37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6"/>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Fair Value at September 30, 2019</w:t>
            </w: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0"/>
                <w:szCs w:val="10"/>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54"/>
              <w:spacing w:after="0" w:line="119" w:lineRule="exact"/>
              <w:rPr>
                <w:sz w:val="20"/>
                <w:szCs w:val="20"/>
                <w:color w:val="auto"/>
              </w:rPr>
            </w:pPr>
            <w:r>
              <w:rPr>
                <w:rFonts w:ascii="Times New Roman" w:cs="Times New Roman" w:eastAsia="Times New Roman" w:hAnsi="Times New Roman"/>
                <w:sz w:val="13"/>
                <w:szCs w:val="13"/>
                <w:b w:val="1"/>
                <w:bCs w:val="1"/>
                <w:color w:val="auto"/>
                <w:w w:val="99"/>
              </w:rPr>
              <w:t>Measured at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1"/>
                <w:szCs w:val="11"/>
                <w:b w:val="1"/>
                <w:bCs w:val="1"/>
                <w:color w:val="auto"/>
                <w:w w:val="98"/>
              </w:rPr>
              <w:t>(1)</w:t>
            </w:r>
          </w:p>
        </w:tc>
        <w:tc>
          <w:tcPr>
            <w:tcW w:w="0" w:type="dxa"/>
            <w:vAlign w:val="bottom"/>
          </w:tcPr>
          <w:p>
            <w:pPr>
              <w:spacing w:after="0"/>
              <w:rPr>
                <w:sz w:val="1"/>
                <w:szCs w:val="1"/>
                <w:color w:val="auto"/>
              </w:rPr>
            </w:pPr>
          </w:p>
        </w:tc>
      </w:tr>
      <w:tr>
        <w:trPr>
          <w:trHeight w:val="141"/>
        </w:trPr>
        <w:tc>
          <w:tcPr>
            <w:tcW w:w="3740" w:type="dxa"/>
            <w:vAlign w:val="bottom"/>
            <w:tcBorders>
              <w:top w:val="single" w:sz="8" w:color="auto"/>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944,900,800</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944,900,800</w:t>
            </w:r>
          </w:p>
        </w:tc>
        <w:tc>
          <w:tcPr>
            <w:tcW w:w="2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34,370,598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34,370,598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102,435,511</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52,466,181</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49,969,330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40" w:type="dxa"/>
            <w:vAlign w:val="bottom"/>
            <w:tcBorders>
              <w:bottom w:val="single" w:sz="8" w:color="CCECFF"/>
            </w:tcBorders>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investments</w:t>
            </w:r>
          </w:p>
        </w:tc>
        <w:tc>
          <w:tcPr>
            <w:tcW w:w="140" w:type="dxa"/>
            <w:vAlign w:val="bottom"/>
            <w:tcBorders>
              <w:bottom w:val="single" w:sz="8" w:color="CCEC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1,081,706,909</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C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1,031,737,579</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49,969,330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4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04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63,337,728</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63,337,728</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00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tcBorders>
              <w:bottom w:val="single" w:sz="8" w:color="CCECFF"/>
            </w:tcBorders>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40" w:type="dxa"/>
            <w:vAlign w:val="bottom"/>
            <w:tcBorders>
              <w:bottom w:val="single" w:sz="8" w:color="CCEC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1,145,044,637</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63,337,728</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1,031,737,579</w:t>
            </w:r>
          </w:p>
        </w:tc>
        <w:tc>
          <w:tcPr>
            <w:tcW w:w="26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49,969,330</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CCECFF"/>
          </w:tcPr>
          <w:p>
            <w:pPr>
              <w:spacing w:after="0" w:line="126" w:lineRule="exact"/>
              <w:rPr>
                <w:sz w:val="20"/>
                <w:szCs w:val="20"/>
                <w:color w:val="auto"/>
              </w:rPr>
            </w:pPr>
            <w:r>
              <w:rPr>
                <w:rFonts w:ascii="Times New Roman" w:cs="Times New Roman" w:eastAsia="Times New Roman" w:hAnsi="Times New Roman"/>
                <w:sz w:val="13"/>
                <w:szCs w:val="13"/>
                <w:color w:val="auto"/>
              </w:rPr>
              <w:t>Long-Term Credit Facility</w:t>
            </w:r>
          </w:p>
        </w:tc>
        <w:tc>
          <w:tcPr>
            <w:tcW w:w="140" w:type="dxa"/>
            <w:vAlign w:val="bottom"/>
            <w:shd w:val="clear" w:color="auto" w:fill="CCECFF"/>
          </w:tcPr>
          <w:p>
            <w:pPr>
              <w:spacing w:after="0"/>
              <w:rPr>
                <w:sz w:val="10"/>
                <w:szCs w:val="10"/>
                <w:color w:val="auto"/>
              </w:rPr>
            </w:pPr>
          </w:p>
        </w:tc>
        <w:tc>
          <w:tcPr>
            <w:tcW w:w="200" w:type="dxa"/>
            <w:vAlign w:val="bottom"/>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263,988,583</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ind w:left="860"/>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263,988,583</w:t>
            </w:r>
          </w:p>
        </w:tc>
        <w:tc>
          <w:tcPr>
            <w:tcW w:w="26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shd w:val="clear" w:color="auto" w:fill="CCEC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2023 Notes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135,240,084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135,240,084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2031 Asset-Backed Debt</w:t>
            </w:r>
            <w:r>
              <w:rPr>
                <w:rFonts w:ascii="Times New Roman" w:cs="Times New Roman" w:eastAsia="Times New Roman" w:hAnsi="Times New Roman"/>
                <w:sz w:val="11"/>
                <w:szCs w:val="11"/>
                <w:color w:val="auto"/>
              </w:rPr>
              <w:t>(2)</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224,321,845</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224,321,845</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3740" w:type="dxa"/>
            <w:vAlign w:val="bottom"/>
            <w:gridSpan w:val="2"/>
          </w:tcPr>
          <w:p>
            <w:pPr>
              <w:ind w:left="460"/>
              <w:spacing w:after="0" w:line="141" w:lineRule="exact"/>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623,550,512</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135,240,084</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ind w:left="860"/>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488,310,428</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61" w:right="180" w:hanging="361"/>
        <w:spacing w:after="0" w:line="186" w:lineRule="auto"/>
        <w:tabs>
          <w:tab w:leader="none" w:pos="361" w:val="left"/>
        </w:tabs>
        <w:numPr>
          <w:ilvl w:val="0"/>
          <w:numId w:val="76"/>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1" w:lineRule="exact"/>
        <w:rPr>
          <w:rFonts w:ascii="Times New Roman" w:cs="Times New Roman" w:eastAsia="Times New Roman" w:hAnsi="Times New Roman"/>
          <w:sz w:val="18"/>
          <w:szCs w:val="18"/>
          <w:b w:val="1"/>
          <w:bCs w:val="1"/>
          <w:color w:val="auto"/>
          <w:vertAlign w:val="superscript"/>
        </w:rPr>
      </w:pPr>
    </w:p>
    <w:p>
      <w:pPr>
        <w:ind w:left="361" w:hanging="361"/>
        <w:spacing w:after="0" w:line="190" w:lineRule="auto"/>
        <w:tabs>
          <w:tab w:leader="none" w:pos="361" w:val="left"/>
        </w:tabs>
        <w:numPr>
          <w:ilvl w:val="0"/>
          <w:numId w:val="7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6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 3):</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September 30, 2020</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3"/>
                <w:szCs w:val="13"/>
                <w:b w:val="1"/>
                <w:bCs w:val="1"/>
                <w:color w:val="auto"/>
              </w:rPr>
              <w:t>Second lien,</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3"/>
                <w:szCs w:val="13"/>
                <w:b w:val="1"/>
                <w:bCs w:val="1"/>
                <w:color w:val="auto"/>
              </w:rPr>
              <w:t>subordinated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400"/>
              <w:spacing w:after="0" w:line="136" w:lineRule="exact"/>
              <w:rPr>
                <w:sz w:val="20"/>
                <w:szCs w:val="20"/>
                <w:color w:val="auto"/>
              </w:rPr>
            </w:pPr>
            <w:r>
              <w:rPr>
                <w:rFonts w:ascii="Times New Roman" w:cs="Times New Roman" w:eastAsia="Times New Roman" w:hAnsi="Times New Roman"/>
                <w:sz w:val="13"/>
                <w:szCs w:val="13"/>
                <w:b w:val="1"/>
                <w:bCs w:val="1"/>
                <w:color w:val="auto"/>
              </w:rPr>
              <w:t>debt and equity</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96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Beginning Balance</w:t>
            </w:r>
          </w:p>
        </w:tc>
        <w:tc>
          <w:tcPr>
            <w:tcW w:w="154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944,900,800</w:t>
            </w: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86,836,779</w:t>
            </w:r>
          </w:p>
        </w:tc>
        <w:tc>
          <w:tcPr>
            <w:tcW w:w="24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1,031,737,579</w:t>
            </w:r>
          </w:p>
        </w:tc>
        <w:tc>
          <w:tcPr>
            <w:tcW w:w="100" w:type="dxa"/>
            <w:vAlign w:val="bottom"/>
            <w:tcBorders>
              <w:top w:val="single" w:sz="8" w:color="CCECFF"/>
            </w:tcBorders>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realized losses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(11,024,231)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(1,192,236)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(12,216,467)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Net change in unrealized depreciation</w:t>
            </w:r>
          </w:p>
        </w:tc>
        <w:tc>
          <w:tcPr>
            <w:tcW w:w="15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(7,074,283)</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(8,059,490)</w:t>
            </w: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(15,133,773)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431,515,177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7,980,884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439,496,061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15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(389,701,715)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(7,163,792)</w:t>
            </w: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(396,865,507)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Borders>
              <w:top w:val="single" w:sz="8" w:color="CCECFF"/>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Ending Balance</w:t>
            </w:r>
          </w:p>
        </w:tc>
        <w:tc>
          <w:tcPr>
            <w:tcW w:w="1540" w:type="dxa"/>
            <w:vAlign w:val="bottom"/>
            <w:tcBorders>
              <w:top w:val="single" w:sz="8" w:color="CCECFF"/>
              <w:bottom w:val="single" w:sz="8" w:color="CCECFF"/>
            </w:tcBorders>
            <w:shd w:val="clear" w:color="auto" w:fill="CCECFF"/>
          </w:tcPr>
          <w:p>
            <w:pPr>
              <w:spacing w:after="0"/>
              <w:rPr>
                <w:sz w:val="12"/>
                <w:szCs w:val="12"/>
                <w:color w:val="auto"/>
              </w:rPr>
            </w:pP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auto"/>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968,615,748</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78,402,145</w:t>
            </w: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2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1,047,017,893</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96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depreciation on investments in our Consolidated Statements of Operations</w:t>
            </w:r>
          </w:p>
        </w:tc>
        <w:tc>
          <w:tcPr>
            <w:tcW w:w="1920" w:type="dxa"/>
            <w:vAlign w:val="bottom"/>
            <w:gridSpan w:val="3"/>
            <w:vMerge w:val="restart"/>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(15,116,028)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(6,860,646)</w:t>
            </w:r>
          </w:p>
        </w:tc>
        <w:tc>
          <w:tcPr>
            <w:tcW w:w="280" w:type="dxa"/>
            <w:vAlign w:val="bottom"/>
            <w:gridSpan w:val="2"/>
            <w:vMerge w:val="restart"/>
          </w:tcPr>
          <w:p>
            <w:pPr>
              <w:jc w:val="right"/>
              <w:ind w:right="14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(21,976,674)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1920" w:type="dxa"/>
            <w:vAlign w:val="bottom"/>
            <w:gridSpan w:val="3"/>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40" w:type="dxa"/>
            <w:vAlign w:val="bottom"/>
            <w:vMerge w:val="restart"/>
          </w:tcPr>
          <w:p>
            <w:pPr>
              <w:jc w:val="right"/>
              <w:ind w:right="734"/>
              <w:spacing w:after="0"/>
              <w:rPr>
                <w:sz w:val="20"/>
                <w:szCs w:val="20"/>
                <w:color w:val="auto"/>
              </w:rPr>
            </w:pPr>
            <w:r>
              <w:rPr>
                <w:rFonts w:ascii="Times New Roman" w:cs="Times New Roman" w:eastAsia="Times New Roman" w:hAnsi="Times New Roman"/>
                <w:sz w:val="13"/>
                <w:szCs w:val="13"/>
                <w:color w:val="auto"/>
              </w:rPr>
              <w:t>77</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9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9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1"/>
          </w:cols>
          <w:pgMar w:left="319" w:top="115" w:right="29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9"/>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Year Ended September 30, 2019</w:t>
            </w: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54"/>
              <w:spacing w:after="0" w:line="119" w:lineRule="exact"/>
              <w:rPr>
                <w:sz w:val="20"/>
                <w:szCs w:val="20"/>
                <w:color w:val="auto"/>
              </w:rPr>
            </w:pPr>
            <w:r>
              <w:rPr>
                <w:rFonts w:ascii="Times New Roman" w:cs="Times New Roman" w:eastAsia="Times New Roman" w:hAnsi="Times New Roman"/>
                <w:sz w:val="13"/>
                <w:szCs w:val="13"/>
                <w:b w:val="1"/>
                <w:bCs w:val="1"/>
                <w:color w:val="auto"/>
              </w:rPr>
              <w:t>Second lien,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54"/>
              <w:spacing w:after="0" w:line="136" w:lineRule="exact"/>
              <w:rPr>
                <w:sz w:val="20"/>
                <w:szCs w:val="20"/>
                <w:color w:val="auto"/>
              </w:rPr>
            </w:pPr>
            <w:r>
              <w:rPr>
                <w:rFonts w:ascii="Times New Roman" w:cs="Times New Roman" w:eastAsia="Times New Roman" w:hAnsi="Times New Roman"/>
                <w:sz w:val="13"/>
                <w:szCs w:val="13"/>
                <w:b w:val="1"/>
                <w:bCs w:val="1"/>
                <w:color w:val="auto"/>
              </w:rPr>
              <w:t>subordinated debt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1"/>
                <w:szCs w:val="11"/>
                <w:color w:val="auto"/>
              </w:rPr>
            </w:pPr>
          </w:p>
        </w:tc>
        <w:tc>
          <w:tcPr>
            <w:tcW w:w="1240" w:type="dxa"/>
            <w:vAlign w:val="bottom"/>
            <w:gridSpan w:val="4"/>
            <w:vMerge w:val="restart"/>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54"/>
              <w:spacing w:after="0" w:line="136" w:lineRule="exact"/>
              <w:rPr>
                <w:sz w:val="20"/>
                <w:szCs w:val="20"/>
                <w:color w:val="auto"/>
              </w:rPr>
            </w:pPr>
            <w:r>
              <w:rPr>
                <w:rFonts w:ascii="Times New Roman" w:cs="Times New Roman" w:eastAsia="Times New Roman" w:hAnsi="Times New Roman"/>
                <w:sz w:val="13"/>
                <w:szCs w:val="13"/>
                <w:b w:val="1"/>
                <w:bCs w:val="1"/>
                <w:color w:val="auto"/>
              </w:rPr>
              <w:t>and equity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8"/>
        </w:trPr>
        <w:tc>
          <w:tcPr>
            <w:tcW w:w="6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50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Beginning Balance</w:t>
            </w:r>
          </w:p>
        </w:tc>
        <w:tc>
          <w:tcPr>
            <w:tcW w:w="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3"/>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913,297,976</w:t>
            </w: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gridSpan w:val="2"/>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42,517,588</w:t>
            </w:r>
          </w:p>
        </w:tc>
        <w:tc>
          <w:tcPr>
            <w:tcW w:w="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CCECFF"/>
            </w:tcBorders>
            <w:gridSpan w:val="2"/>
            <w:shd w:val="clear" w:color="auto" w:fill="CCECFF"/>
          </w:tcPr>
          <w:p>
            <w:pPr>
              <w:spacing w:after="0"/>
              <w:rPr>
                <w:sz w:val="12"/>
                <w:szCs w:val="12"/>
                <w:color w:val="auto"/>
              </w:rPr>
            </w:pPr>
          </w:p>
        </w:tc>
        <w:tc>
          <w:tcPr>
            <w:tcW w:w="360" w:type="dxa"/>
            <w:vAlign w:val="bottom"/>
            <w:tcBorders>
              <w:top w:val="single" w:sz="8" w:color="auto"/>
            </w:tcBorders>
            <w:shd w:val="clear" w:color="auto" w:fill="CCECFF"/>
          </w:tcPr>
          <w:p>
            <w:pPr>
              <w:jc w:val="right"/>
              <w:ind w:right="29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tcBorders>
              <w:top w:val="single" w:sz="8" w:color="auto"/>
            </w:tcBorders>
            <w:gridSpan w:val="2"/>
            <w:shd w:val="clear" w:color="auto" w:fill="CCEC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955,815,564</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Net realized losses</w:t>
            </w:r>
          </w:p>
        </w:tc>
        <w:tc>
          <w:tcPr>
            <w:tcW w:w="220" w:type="dxa"/>
            <w:vAlign w:val="bottom"/>
          </w:tcPr>
          <w:p>
            <w:pPr>
              <w:spacing w:after="0"/>
              <w:rPr>
                <w:sz w:val="12"/>
                <w:szCs w:val="12"/>
                <w:color w:val="auto"/>
              </w:rPr>
            </w:pPr>
          </w:p>
        </w:tc>
        <w:tc>
          <w:tcPr>
            <w:tcW w:w="124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color w:val="auto"/>
              </w:rPr>
              <w:t>(27,622,557)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ind w:right="165"/>
              <w:spacing w:after="0"/>
              <w:rPr>
                <w:sz w:val="20"/>
                <w:szCs w:val="20"/>
                <w:color w:val="auto"/>
              </w:rPr>
            </w:pPr>
            <w:r>
              <w:rPr>
                <w:rFonts w:ascii="Times New Roman" w:cs="Times New Roman" w:eastAsia="Times New Roman" w:hAnsi="Times New Roman"/>
                <w:sz w:val="13"/>
                <w:szCs w:val="13"/>
                <w:color w:val="auto"/>
              </w:rPr>
              <w:t>(4,448,014)</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(32,070,571)</w:t>
            </w:r>
          </w:p>
        </w:tc>
        <w:tc>
          <w:tcPr>
            <w:tcW w:w="0" w:type="dxa"/>
            <w:vAlign w:val="bottom"/>
          </w:tcPr>
          <w:p>
            <w:pPr>
              <w:spacing w:after="0"/>
              <w:rPr>
                <w:sz w:val="1"/>
                <w:szCs w:val="1"/>
                <w:color w:val="auto"/>
              </w:rPr>
            </w:pPr>
          </w:p>
        </w:tc>
      </w:tr>
      <w:tr>
        <w:trPr>
          <w:trHeight w:val="149"/>
        </w:trPr>
        <w:tc>
          <w:tcPr>
            <w:tcW w:w="6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Net change in unrealized (depreciation) appreciation</w:t>
            </w:r>
          </w:p>
        </w:tc>
        <w:tc>
          <w:tcPr>
            <w:tcW w:w="220" w:type="dxa"/>
            <w:vAlign w:val="bottom"/>
            <w:shd w:val="clear" w:color="auto" w:fill="CCECFF"/>
          </w:tcPr>
          <w:p>
            <w:pPr>
              <w:spacing w:after="0"/>
              <w:rPr>
                <w:sz w:val="12"/>
                <w:szCs w:val="12"/>
                <w:color w:val="auto"/>
              </w:rPr>
            </w:pPr>
          </w:p>
        </w:tc>
        <w:tc>
          <w:tcPr>
            <w:tcW w:w="1240" w:type="dxa"/>
            <w:vAlign w:val="bottom"/>
            <w:gridSpan w:val="4"/>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(5,963,719)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7,037,654</w:t>
            </w:r>
          </w:p>
        </w:tc>
        <w:tc>
          <w:tcPr>
            <w:tcW w:w="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1,073,935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605,767,518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28,404,511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634,172,029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2"/>
                <w:szCs w:val="12"/>
                <w:color w:val="auto"/>
              </w:rPr>
            </w:pPr>
          </w:p>
        </w:tc>
        <w:tc>
          <w:tcPr>
            <w:tcW w:w="1240" w:type="dxa"/>
            <w:vAlign w:val="bottom"/>
            <w:gridSpan w:val="4"/>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(522,089,023)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500" w:type="dxa"/>
            <w:vAlign w:val="bottom"/>
            <w:gridSpan w:val="4"/>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(5,164,355)</w:t>
            </w:r>
          </w:p>
        </w:tc>
        <w:tc>
          <w:tcPr>
            <w:tcW w:w="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(527,253,378)</w:t>
            </w:r>
          </w:p>
        </w:tc>
        <w:tc>
          <w:tcPr>
            <w:tcW w:w="0" w:type="dxa"/>
            <w:vAlign w:val="bottom"/>
          </w:tcPr>
          <w:p>
            <w:pPr>
              <w:spacing w:after="0"/>
              <w:rPr>
                <w:sz w:val="1"/>
                <w:szCs w:val="1"/>
                <w:color w:val="auto"/>
              </w:rPr>
            </w:pPr>
          </w:p>
        </w:tc>
      </w:tr>
      <w:tr>
        <w:trPr>
          <w:trHeight w:val="149"/>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6660" w:type="dxa"/>
            <w:vAlign w:val="bottom"/>
            <w:tcBorders>
              <w:top w:val="single" w:sz="8" w:color="CCECFF"/>
              <w:bottom w:val="single" w:sz="8" w:color="CCECFF"/>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top w:val="single" w:sz="8" w:color="auto"/>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gridSpan w:val="3"/>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963,390,195</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gridSpan w:val="2"/>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68,347,384</w:t>
            </w:r>
          </w:p>
        </w:tc>
        <w:tc>
          <w:tcPr>
            <w:tcW w:w="2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CCECFF"/>
              <w:bottom w:val="single" w:sz="8" w:color="CCECFF"/>
            </w:tcBorders>
            <w:gridSpan w:val="2"/>
            <w:shd w:val="clear" w:color="auto" w:fill="CCECFF"/>
          </w:tcPr>
          <w:p>
            <w:pPr>
              <w:spacing w:after="0"/>
              <w:rPr>
                <w:sz w:val="12"/>
                <w:szCs w:val="12"/>
                <w:color w:val="auto"/>
              </w:rPr>
            </w:pPr>
          </w:p>
        </w:tc>
        <w:tc>
          <w:tcPr>
            <w:tcW w:w="360" w:type="dxa"/>
            <w:vAlign w:val="bottom"/>
            <w:tcBorders>
              <w:top w:val="single" w:sz="8" w:color="auto"/>
              <w:bottom w:val="single" w:sz="8" w:color="auto"/>
            </w:tcBorders>
            <w:shd w:val="clear" w:color="auto" w:fill="CCECFF"/>
          </w:tcPr>
          <w:p>
            <w:pPr>
              <w:jc w:val="right"/>
              <w:ind w:right="29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tcBorders>
              <w:top w:val="single" w:sz="8" w:color="auto"/>
              <w:bottom w:val="single" w:sz="8" w:color="auto"/>
            </w:tcBorders>
            <w:gridSpan w:val="2"/>
            <w:shd w:val="clear" w:color="auto" w:fill="CCEC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1,031,737,579</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Net change in unrealized (depreciation) appreciation reported within the net change in unrealized</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6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(depreciation) appreciation on investments in our Consolidated Statements of Operations</w:t>
            </w: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4"/>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(7,423,502)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4,988,683</w:t>
            </w:r>
          </w:p>
        </w:tc>
        <w:tc>
          <w:tcPr>
            <w:tcW w:w="640" w:type="dxa"/>
            <w:vAlign w:val="bottom"/>
            <w:gridSpan w:val="4"/>
            <w:vMerge w:val="restart"/>
          </w:tcPr>
          <w:p>
            <w:pPr>
              <w:jc w:val="right"/>
              <w:ind w:right="298"/>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(2,434,819)</w:t>
            </w:r>
          </w:p>
        </w:tc>
        <w:tc>
          <w:tcPr>
            <w:tcW w:w="0" w:type="dxa"/>
            <w:vAlign w:val="bottom"/>
          </w:tcPr>
          <w:p>
            <w:pPr>
              <w:spacing w:after="0"/>
              <w:rPr>
                <w:sz w:val="1"/>
                <w:szCs w:val="1"/>
                <w:color w:val="auto"/>
              </w:rPr>
            </w:pPr>
          </w:p>
        </w:tc>
      </w:tr>
      <w:tr>
        <w:trPr>
          <w:trHeight w:val="156"/>
        </w:trPr>
        <w:tc>
          <w:tcPr>
            <w:tcW w:w="6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0200" w:type="dxa"/>
            <w:vAlign w:val="bottom"/>
            <w:gridSpan w:val="15"/>
          </w:tcPr>
          <w:p>
            <w:pPr>
              <w:ind w:left="44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recognized at fair value and measured using significant unobservable inputs (Level 3):</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Long-Term Credit Facility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CCEC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28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4"/>
              <w:spacing w:after="0" w:line="141"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Beginning Balance (cost – $265,307,500 and $333,727,520, respectively)</w:t>
            </w: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263,988,583</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332,128,815</w:t>
            </w: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(8,232,308)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279,788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Borrowings</w:t>
            </w: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265,000,000</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370,700,000</w:t>
            </w: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Repayments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(221,709,000)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(439,120,020)</w:t>
            </w:r>
          </w:p>
        </w:tc>
        <w:tc>
          <w:tcPr>
            <w:tcW w:w="0" w:type="dxa"/>
            <w:vAlign w:val="bottom"/>
          </w:tcPr>
          <w:p>
            <w:pPr>
              <w:spacing w:after="0"/>
              <w:rPr>
                <w:sz w:val="1"/>
                <w:szCs w:val="1"/>
                <w:color w:val="auto"/>
              </w:rPr>
            </w:pPr>
          </w:p>
        </w:tc>
      </w:tr>
      <w:tr>
        <w:trPr>
          <w:trHeight w:val="149"/>
        </w:trPr>
        <w:tc>
          <w:tcPr>
            <w:tcW w:w="666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66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Ending Balance (cost – $308,598,500 and $265,307,500, respectively)</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299,047,275</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263,988,583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As of September 30, 2020, we had outstanding non-U.S. dollar borrowings on our Credit Facility. Net change in fair value from foreign currency translation on outstanding borrowings is listed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Change in Fair</w:t>
            </w:r>
          </w:p>
        </w:tc>
        <w:tc>
          <w:tcPr>
            <w:tcW w:w="0" w:type="dxa"/>
            <w:vAlign w:val="bottom"/>
          </w:tcPr>
          <w:p>
            <w:pPr>
              <w:spacing w:after="0"/>
              <w:rPr>
                <w:sz w:val="1"/>
                <w:szCs w:val="1"/>
                <w:color w:val="auto"/>
              </w:rPr>
            </w:pPr>
          </w:p>
        </w:tc>
      </w:tr>
      <w:tr>
        <w:trPr>
          <w:trHeight w:val="158"/>
        </w:trPr>
        <w:tc>
          <w:tcPr>
            <w:tcW w:w="3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41"/>
        </w:trPr>
        <w:tc>
          <w:tcPr>
            <w:tcW w:w="374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Canadian Dollar</w:t>
            </w:r>
          </w:p>
        </w:tc>
        <w:tc>
          <w:tcPr>
            <w:tcW w:w="140" w:type="dxa"/>
            <w:vAlign w:val="bottom"/>
            <w:tcBorders>
              <w:top w:val="single" w:sz="8" w:color="CCECFF"/>
            </w:tcBorders>
            <w:shd w:val="clear" w:color="auto" w:fill="CCECFF"/>
          </w:tcPr>
          <w:p>
            <w:pPr>
              <w:ind w:left="40"/>
              <w:spacing w:after="0" w:line="141" w:lineRule="exact"/>
              <w:rPr>
                <w:sz w:val="20"/>
                <w:szCs w:val="20"/>
                <w:color w:val="auto"/>
              </w:rPr>
            </w:pPr>
            <w:r>
              <w:rPr>
                <w:rFonts w:ascii="Times New Roman" w:cs="Times New Roman" w:eastAsia="Times New Roman" w:hAnsi="Times New Roman"/>
                <w:sz w:val="13"/>
                <w:szCs w:val="13"/>
                <w:color w:val="auto"/>
                <w:w w:val="91"/>
              </w:rPr>
              <w:t>C</w:t>
            </w: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16,500,000</w:t>
            </w:r>
          </w:p>
        </w:tc>
        <w:tc>
          <w:tcPr>
            <w:tcW w:w="2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11,698,500</w:t>
            </w:r>
          </w:p>
        </w:tc>
        <w:tc>
          <w:tcPr>
            <w:tcW w:w="260" w:type="dxa"/>
            <w:vAlign w:val="bottom"/>
            <w:tcBorders>
              <w:top w:val="single" w:sz="8" w:color="CCECFF"/>
            </w:tcBorders>
            <w:shd w:val="clear" w:color="auto" w:fill="CCECFF"/>
          </w:tcPr>
          <w:p>
            <w:pPr>
              <w:spacing w:after="0"/>
              <w:rPr>
                <w:sz w:val="12"/>
                <w:szCs w:val="12"/>
                <w:color w:val="auto"/>
              </w:rPr>
            </w:pPr>
          </w:p>
        </w:tc>
        <w:tc>
          <w:tcPr>
            <w:tcW w:w="12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12,352,610</w:t>
            </w:r>
          </w:p>
        </w:tc>
        <w:tc>
          <w:tcPr>
            <w:tcW w:w="260" w:type="dxa"/>
            <w:vAlign w:val="bottom"/>
            <w:tcBorders>
              <w:top w:val="single" w:sz="8" w:color="CCECFF"/>
            </w:tcBorders>
            <w:shd w:val="clear" w:color="auto" w:fill="CCECFF"/>
          </w:tcPr>
          <w:p>
            <w:pPr>
              <w:spacing w:after="0"/>
              <w:rPr>
                <w:sz w:val="12"/>
                <w:szCs w:val="12"/>
                <w:color w:val="auto"/>
              </w:rPr>
            </w:pPr>
          </w:p>
        </w:tc>
        <w:tc>
          <w:tcPr>
            <w:tcW w:w="136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rPr>
              <w:t>October 1, 2020</w:t>
            </w:r>
          </w:p>
        </w:tc>
        <w:tc>
          <w:tcPr>
            <w:tcW w:w="140" w:type="dxa"/>
            <w:vAlign w:val="bottom"/>
            <w:tcBorders>
              <w:top w:val="single" w:sz="8" w:color="CCECFF"/>
            </w:tcBorders>
            <w:shd w:val="clear" w:color="auto" w:fill="CCECFF"/>
          </w:tcPr>
          <w:p>
            <w:pPr>
              <w:spacing w:after="0"/>
              <w:rPr>
                <w:sz w:val="12"/>
                <w:szCs w:val="12"/>
                <w:color w:val="auto"/>
              </w:rPr>
            </w:pPr>
          </w:p>
        </w:tc>
        <w:tc>
          <w:tcPr>
            <w:tcW w:w="12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654,110</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As of September 30, 2019, we had outstanding non-U.S. dollar borrowings on our Credit Facility. Net change in fair value from foreign currency translation on outstanding borrowings is listed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Change in Fair</w:t>
            </w:r>
          </w:p>
        </w:tc>
        <w:tc>
          <w:tcPr>
            <w:tcW w:w="0" w:type="dxa"/>
            <w:vAlign w:val="bottom"/>
          </w:tcPr>
          <w:p>
            <w:pPr>
              <w:spacing w:after="0"/>
              <w:rPr>
                <w:sz w:val="1"/>
                <w:szCs w:val="1"/>
                <w:color w:val="auto"/>
              </w:rPr>
            </w:pPr>
          </w:p>
        </w:tc>
      </w:tr>
      <w:tr>
        <w:trPr>
          <w:trHeight w:val="158"/>
        </w:trPr>
        <w:tc>
          <w:tcPr>
            <w:tcW w:w="3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41"/>
        </w:trPr>
        <w:tc>
          <w:tcPr>
            <w:tcW w:w="374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Canadian Dollar</w:t>
            </w:r>
          </w:p>
        </w:tc>
        <w:tc>
          <w:tcPr>
            <w:tcW w:w="140" w:type="dxa"/>
            <w:vAlign w:val="bottom"/>
            <w:tcBorders>
              <w:top w:val="single" w:sz="8" w:color="CCECFF"/>
            </w:tcBorders>
            <w:shd w:val="clear" w:color="auto" w:fill="CCECFF"/>
          </w:tcPr>
          <w:p>
            <w:pPr>
              <w:ind w:left="40"/>
              <w:spacing w:after="0" w:line="141" w:lineRule="exact"/>
              <w:rPr>
                <w:sz w:val="20"/>
                <w:szCs w:val="20"/>
                <w:color w:val="auto"/>
              </w:rPr>
            </w:pPr>
            <w:r>
              <w:rPr>
                <w:rFonts w:ascii="Times New Roman" w:cs="Times New Roman" w:eastAsia="Times New Roman" w:hAnsi="Times New Roman"/>
                <w:sz w:val="13"/>
                <w:szCs w:val="13"/>
                <w:color w:val="auto"/>
                <w:w w:val="91"/>
              </w:rPr>
              <w:t>C</w:t>
            </w:r>
          </w:p>
        </w:tc>
        <w:tc>
          <w:tcPr>
            <w:tcW w:w="200" w:type="dxa"/>
            <w:vAlign w:val="bottom"/>
            <w:tcBorders>
              <w:top w:val="single" w:sz="8" w:color="auto"/>
            </w:tcBorders>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17,500,000</w:t>
            </w:r>
          </w:p>
        </w:tc>
        <w:tc>
          <w:tcPr>
            <w:tcW w:w="2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12,407,501</w:t>
            </w:r>
          </w:p>
        </w:tc>
        <w:tc>
          <w:tcPr>
            <w:tcW w:w="260" w:type="dxa"/>
            <w:vAlign w:val="bottom"/>
            <w:tcBorders>
              <w:top w:val="single" w:sz="8" w:color="CCECFF"/>
            </w:tcBorders>
            <w:shd w:val="clear" w:color="auto" w:fill="CCECFF"/>
          </w:tcPr>
          <w:p>
            <w:pPr>
              <w:spacing w:after="0"/>
              <w:rPr>
                <w:sz w:val="12"/>
                <w:szCs w:val="12"/>
                <w:color w:val="auto"/>
              </w:rPr>
            </w:pPr>
          </w:p>
        </w:tc>
        <w:tc>
          <w:tcPr>
            <w:tcW w:w="12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13,217,523</w:t>
            </w:r>
          </w:p>
        </w:tc>
        <w:tc>
          <w:tcPr>
            <w:tcW w:w="260" w:type="dxa"/>
            <w:vAlign w:val="bottom"/>
            <w:tcBorders>
              <w:top w:val="single" w:sz="8" w:color="CCECFF"/>
            </w:tcBorders>
            <w:shd w:val="clear" w:color="auto" w:fill="CCECFF"/>
          </w:tcPr>
          <w:p>
            <w:pPr>
              <w:spacing w:after="0"/>
              <w:rPr>
                <w:sz w:val="12"/>
                <w:szCs w:val="12"/>
                <w:color w:val="auto"/>
              </w:rPr>
            </w:pPr>
          </w:p>
        </w:tc>
        <w:tc>
          <w:tcPr>
            <w:tcW w:w="1360" w:type="dxa"/>
            <w:vAlign w:val="bottom"/>
            <w:tcBorders>
              <w:top w:val="single" w:sz="8" w:color="auto"/>
            </w:tcBorders>
            <w:shd w:val="clear" w:color="auto" w:fill="CCECFF"/>
          </w:tcPr>
          <w:p>
            <w:pPr>
              <w:jc w:val="center"/>
              <w:spacing w:after="0" w:line="141" w:lineRule="exact"/>
              <w:rPr>
                <w:sz w:val="20"/>
                <w:szCs w:val="20"/>
                <w:color w:val="auto"/>
              </w:rPr>
            </w:pPr>
            <w:r>
              <w:rPr>
                <w:rFonts w:ascii="Times New Roman" w:cs="Times New Roman" w:eastAsia="Times New Roman" w:hAnsi="Times New Roman"/>
                <w:sz w:val="13"/>
                <w:szCs w:val="13"/>
                <w:color w:val="auto"/>
              </w:rPr>
              <w:t>October 1, 2019</w:t>
            </w:r>
          </w:p>
        </w:tc>
        <w:tc>
          <w:tcPr>
            <w:tcW w:w="140" w:type="dxa"/>
            <w:vAlign w:val="bottom"/>
            <w:tcBorders>
              <w:top w:val="single" w:sz="8" w:color="CCECFF"/>
            </w:tcBorders>
            <w:shd w:val="clear" w:color="auto" w:fill="CCECFF"/>
          </w:tcPr>
          <w:p>
            <w:pPr>
              <w:spacing w:after="0"/>
              <w:rPr>
                <w:sz w:val="12"/>
                <w:szCs w:val="12"/>
                <w:color w:val="auto"/>
              </w:rPr>
            </w:pPr>
          </w:p>
        </w:tc>
        <w:tc>
          <w:tcPr>
            <w:tcW w:w="12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810,022</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439"/>
        <w:spacing w:after="0" w:line="22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$4.5 million and $10.9 million relating to amendment costs on the Credit Facility and debt issuance costs on the 2023 Notes during the years ended September 30, 2020, 2019 and 2018,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05" w:lineRule="exact"/>
        <w:rPr>
          <w:sz w:val="20"/>
          <w:szCs w:val="20"/>
          <w:color w:val="auto"/>
        </w:rPr>
      </w:pPr>
    </w:p>
    <w:p>
      <w:pPr>
        <w:ind w:firstLine="439"/>
        <w:spacing w:after="0" w:line="233" w:lineRule="auto"/>
        <w:rPr>
          <w:sz w:val="20"/>
          <w:szCs w:val="20"/>
          <w:color w:val="auto"/>
        </w:rPr>
      </w:pPr>
      <w:r>
        <w:rPr>
          <w:rFonts w:ascii="Times New Roman" w:cs="Times New Roman" w:eastAsia="Times New Roman" w:hAnsi="Times New Roman"/>
          <w:sz w:val="13"/>
          <w:szCs w:val="13"/>
          <w:color w:val="auto"/>
        </w:rPr>
        <w:t>For the years ended September 30, 2020, 2019 and 2018, our Credit Facility and the 2023 Notes had a net change in unrealized depreciation (appreciation) of $14.2 million, less than $(0.1) million and $7.8 million, respectively. As of September 30, 2020, 2019 and 2018, the net unrealized depreciation on our Credit Facility and the 2023 Notes totaled $18.8 million, $4.7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ind w:right="39"/>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13" w:lineRule="exact"/>
        <w:rPr>
          <w:sz w:val="20"/>
          <w:szCs w:val="20"/>
          <w:color w:val="auto"/>
        </w:rPr>
      </w:pPr>
    </w:p>
    <w:p>
      <w:pPr>
        <w:jc w:val="both"/>
        <w:ind w:left="1" w:right="120" w:firstLine="439"/>
        <w:spacing w:after="0" w:line="237"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generally when we own more than 25% of its voting securities. Transactions related to our funded investments with both controlled and non-controlled affiliates for the year ended September 30, 2020 were as follows: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Dividend/Other</w:t>
            </w:r>
          </w:p>
        </w:tc>
        <w:tc>
          <w:tcPr>
            <w:tcW w:w="100" w:type="dxa"/>
            <w:vAlign w:val="bottom"/>
          </w:tcPr>
          <w:p>
            <w:pPr>
              <w:spacing w:after="0"/>
              <w:rPr>
                <w:sz w:val="11"/>
                <w:szCs w:val="1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0" w:type="dxa"/>
            <w:vAlign w:val="bottom"/>
          </w:tcPr>
          <w:p>
            <w:pPr>
              <w:spacing w:after="0"/>
              <w:rPr>
                <w:sz w:val="1"/>
                <w:szCs w:val="1"/>
                <w:color w:val="auto"/>
              </w:rPr>
            </w:pPr>
          </w:p>
        </w:tc>
      </w:tr>
      <w:tr>
        <w:trPr>
          <w:trHeight w:val="136"/>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94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Appreciation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12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(Depreciation)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Gains (Losses)</w:t>
            </w:r>
          </w:p>
        </w:tc>
        <w:tc>
          <w:tcPr>
            <w:tcW w:w="0" w:type="dxa"/>
            <w:vAlign w:val="bottom"/>
          </w:tcPr>
          <w:p>
            <w:pPr>
              <w:spacing w:after="0"/>
              <w:rPr>
                <w:sz w:val="1"/>
                <w:szCs w:val="1"/>
                <w:color w:val="auto"/>
              </w:rPr>
            </w:pPr>
          </w:p>
        </w:tc>
      </w:tr>
      <w:tr>
        <w:trPr>
          <w:trHeight w:val="141"/>
        </w:trPr>
        <w:tc>
          <w:tcPr>
            <w:tcW w:w="2260" w:type="dxa"/>
            <w:vAlign w:val="bottom"/>
            <w:tcBorders>
              <w:top w:val="single" w:sz="8" w:color="auto"/>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6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1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80" w:type="dxa"/>
            <w:vAlign w:val="bottom"/>
            <w:tcBorders>
              <w:top w:val="single" w:sz="8" w:color="auto"/>
            </w:tcBorders>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18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Country Fresh Holding</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14,491,626</w:t>
            </w:r>
          </w:p>
        </w:tc>
        <w:tc>
          <w:tcPr>
            <w:tcW w:w="3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3,922,079</w:t>
            </w:r>
          </w:p>
        </w:tc>
        <w:tc>
          <w:tcPr>
            <w:tcW w:w="1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(7,326,871)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11,086,834</w:t>
            </w:r>
          </w:p>
        </w:tc>
        <w:tc>
          <w:tcPr>
            <w:tcW w:w="36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862,628</w:t>
            </w:r>
          </w:p>
        </w:tc>
        <w:tc>
          <w:tcPr>
            <w:tcW w:w="160" w:type="dxa"/>
            <w:vAlign w:val="bottom"/>
          </w:tcPr>
          <w:p>
            <w:pPr>
              <w:spacing w:after="0"/>
              <w:rPr>
                <w:sz w:val="11"/>
                <w:szCs w:val="11"/>
                <w:color w:val="auto"/>
              </w:rPr>
            </w:pP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36,170</w:t>
            </w: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Company Inc.</w:t>
            </w:r>
          </w:p>
        </w:tc>
        <w:tc>
          <w:tcPr>
            <w:tcW w:w="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20" w:type="dxa"/>
            <w:vAlign w:val="bottom"/>
            <w:gridSpan w:val="2"/>
            <w:shd w:val="clear" w:color="auto" w:fill="CCECFF"/>
          </w:tcPr>
          <w:p>
            <w:pPr>
              <w:spacing w:after="0" w:line="129" w:lineRule="exact"/>
              <w:rPr>
                <w:sz w:val="20"/>
                <w:szCs w:val="20"/>
                <w:color w:val="auto"/>
              </w:rPr>
            </w:pPr>
            <w:r>
              <w:rPr>
                <w:rFonts w:ascii="Times New Roman" w:cs="Times New Roman" w:eastAsia="Times New Roman" w:hAnsi="Times New Roman"/>
                <w:sz w:val="13"/>
                <w:szCs w:val="13"/>
                <w:color w:val="auto"/>
              </w:rPr>
              <w:t>Quick Weight Loss</w:t>
            </w:r>
          </w:p>
        </w:tc>
        <w:tc>
          <w:tcPr>
            <w:tcW w:w="80" w:type="dxa"/>
            <w:vAlign w:val="bottom"/>
            <w:shd w:val="clear" w:color="auto" w:fill="CCECFF"/>
          </w:tcPr>
          <w:p>
            <w:pPr>
              <w:spacing w:after="0"/>
              <w:rPr>
                <w:sz w:val="11"/>
                <w:szCs w:val="11"/>
                <w:color w:val="auto"/>
              </w:rPr>
            </w:pP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5,938,939</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70,554</w:t>
            </w: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2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(5,683,145)</w:t>
            </w:r>
          </w:p>
        </w:tc>
        <w:tc>
          <w:tcPr>
            <w:tcW w:w="80" w:type="dxa"/>
            <w:vAlign w:val="bottom"/>
            <w:shd w:val="clear" w:color="auto" w:fill="CCECFF"/>
          </w:tcPr>
          <w:p>
            <w:pPr>
              <w:spacing w:after="0"/>
              <w:rPr>
                <w:sz w:val="11"/>
                <w:szCs w:val="11"/>
                <w:color w:val="auto"/>
              </w:rPr>
            </w:pPr>
          </w:p>
        </w:tc>
        <w:tc>
          <w:tcPr>
            <w:tcW w:w="100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(326,348)</w:t>
            </w: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20,306</w:t>
            </w:r>
          </w:p>
        </w:tc>
        <w:tc>
          <w:tcPr>
            <w:tcW w:w="1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9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1"/>
                <w:szCs w:val="11"/>
                <w:color w:val="auto"/>
              </w:rPr>
            </w:pPr>
          </w:p>
        </w:tc>
        <w:tc>
          <w:tcPr>
            <w:tcW w:w="96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(5,683,145)</w:t>
            </w:r>
          </w:p>
        </w:tc>
        <w:tc>
          <w:tcPr>
            <w:tcW w:w="0" w:type="dxa"/>
            <w:vAlign w:val="bottom"/>
          </w:tcPr>
          <w:p>
            <w:pPr>
              <w:spacing w:after="0"/>
              <w:rPr>
                <w:sz w:val="1"/>
                <w:szCs w:val="1"/>
                <w:color w:val="auto"/>
              </w:rPr>
            </w:pPr>
          </w:p>
        </w:tc>
      </w:tr>
      <w:tr>
        <w:trPr>
          <w:trHeight w:val="156"/>
        </w:trPr>
        <w:tc>
          <w:tcPr>
            <w:tcW w:w="232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Centers, LLC</w:t>
            </w:r>
          </w:p>
        </w:tc>
        <w:tc>
          <w:tcPr>
            <w:tcW w:w="80" w:type="dxa"/>
            <w:vAlign w:val="bottom"/>
            <w:shd w:val="clear" w:color="auto" w:fill="CCECFF"/>
          </w:tcPr>
          <w:p>
            <w:pPr>
              <w:spacing w:after="0"/>
              <w:rPr>
                <w:sz w:val="13"/>
                <w:szCs w:val="13"/>
                <w:color w:val="auto"/>
              </w:rPr>
            </w:pPr>
          </w:p>
        </w:tc>
        <w:tc>
          <w:tcPr>
            <w:tcW w:w="860" w:type="dxa"/>
            <w:vAlign w:val="bottom"/>
            <w:vMerge w:val="continue"/>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vMerge w:val="continue"/>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20" w:type="dxa"/>
            <w:vAlign w:val="bottom"/>
            <w:gridSpan w:val="2"/>
            <w:vMerge w:val="continue"/>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vMerge w:val="continue"/>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20" w:type="dxa"/>
            <w:vAlign w:val="bottom"/>
            <w:vMerge w:val="continue"/>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vMerge w:val="continue"/>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60" w:type="dxa"/>
            <w:vAlign w:val="bottom"/>
            <w:gridSpan w:val="2"/>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6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line="141" w:lineRule="exact"/>
              <w:rPr>
                <w:sz w:val="20"/>
                <w:szCs w:val="20"/>
                <w:color w:val="auto"/>
              </w:rPr>
            </w:pPr>
            <w:r>
              <w:rPr>
                <w:rFonts w:ascii="Times New Roman" w:cs="Times New Roman" w:eastAsia="Times New Roman" w:hAnsi="Times New Roman"/>
                <w:sz w:val="13"/>
                <w:szCs w:val="13"/>
                <w:color w:val="auto"/>
              </w:rPr>
              <w:t>Total Non-Controlled</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320" w:type="dxa"/>
            <w:vAlign w:val="bottom"/>
            <w:gridSpan w:val="2"/>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20,430,565</w:t>
            </w:r>
          </w:p>
        </w:tc>
        <w:tc>
          <w:tcPr>
            <w:tcW w:w="180" w:type="dxa"/>
            <w:vAlign w:val="bottom"/>
            <w:vMerge w:val="restart"/>
          </w:tcPr>
          <w:p>
            <w:pPr>
              <w:spacing w:after="0"/>
              <w:rPr>
                <w:sz w:val="10"/>
                <w:szCs w:val="10"/>
                <w:color w:val="auto"/>
              </w:rPr>
            </w:pP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3,992,633</w:t>
            </w:r>
          </w:p>
        </w:tc>
        <w:tc>
          <w:tcPr>
            <w:tcW w:w="1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(5,683,145)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(7,653,219)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11,086,834</w:t>
            </w:r>
          </w:p>
        </w:tc>
        <w:tc>
          <w:tcPr>
            <w:tcW w:w="36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882,934</w:t>
            </w:r>
          </w:p>
        </w:tc>
        <w:tc>
          <w:tcPr>
            <w:tcW w:w="160" w:type="dxa"/>
            <w:vAlign w:val="bottom"/>
          </w:tcPr>
          <w:p>
            <w:pPr>
              <w:spacing w:after="0"/>
              <w:rPr>
                <w:sz w:val="10"/>
                <w:szCs w:val="10"/>
                <w:color w:val="auto"/>
              </w:rPr>
            </w:pP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36,170</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(5,683,145)</w:t>
            </w:r>
          </w:p>
        </w:tc>
        <w:tc>
          <w:tcPr>
            <w:tcW w:w="0" w:type="dxa"/>
            <w:vAlign w:val="bottom"/>
          </w:tcPr>
          <w:p>
            <w:pPr>
              <w:spacing w:after="0"/>
              <w:rPr>
                <w:sz w:val="1"/>
                <w:szCs w:val="1"/>
                <w:color w:val="auto"/>
              </w:rPr>
            </w:pPr>
          </w:p>
        </w:tc>
      </w:tr>
      <w:tr>
        <w:trPr>
          <w:trHeight w:val="196"/>
        </w:trPr>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Affiliates</w:t>
            </w:r>
          </w:p>
        </w:tc>
        <w:tc>
          <w:tcPr>
            <w:tcW w:w="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320" w:type="dxa"/>
            <w:vAlign w:val="bottom"/>
            <w:tcBorders>
              <w:top w:val="single" w:sz="8" w:color="CCECFF"/>
            </w:tcBorders>
            <w:gridSpan w:val="2"/>
            <w:shd w:val="clear" w:color="auto" w:fill="CCEC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tcBorders>
              <w:top w:val="single" w:sz="8" w:color="auto"/>
            </w:tcBorders>
            <w:shd w:val="clear" w:color="auto" w:fill="CCECFF"/>
          </w:tcPr>
          <w:p>
            <w:pPr>
              <w:spacing w:after="0"/>
              <w:rPr>
                <w:sz w:val="10"/>
                <w:szCs w:val="10"/>
                <w:color w:val="auto"/>
              </w:rPr>
            </w:pPr>
          </w:p>
        </w:tc>
        <w:tc>
          <w:tcPr>
            <w:tcW w:w="860" w:type="dxa"/>
            <w:vAlign w:val="bottom"/>
            <w:tcBorders>
              <w:top w:val="single" w:sz="8" w:color="auto"/>
            </w:tcBorders>
            <w:shd w:val="clear" w:color="auto" w:fill="CCECFF"/>
          </w:tcPr>
          <w:p>
            <w:pPr>
              <w:spacing w:after="0"/>
              <w:rPr>
                <w:sz w:val="10"/>
                <w:szCs w:val="10"/>
                <w:color w:val="auto"/>
              </w:rPr>
            </w:pPr>
          </w:p>
        </w:tc>
        <w:tc>
          <w:tcPr>
            <w:tcW w:w="180" w:type="dxa"/>
            <w:vAlign w:val="bottom"/>
            <w:tcBorders>
              <w:top w:val="single" w:sz="8" w:color="CCECFF"/>
            </w:tcBorders>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760" w:type="dxa"/>
            <w:vAlign w:val="bottom"/>
            <w:tcBorders>
              <w:top w:val="single" w:sz="8" w:color="auto"/>
            </w:tcBorders>
            <w:shd w:val="clear" w:color="auto" w:fill="CCECFF"/>
          </w:tcPr>
          <w:p>
            <w:pPr>
              <w:spacing w:after="0"/>
              <w:rPr>
                <w:sz w:val="10"/>
                <w:szCs w:val="10"/>
                <w:color w:val="auto"/>
              </w:rPr>
            </w:pPr>
          </w:p>
        </w:tc>
        <w:tc>
          <w:tcPr>
            <w:tcW w:w="160" w:type="dxa"/>
            <w:vAlign w:val="bottom"/>
            <w:tcBorders>
              <w:top w:val="single" w:sz="8" w:color="CCECFF"/>
            </w:tcBorders>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860" w:type="dxa"/>
            <w:vAlign w:val="bottom"/>
            <w:tcBorders>
              <w:top w:val="single" w:sz="8" w:color="auto"/>
            </w:tcBorders>
            <w:shd w:val="clear" w:color="auto" w:fill="CCECFF"/>
          </w:tcPr>
          <w:p>
            <w:pPr>
              <w:spacing w:after="0"/>
              <w:rPr>
                <w:sz w:val="10"/>
                <w:szCs w:val="10"/>
                <w:color w:val="auto"/>
              </w:rPr>
            </w:pPr>
          </w:p>
        </w:tc>
        <w:tc>
          <w:tcPr>
            <w:tcW w:w="16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auto"/>
            </w:tcBorders>
            <w:shd w:val="clear" w:color="auto" w:fill="CCECFF"/>
          </w:tcPr>
          <w:p>
            <w:pPr>
              <w:spacing w:after="0"/>
              <w:rPr>
                <w:sz w:val="10"/>
                <w:szCs w:val="10"/>
                <w:color w:val="auto"/>
              </w:rPr>
            </w:pPr>
          </w:p>
        </w:tc>
        <w:tc>
          <w:tcPr>
            <w:tcW w:w="900" w:type="dxa"/>
            <w:vAlign w:val="bottom"/>
            <w:tcBorders>
              <w:top w:val="single" w:sz="8" w:color="auto"/>
            </w:tcBorders>
            <w:shd w:val="clear" w:color="auto" w:fill="CCECFF"/>
          </w:tcPr>
          <w:p>
            <w:pPr>
              <w:spacing w:after="0"/>
              <w:rPr>
                <w:sz w:val="10"/>
                <w:szCs w:val="10"/>
                <w:color w:val="auto"/>
              </w:rPr>
            </w:pPr>
          </w:p>
        </w:tc>
        <w:tc>
          <w:tcPr>
            <w:tcW w:w="100" w:type="dxa"/>
            <w:vAlign w:val="bottom"/>
            <w:tcBorders>
              <w:top w:val="single" w:sz="8" w:color="CCECFF"/>
            </w:tcBorders>
            <w:shd w:val="clear" w:color="auto" w:fill="CCECFF"/>
          </w:tcPr>
          <w:p>
            <w:pPr>
              <w:spacing w:after="0"/>
              <w:rPr>
                <w:sz w:val="10"/>
                <w:szCs w:val="10"/>
                <w:color w:val="auto"/>
              </w:rPr>
            </w:pPr>
          </w:p>
        </w:tc>
        <w:tc>
          <w:tcPr>
            <w:tcW w:w="60" w:type="dxa"/>
            <w:vAlign w:val="bottom"/>
            <w:tcBorders>
              <w:top w:val="single" w:sz="8" w:color="CCECFF"/>
            </w:tcBorders>
            <w:shd w:val="clear" w:color="auto" w:fill="CCECFF"/>
          </w:tcPr>
          <w:p>
            <w:pPr>
              <w:spacing w:after="0"/>
              <w:rPr>
                <w:sz w:val="10"/>
                <w:szCs w:val="10"/>
                <w:color w:val="auto"/>
              </w:rPr>
            </w:pPr>
          </w:p>
        </w:tc>
        <w:tc>
          <w:tcPr>
            <w:tcW w:w="80" w:type="dxa"/>
            <w:vAlign w:val="bottom"/>
            <w:tcBorders>
              <w:top w:val="single" w:sz="8" w:color="auto"/>
            </w:tcBorders>
            <w:shd w:val="clear" w:color="auto" w:fill="CCECFF"/>
          </w:tcPr>
          <w:p>
            <w:pPr>
              <w:spacing w:after="0"/>
              <w:rPr>
                <w:sz w:val="10"/>
                <w:szCs w:val="10"/>
                <w:color w:val="auto"/>
              </w:rPr>
            </w:pPr>
          </w:p>
        </w:tc>
        <w:tc>
          <w:tcPr>
            <w:tcW w:w="920" w:type="dxa"/>
            <w:vAlign w:val="bottom"/>
            <w:tcBorders>
              <w:top w:val="single" w:sz="8" w:color="auto"/>
            </w:tcBorders>
            <w:shd w:val="clear" w:color="auto" w:fill="CCECFF"/>
          </w:tcPr>
          <w:p>
            <w:pPr>
              <w:spacing w:after="0"/>
              <w:rPr>
                <w:sz w:val="10"/>
                <w:szCs w:val="10"/>
                <w:color w:val="auto"/>
              </w:rPr>
            </w:pPr>
          </w:p>
        </w:tc>
        <w:tc>
          <w:tcPr>
            <w:tcW w:w="160" w:type="dxa"/>
            <w:vAlign w:val="bottom"/>
            <w:tcBorders>
              <w:top w:val="single" w:sz="8" w:color="CCECFF"/>
            </w:tcBorders>
            <w:shd w:val="clear" w:color="auto" w:fill="CCECFF"/>
          </w:tcPr>
          <w:p>
            <w:pPr>
              <w:spacing w:after="0"/>
              <w:rPr>
                <w:sz w:val="10"/>
                <w:szCs w:val="10"/>
                <w:color w:val="auto"/>
              </w:rPr>
            </w:pPr>
          </w:p>
        </w:tc>
        <w:tc>
          <w:tcPr>
            <w:tcW w:w="200" w:type="dxa"/>
            <w:vAlign w:val="bottom"/>
            <w:tcBorders>
              <w:top w:val="single" w:sz="8" w:color="auto"/>
            </w:tcBorders>
            <w:shd w:val="clear" w:color="auto" w:fill="CCECFF"/>
          </w:tcPr>
          <w:p>
            <w:pPr>
              <w:spacing w:after="0"/>
              <w:rPr>
                <w:sz w:val="10"/>
                <w:szCs w:val="10"/>
                <w:color w:val="auto"/>
              </w:rPr>
            </w:pPr>
          </w:p>
        </w:tc>
        <w:tc>
          <w:tcPr>
            <w:tcW w:w="760" w:type="dxa"/>
            <w:vAlign w:val="bottom"/>
            <w:tcBorders>
              <w:top w:val="single" w:sz="8" w:color="auto"/>
            </w:tcBorders>
            <w:shd w:val="clear" w:color="auto" w:fill="CCECFF"/>
          </w:tcPr>
          <w:p>
            <w:pPr>
              <w:spacing w:after="0"/>
              <w:rPr>
                <w:sz w:val="10"/>
                <w:szCs w:val="10"/>
                <w:color w:val="auto"/>
              </w:rPr>
            </w:pPr>
          </w:p>
        </w:tc>
        <w:tc>
          <w:tcPr>
            <w:tcW w:w="160" w:type="dxa"/>
            <w:vAlign w:val="bottom"/>
            <w:tcBorders>
              <w:top w:val="single" w:sz="8" w:color="CCECFF"/>
            </w:tcBorders>
            <w:shd w:val="clear" w:color="auto" w:fill="CCECFF"/>
          </w:tcPr>
          <w:p>
            <w:pPr>
              <w:spacing w:after="0"/>
              <w:rPr>
                <w:sz w:val="10"/>
                <w:szCs w:val="10"/>
                <w:color w:val="auto"/>
              </w:rPr>
            </w:pPr>
          </w:p>
        </w:tc>
        <w:tc>
          <w:tcPr>
            <w:tcW w:w="180" w:type="dxa"/>
            <w:vAlign w:val="bottom"/>
            <w:tcBorders>
              <w:top w:val="single" w:sz="8" w:color="auto"/>
            </w:tcBorders>
            <w:shd w:val="clear" w:color="auto" w:fill="CCECFF"/>
          </w:tcPr>
          <w:p>
            <w:pPr>
              <w:spacing w:after="0"/>
              <w:rPr>
                <w:sz w:val="10"/>
                <w:szCs w:val="10"/>
                <w:color w:val="auto"/>
              </w:rPr>
            </w:pPr>
          </w:p>
        </w:tc>
        <w:tc>
          <w:tcPr>
            <w:tcW w:w="780" w:type="dxa"/>
            <w:vAlign w:val="bottom"/>
            <w:tcBorders>
              <w:top w:val="single" w:sz="8" w:color="auto"/>
            </w:tcBorders>
            <w:shd w:val="clear" w:color="auto" w:fill="CCECFF"/>
          </w:tcPr>
          <w:p>
            <w:pPr>
              <w:spacing w:after="0"/>
              <w:rPr>
                <w:sz w:val="10"/>
                <w:szCs w:val="10"/>
                <w:color w:val="auto"/>
              </w:rPr>
            </w:pPr>
          </w:p>
        </w:tc>
        <w:tc>
          <w:tcPr>
            <w:tcW w:w="180" w:type="dxa"/>
            <w:vAlign w:val="bottom"/>
            <w:tcBorders>
              <w:top w:val="single" w:sz="8" w:color="CCECFF"/>
            </w:tcBorders>
            <w:shd w:val="clear" w:color="auto" w:fill="CCECFF"/>
          </w:tcPr>
          <w:p>
            <w:pPr>
              <w:spacing w:after="0"/>
              <w:rPr>
                <w:sz w:val="10"/>
                <w:szCs w:val="10"/>
                <w:color w:val="auto"/>
              </w:rPr>
            </w:pPr>
          </w:p>
        </w:tc>
        <w:tc>
          <w:tcPr>
            <w:tcW w:w="100" w:type="dxa"/>
            <w:vAlign w:val="bottom"/>
            <w:tcBorders>
              <w:top w:val="single" w:sz="8" w:color="auto"/>
            </w:tcBorders>
            <w:shd w:val="clear" w:color="auto" w:fill="CCECFF"/>
          </w:tcPr>
          <w:p>
            <w:pPr>
              <w:spacing w:after="0"/>
              <w:rPr>
                <w:sz w:val="10"/>
                <w:szCs w:val="10"/>
                <w:color w:val="auto"/>
              </w:rPr>
            </w:pPr>
          </w:p>
        </w:tc>
        <w:tc>
          <w:tcPr>
            <w:tcW w:w="860" w:type="dxa"/>
            <w:vAlign w:val="bottom"/>
            <w:tcBorders>
              <w:top w:val="single" w:sz="8" w:color="auto"/>
            </w:tcBorders>
            <w:shd w:val="clear" w:color="auto" w:fill="CCECFF"/>
          </w:tcPr>
          <w:p>
            <w:pPr>
              <w:spacing w:after="0"/>
              <w:rPr>
                <w:sz w:val="10"/>
                <w:szCs w:val="10"/>
                <w:color w:val="auto"/>
              </w:rPr>
            </w:pPr>
          </w:p>
        </w:tc>
        <w:tc>
          <w:tcPr>
            <w:tcW w:w="100" w:type="dxa"/>
            <w:vAlign w:val="bottom"/>
            <w:tcBorders>
              <w:top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32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PennantPark Senior Secured</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Loan Fund I LLC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172,163,080</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4,550,000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(11,423,756)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165,289,324</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11,801,245</w:t>
            </w:r>
          </w:p>
        </w:tc>
        <w:tc>
          <w:tcPr>
            <w:tcW w:w="16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5,950,000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2320" w:type="dxa"/>
            <w:vAlign w:val="bottom"/>
            <w:tcBorders>
              <w:top w:val="single" w:sz="8" w:color="CCECFF"/>
              <w:bottom w:val="single" w:sz="8" w:color="CCECFF"/>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Controlled Affiliates</w:t>
            </w:r>
          </w:p>
        </w:tc>
        <w:tc>
          <w:tcPr>
            <w:tcW w:w="8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172,163,080</w:t>
            </w:r>
          </w:p>
        </w:tc>
        <w:tc>
          <w:tcPr>
            <w:tcW w:w="1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4,550,000</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(11,423,756)</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6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165,289,324</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200" w:type="dxa"/>
            <w:vAlign w:val="bottom"/>
            <w:tcBorders>
              <w:top w:val="single" w:sz="8" w:color="auto"/>
              <w:bottom w:val="single" w:sz="8" w:color="auto"/>
            </w:tcBorders>
            <w:shd w:val="clear" w:color="auto" w:fill="CCECFF"/>
          </w:tcPr>
          <w:p>
            <w:pPr>
              <w:jc w:val="right"/>
              <w:ind w:right="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11,801,245</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5,950,000</w:t>
            </w:r>
          </w:p>
        </w:tc>
        <w:tc>
          <w:tcPr>
            <w:tcW w:w="18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Total Controlled and</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320" w:type="dxa"/>
            <w:vAlign w:val="bottom"/>
            <w:gridSpan w:val="2"/>
            <w:vMerge w:val="continue"/>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192,593,645</w:t>
            </w:r>
          </w:p>
        </w:tc>
        <w:tc>
          <w:tcPr>
            <w:tcW w:w="3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8,542,633</w:t>
            </w:r>
          </w:p>
        </w:tc>
        <w:tc>
          <w:tcPr>
            <w:tcW w:w="1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(5,683,145)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(19,076,975)</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176,376,158</w:t>
            </w:r>
          </w:p>
        </w:tc>
        <w:tc>
          <w:tcPr>
            <w:tcW w:w="36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12,684,179</w:t>
            </w:r>
          </w:p>
        </w:tc>
        <w:tc>
          <w:tcPr>
            <w:tcW w:w="160" w:type="dxa"/>
            <w:vAlign w:val="bottom"/>
          </w:tcPr>
          <w:p>
            <w:pPr>
              <w:spacing w:after="0"/>
              <w:rPr>
                <w:sz w:val="9"/>
                <w:szCs w:val="9"/>
                <w:color w:val="auto"/>
              </w:rPr>
            </w:pP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5,986,170</w:t>
            </w:r>
          </w:p>
        </w:tc>
        <w:tc>
          <w:tcPr>
            <w:tcW w:w="1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(5,683,145)</w:t>
            </w:r>
          </w:p>
        </w:tc>
        <w:tc>
          <w:tcPr>
            <w:tcW w:w="0" w:type="dxa"/>
            <w:vAlign w:val="bottom"/>
          </w:tcPr>
          <w:p>
            <w:pPr>
              <w:spacing w:after="0"/>
              <w:rPr>
                <w:sz w:val="1"/>
                <w:szCs w:val="1"/>
                <w:color w:val="auto"/>
              </w:rPr>
            </w:pPr>
          </w:p>
        </w:tc>
      </w:tr>
      <w:tr>
        <w:trPr>
          <w:trHeight w:val="158"/>
        </w:trPr>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34556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45" w:lineRule="exact"/>
        <w:rPr>
          <w:sz w:val="20"/>
          <w:szCs w:val="20"/>
          <w:color w:val="auto"/>
        </w:rPr>
      </w:pPr>
    </w:p>
    <w:p>
      <w:pPr>
        <w:ind w:left="361" w:right="80" w:hanging="361"/>
        <w:spacing w:after="0" w:line="247" w:lineRule="auto"/>
        <w:tabs>
          <w:tab w:leader="none" w:pos="361" w:val="left"/>
        </w:tabs>
        <w:numPr>
          <w:ilvl w:val="0"/>
          <w:numId w:val="7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1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13"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(decrease) increase in net assets resulting from operations: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5680" w:type="dxa"/>
            <w:vAlign w:val="bottom"/>
            <w:tcBorders>
              <w:bottom w:val="single" w:sz="8" w:color="CCECFF"/>
            </w:tcBorders>
          </w:tcPr>
          <w:p>
            <w:pPr>
              <w:spacing w:after="0"/>
              <w:rPr>
                <w:sz w:val="12"/>
                <w:szCs w:val="12"/>
                <w:color w:val="auto"/>
              </w:rPr>
            </w:pPr>
          </w:p>
        </w:tc>
        <w:tc>
          <w:tcPr>
            <w:tcW w:w="9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Borders>
              <w:bottom w:val="single" w:sz="8" w:color="CCEC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Borders>
              <w:bottom w:val="single" w:sz="8" w:color="CCECFF"/>
            </w:tcBorders>
          </w:tcPr>
          <w:p>
            <w:pPr>
              <w:spacing w:after="0"/>
              <w:rPr>
                <w:sz w:val="12"/>
                <w:szCs w:val="12"/>
                <w:color w:val="auto"/>
              </w:rPr>
            </w:pPr>
          </w:p>
        </w:tc>
      </w:tr>
      <w:tr>
        <w:trPr>
          <w:trHeight w:val="141"/>
        </w:trPr>
        <w:tc>
          <w:tcPr>
            <w:tcW w:w="568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Numerator for net increase in net assets resulting from operations</w:t>
            </w:r>
          </w:p>
        </w:tc>
        <w:tc>
          <w:tcPr>
            <w:tcW w:w="960" w:type="dxa"/>
            <w:vAlign w:val="bottom"/>
            <w:shd w:val="clear" w:color="auto" w:fill="CCEC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18,413,044</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11,416,106</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33,490,222</w:t>
            </w:r>
          </w:p>
        </w:tc>
        <w:tc>
          <w:tcPr>
            <w:tcW w:w="120" w:type="dxa"/>
            <w:vAlign w:val="bottom"/>
            <w:shd w:val="clear" w:color="auto" w:fill="CCECFF"/>
          </w:tcPr>
          <w:p>
            <w:pPr>
              <w:spacing w:after="0"/>
              <w:rPr>
                <w:sz w:val="12"/>
                <w:szCs w:val="12"/>
                <w:color w:val="auto"/>
              </w:rPr>
            </w:pPr>
          </w:p>
        </w:tc>
      </w:tr>
      <w:tr>
        <w:trPr>
          <w:trHeight w:val="149"/>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9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38,299,077</w:t>
            </w:r>
          </w:p>
        </w:tc>
        <w:tc>
          <w:tcPr>
            <w:tcW w:w="120" w:type="dxa"/>
            <w:vAlign w:val="bottom"/>
          </w:tcPr>
          <w:p>
            <w:pPr>
              <w:spacing w:after="0"/>
              <w:rPr>
                <w:sz w:val="12"/>
                <w:szCs w:val="12"/>
                <w:color w:val="auto"/>
              </w:rPr>
            </w:pPr>
          </w:p>
        </w:tc>
      </w:tr>
      <w:tr>
        <w:trPr>
          <w:trHeight w:val="149"/>
        </w:trPr>
        <w:tc>
          <w:tcPr>
            <w:tcW w:w="56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Basic and diluted net increase in net assets per share resulting from operations</w:t>
            </w:r>
          </w:p>
        </w:tc>
        <w:tc>
          <w:tcPr>
            <w:tcW w:w="960" w:type="dxa"/>
            <w:vAlign w:val="bottom"/>
            <w:shd w:val="clear" w:color="auto" w:fill="CCEC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0.87</w:t>
            </w:r>
          </w:p>
        </w:tc>
        <w:tc>
          <w:tcPr>
            <w:tcW w:w="120" w:type="dxa"/>
            <w:vAlign w:val="bottom"/>
            <w:shd w:val="clear" w:color="auto" w:fill="CCECFF"/>
          </w:tcPr>
          <w:p>
            <w:pPr>
              <w:spacing w:after="0"/>
              <w:rPr>
                <w:sz w:val="12"/>
                <w:szCs w:val="12"/>
                <w:color w:val="auto"/>
              </w:rPr>
            </w:pPr>
          </w:p>
        </w:tc>
      </w:tr>
    </w:tbl>
    <w:p>
      <w:pPr>
        <w:spacing w:after="0" w:line="1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8. TAXES AND DISTRIBUTIONS</w:t>
      </w:r>
    </w:p>
    <w:p>
      <w:pPr>
        <w:spacing w:after="0" w:line="125" w:lineRule="exact"/>
        <w:rPr>
          <w:sz w:val="20"/>
          <w:szCs w:val="20"/>
          <w:color w:val="auto"/>
        </w:rPr>
      </w:pPr>
    </w:p>
    <w:p>
      <w:pPr>
        <w:ind w:left="1" w:right="40" w:firstLine="439"/>
        <w:spacing w:after="0" w:line="233" w:lineRule="auto"/>
        <w:rPr>
          <w:sz w:val="20"/>
          <w:szCs w:val="20"/>
          <w:color w:val="auto"/>
        </w:rPr>
      </w:pPr>
      <w:r>
        <w:rPr>
          <w:rFonts w:ascii="Times New Roman" w:cs="Times New Roman" w:eastAsia="Times New Roman" w:hAnsi="Times New Roman"/>
          <w:sz w:val="13"/>
          <w:szCs w:val="13"/>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0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As of September 30, 2020 and 2019, the cost of investments for federal income tax purposes approximates amortized cost reported in the Consolidated Schedule of Investments.</w:t>
      </w:r>
    </w:p>
    <w:p>
      <w:pPr>
        <w:spacing w:after="0" w:line="11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The following amounts were reclassified for tax purposes: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60" w:type="dxa"/>
            <w:vAlign w:val="bottom"/>
            <w:tcBorders>
              <w:bottom w:val="single" w:sz="8" w:color="CCECFF"/>
            </w:tcBorders>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CFF"/>
            </w:tcBorders>
          </w:tcPr>
          <w:p>
            <w:pPr>
              <w:spacing w:after="0"/>
              <w:rPr>
                <w:sz w:val="12"/>
                <w:szCs w:val="12"/>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Decrease in paid-in capital</w:t>
            </w:r>
          </w:p>
        </w:tc>
        <w:tc>
          <w:tcPr>
            <w:tcW w:w="800" w:type="dxa"/>
            <w:vAlign w:val="bottom"/>
            <w:shd w:val="clear" w:color="auto" w:fill="CCECFF"/>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(481,300)</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jc w:val="right"/>
              <w:ind w:right="1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(829,509)</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2"/>
                <w:szCs w:val="12"/>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Decrease in accumulated net realized loss</w:t>
            </w:r>
          </w:p>
        </w:tc>
        <w:tc>
          <w:tcPr>
            <w:tcW w:w="8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(263,428)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(240,568)</w:t>
            </w: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(106,509)</w:t>
            </w:r>
          </w:p>
        </w:tc>
      </w:tr>
      <w:tr>
        <w:trPr>
          <w:trHeight w:val="149"/>
        </w:trPr>
        <w:tc>
          <w:tcPr>
            <w:tcW w:w="66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Increase in undistributed net investment income</w:t>
            </w:r>
          </w:p>
        </w:tc>
        <w:tc>
          <w:tcPr>
            <w:tcW w:w="8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744,728</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1,070,077</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106,509</w:t>
            </w:r>
          </w:p>
        </w:tc>
        <w:tc>
          <w:tcPr>
            <w:tcW w:w="100" w:type="dxa"/>
            <w:vAlign w:val="bottom"/>
            <w:shd w:val="clear" w:color="auto" w:fill="CCECFF"/>
          </w:tcPr>
          <w:p>
            <w:pPr>
              <w:spacing w:after="0"/>
              <w:rPr>
                <w:sz w:val="12"/>
                <w:szCs w:val="12"/>
                <w:color w:val="auto"/>
              </w:rPr>
            </w:pPr>
          </w:p>
        </w:tc>
      </w:tr>
      <w:tr>
        <w:trPr>
          <w:trHeight w:val="288"/>
        </w:trPr>
        <w:tc>
          <w:tcPr>
            <w:tcW w:w="6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The following reconciles net increase in net assets resulting from operations to taxable income:</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20" w:type="dxa"/>
            <w:vAlign w:val="bottom"/>
            <w:tcBorders>
              <w:bottom w:val="single" w:sz="8" w:color="CCECFF"/>
            </w:tcBorders>
          </w:tcPr>
          <w:p>
            <w:pPr>
              <w:spacing w:after="0"/>
              <w:rPr>
                <w:sz w:val="12"/>
                <w:szCs w:val="12"/>
                <w:color w:val="auto"/>
              </w:rPr>
            </w:pPr>
          </w:p>
        </w:tc>
        <w:tc>
          <w:tcPr>
            <w:tcW w:w="1220" w:type="dxa"/>
            <w:vAlign w:val="bottom"/>
            <w:tcBorders>
              <w:bottom w:val="single" w:sz="8" w:color="CCECFF"/>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Borders>
              <w:bottom w:val="single" w:sz="8" w:color="CCEC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2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122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7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18,413,044</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19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11,416,106</w:t>
            </w: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33,490,222</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loss on investments</w:t>
            </w: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12,682,031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31,423,869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2,327,118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change in unrealized depreciation (appreciation) on investments and debt</w:t>
            </w:r>
          </w:p>
        </w:tc>
        <w:tc>
          <w:tcPr>
            <w:tcW w:w="1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12,289,924</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2,621,833</w:t>
            </w: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(4,853,251)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Other book-to-tax differences</w:t>
            </w: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(2,424,049)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(3,080,010)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8,448,942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Other non-deductible expenses</w:t>
            </w:r>
          </w:p>
        </w:tc>
        <w:tc>
          <w:tcPr>
            <w:tcW w:w="1220" w:type="dxa"/>
            <w:vAlign w:val="bottom"/>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756,751</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271,170</w:t>
            </w: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804,113</w:t>
            </w:r>
          </w:p>
        </w:tc>
        <w:tc>
          <w:tcPr>
            <w:tcW w:w="120" w:type="dxa"/>
            <w:vAlign w:val="bottom"/>
            <w:shd w:val="clear" w:color="auto" w:fill="CCEC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Taxable income before dividends paid deduction</w:t>
            </w:r>
          </w:p>
        </w:tc>
        <w:tc>
          <w:tcPr>
            <w:tcW w:w="1220" w:type="dxa"/>
            <w:vAlign w:val="bottom"/>
          </w:tcPr>
          <w:p>
            <w:pPr>
              <w:spacing w:after="0"/>
              <w:rPr>
                <w:sz w:val="12"/>
                <w:szCs w:val="12"/>
                <w:color w:val="auto"/>
              </w:rPr>
            </w:pPr>
          </w:p>
        </w:tc>
        <w:tc>
          <w:tcPr>
            <w:tcW w:w="880" w:type="dxa"/>
            <w:vAlign w:val="bottom"/>
            <w:tcBorders>
              <w:bottom w:val="single" w:sz="8" w:color="auto"/>
            </w:tcBorders>
          </w:tcPr>
          <w:p>
            <w:pPr>
              <w:jc w:val="right"/>
              <w:ind w:right="7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41,717,701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42,652,968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40,217,144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20" w:type="dxa"/>
            <w:vAlign w:val="bottom"/>
            <w:vMerge w:val="restart"/>
          </w:tcPr>
          <w:p>
            <w:pPr>
              <w:jc w:val="right"/>
              <w:ind w:right="274"/>
              <w:spacing w:after="0"/>
              <w:rPr>
                <w:sz w:val="20"/>
                <w:szCs w:val="20"/>
                <w:color w:val="auto"/>
              </w:rPr>
            </w:pPr>
            <w:r>
              <w:rPr>
                <w:rFonts w:ascii="Times New Roman" w:cs="Times New Roman" w:eastAsia="Times New Roman" w:hAnsi="Times New Roman"/>
                <w:sz w:val="13"/>
                <w:szCs w:val="13"/>
                <w:color w:val="auto"/>
              </w:rPr>
              <w:t>79</w:t>
            </w: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8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1"/>
          </w:cols>
          <w:pgMar w:left="319" w:top="118" w:right="2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9"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812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The components of undistributed taxable income on a tax basis and reconciliation to accumulated surplus on a book basis are as follows: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6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As of September 30,</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66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Undistributed ordinary income – tax basis</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8,474,081</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12,118,162</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12,020,827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Realized loss carried forward</w:t>
            </w:r>
          </w:p>
        </w:tc>
        <w:tc>
          <w:tcPr>
            <w:tcW w:w="2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(48,420,645)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(34,695,983)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(2,381,225)</w:t>
            </w:r>
          </w:p>
        </w:tc>
        <w:tc>
          <w:tcPr>
            <w:tcW w:w="0" w:type="dxa"/>
            <w:vAlign w:val="bottom"/>
          </w:tcPr>
          <w:p>
            <w:pPr>
              <w:spacing w:after="0"/>
              <w:rPr>
                <w:sz w:val="1"/>
                <w:szCs w:val="1"/>
                <w:color w:val="auto"/>
              </w:rPr>
            </w:pPr>
          </w:p>
        </w:tc>
      </w:tr>
      <w:tr>
        <w:trPr>
          <w:trHeight w:val="149"/>
        </w:trPr>
        <w:tc>
          <w:tcPr>
            <w:tcW w:w="66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Distributions payable and other book to tax differences</w:t>
            </w:r>
          </w:p>
        </w:tc>
        <w:tc>
          <w:tcPr>
            <w:tcW w:w="28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(9,886,725)</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(14,239,573)</w:t>
            </w:r>
          </w:p>
        </w:tc>
        <w:tc>
          <w:tcPr>
            <w:tcW w:w="1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(17,124,281)</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(depreciation) appreciation of investments and debt</w:t>
            </w:r>
          </w:p>
        </w:tc>
        <w:tc>
          <w:tcPr>
            <w:tcW w:w="2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(11,086,619)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1,203,305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3,825,139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tcBorders>
              <w:top w:val="single" w:sz="8" w:color="CCECFF"/>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accumulated deficit – book basis</w:t>
            </w:r>
          </w:p>
        </w:tc>
        <w:tc>
          <w:tcPr>
            <w:tcW w:w="280" w:type="dxa"/>
            <w:vAlign w:val="bottom"/>
            <w:tcBorders>
              <w:top w:val="single" w:sz="8" w:color="auto"/>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(60,919,908)</w:t>
            </w:r>
          </w:p>
        </w:tc>
        <w:tc>
          <w:tcPr>
            <w:tcW w:w="16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(35,614,089)</w:t>
            </w:r>
          </w:p>
        </w:tc>
        <w:tc>
          <w:tcPr>
            <w:tcW w:w="14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auto"/>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(3,659,540)</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The tax characteristics of distributions declared are as follows: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66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49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920" w:type="dxa"/>
            <w:vAlign w:val="bottom"/>
            <w:tcBorders>
              <w:bottom w:val="single" w:sz="8" w:color="CCECFF"/>
            </w:tcBorders>
          </w:tcPr>
          <w:p>
            <w:pPr>
              <w:spacing w:after="0"/>
              <w:rPr>
                <w:sz w:val="12"/>
                <w:szCs w:val="12"/>
                <w:color w:val="auto"/>
              </w:rPr>
            </w:pPr>
          </w:p>
        </w:tc>
        <w:tc>
          <w:tcPr>
            <w:tcW w:w="162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4"/>
              <w:spacing w:after="0" w:line="141"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bottom w:val="single" w:sz="8" w:color="CCECFF"/>
            </w:tcBorders>
          </w:tcPr>
          <w:p>
            <w:pPr>
              <w:spacing w:after="0"/>
              <w:rPr>
                <w:sz w:val="12"/>
                <w:szCs w:val="12"/>
                <w:color w:val="auto"/>
              </w:rPr>
            </w:pPr>
          </w:p>
        </w:tc>
        <w:tc>
          <w:tcPr>
            <w:tcW w:w="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1" w:lineRule="exact"/>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2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Ordinary income (including short-term gains, if any)</w:t>
            </w:r>
          </w:p>
        </w:tc>
        <w:tc>
          <w:tcPr>
            <w:tcW w:w="162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42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2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42,766,069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Long-term capital gain</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808,615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20" w:type="dxa"/>
            <w:vAlign w:val="bottom"/>
            <w:tcBorders>
              <w:top w:val="single" w:sz="8" w:color="CCECFF"/>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distributions</w:t>
            </w:r>
          </w:p>
        </w:tc>
        <w:tc>
          <w:tcPr>
            <w:tcW w:w="162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auto"/>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42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auto"/>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44,200,163</w:t>
            </w:r>
          </w:p>
        </w:tc>
        <w:tc>
          <w:tcPr>
            <w:tcW w:w="260" w:type="dxa"/>
            <w:vAlign w:val="bottom"/>
            <w:tcBorders>
              <w:top w:val="single" w:sz="8" w:color="CCECFF"/>
              <w:bottom w:val="single" w:sz="8" w:color="CCECFF"/>
            </w:tcBorders>
            <w:shd w:val="clear" w:color="auto" w:fill="CCECFF"/>
          </w:tcPr>
          <w:p>
            <w:pPr>
              <w:spacing w:after="0"/>
              <w:rPr>
                <w:sz w:val="12"/>
                <w:szCs w:val="12"/>
                <w:color w:val="auto"/>
              </w:rPr>
            </w:pPr>
          </w:p>
        </w:tc>
        <w:tc>
          <w:tcPr>
            <w:tcW w:w="2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43,574,684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distributions per share based on weighted average shares</w:t>
            </w:r>
          </w:p>
        </w:tc>
        <w:tc>
          <w:tcPr>
            <w:tcW w:w="1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9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1.14</w:t>
            </w:r>
          </w:p>
        </w:tc>
        <w:tc>
          <w:tcPr>
            <w:tcW w:w="4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1.14</w:t>
            </w: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 CASH AND CASH EQUIVALENTS</w:t>
      </w:r>
    </w:p>
    <w:p>
      <w:pPr>
        <w:spacing w:after="0" w:line="125" w:lineRule="exact"/>
        <w:rPr>
          <w:sz w:val="20"/>
          <w:szCs w:val="20"/>
          <w:color w:val="auto"/>
        </w:rPr>
      </w:pPr>
    </w:p>
    <w:p>
      <w:pPr>
        <w:ind w:left="1" w:firstLine="439"/>
        <w:spacing w:after="0" w:line="226"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2020 and 2019, cash and cash equivalents consisted of money market funds in the amounts of $57.5 million and $63.3 million at fair value, respectively.</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10. FINANCIAL HIGHLIGHTS</w:t>
      </w:r>
    </w:p>
    <w:p>
      <w:pPr>
        <w:spacing w:after="0" w:line="113"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Below are the financial highlights for the years ended September 30:</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3520" w:type="dxa"/>
            <w:vAlign w:val="bottom"/>
            <w:tcBorders>
              <w:bottom w:val="single" w:sz="8" w:color="CCECFF"/>
            </w:tcBorders>
          </w:tcPr>
          <w:p>
            <w:pPr>
              <w:spacing w:after="0"/>
              <w:rPr>
                <w:sz w:val="13"/>
                <w:szCs w:val="13"/>
                <w:color w:val="auto"/>
              </w:rPr>
            </w:pPr>
          </w:p>
        </w:tc>
        <w:tc>
          <w:tcPr>
            <w:tcW w:w="6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2018</w:t>
            </w:r>
          </w:p>
        </w:tc>
        <w:tc>
          <w:tcPr>
            <w:tcW w:w="3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52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Per Share Data:</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beginning of year</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220" w:type="dxa"/>
            <w:vAlign w:val="bottom"/>
          </w:tcPr>
          <w:p>
            <w:pPr>
              <w:spacing w:after="0"/>
              <w:rPr>
                <w:sz w:val="12"/>
                <w:szCs w:val="12"/>
                <w:color w:val="auto"/>
              </w:rPr>
            </w:pPr>
          </w:p>
        </w:tc>
        <w:tc>
          <w:tcPr>
            <w:tcW w:w="3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30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32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6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1"/>
                <w:szCs w:val="11"/>
                <w:color w:val="auto"/>
              </w:rPr>
              <w:t>(1)</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3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change in realized and unrealized (loss) gain </w:t>
            </w:r>
            <w:r>
              <w:rPr>
                <w:rFonts w:ascii="Times New Roman" w:cs="Times New Roman" w:eastAsia="Times New Roman" w:hAnsi="Times New Roman"/>
                <w:sz w:val="11"/>
                <w:szCs w:val="11"/>
                <w:color w:val="auto"/>
              </w:rPr>
              <w:t>(1)</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(0.88)</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 xml:space="preserve">Net increase in net assets resulting from operations </w:t>
            </w:r>
            <w:r>
              <w:rPr>
                <w:rFonts w:ascii="Times New Roman" w:cs="Times New Roman" w:eastAsia="Times New Roman" w:hAnsi="Times New Roman"/>
                <w:sz w:val="11"/>
                <w:szCs w:val="11"/>
                <w:color w:val="auto"/>
              </w:rPr>
              <w:t>(1)</w:t>
            </w:r>
          </w:p>
        </w:tc>
        <w:tc>
          <w:tcPr>
            <w:tcW w:w="60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0.47</w:t>
            </w: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0.29</w:t>
            </w:r>
          </w:p>
        </w:tc>
        <w:tc>
          <w:tcPr>
            <w:tcW w:w="30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0.87</w:t>
            </w:r>
          </w:p>
        </w:tc>
        <w:tc>
          <w:tcPr>
            <w:tcW w:w="3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1.20</w:t>
            </w:r>
          </w:p>
        </w:tc>
        <w:tc>
          <w:tcPr>
            <w:tcW w:w="2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1.25</w:t>
            </w: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1"/>
                <w:szCs w:val="11"/>
                <w:color w:val="auto"/>
              </w:rPr>
              <w:t>(1), (2)</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(1.14)</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(1.03)</w:t>
            </w: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(1.15)</w:t>
            </w:r>
          </w:p>
        </w:tc>
        <w:tc>
          <w:tcPr>
            <w:tcW w:w="2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49"/>
        </w:trPr>
        <w:tc>
          <w:tcPr>
            <w:tcW w:w="3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(0.11)</w:t>
            </w:r>
          </w:p>
        </w:tc>
        <w:tc>
          <w:tcPr>
            <w:tcW w:w="260" w:type="dxa"/>
            <w:vAlign w:val="bottom"/>
          </w:tcPr>
          <w:p>
            <w:pPr>
              <w:spacing w:after="0"/>
              <w:rPr>
                <w:sz w:val="12"/>
                <w:szCs w:val="12"/>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41"/>
        </w:trPr>
        <w:tc>
          <w:tcPr>
            <w:tcW w:w="35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distributions to stockholders</w:t>
            </w:r>
          </w:p>
        </w:tc>
        <w:tc>
          <w:tcPr>
            <w:tcW w:w="60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w:t>
            </w: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w:t>
            </w:r>
          </w:p>
        </w:tc>
        <w:tc>
          <w:tcPr>
            <w:tcW w:w="30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w:t>
            </w:r>
          </w:p>
        </w:tc>
        <w:tc>
          <w:tcPr>
            <w:tcW w:w="3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(1.15)</w:t>
            </w:r>
          </w:p>
        </w:tc>
        <w:tc>
          <w:tcPr>
            <w:tcW w:w="2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(1.14)</w:t>
            </w: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(Dilutive) effect of common stock issuance</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and acquisition of MCG </w:t>
            </w:r>
            <w:r>
              <w:rPr>
                <w:rFonts w:ascii="Times New Roman" w:cs="Times New Roman" w:eastAsia="Times New Roman" w:hAnsi="Times New Roman"/>
                <w:sz w:val="11"/>
                <w:szCs w:val="11"/>
                <w:color w:val="auto"/>
              </w:rPr>
              <w:t>(1)</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(0.01)</w:t>
            </w:r>
          </w:p>
        </w:tc>
        <w:tc>
          <w:tcPr>
            <w:tcW w:w="26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(0.01)</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3520" w:type="dxa"/>
            <w:vAlign w:val="bottom"/>
            <w:tcBorders>
              <w:top w:val="single" w:sz="8" w:color="CCECFF"/>
              <w:bottom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Net asset value, end of year</w:t>
            </w:r>
          </w:p>
        </w:tc>
        <w:tc>
          <w:tcPr>
            <w:tcW w:w="60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12.31</w:t>
            </w: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12.97</w:t>
            </w:r>
          </w:p>
        </w:tc>
        <w:tc>
          <w:tcPr>
            <w:tcW w:w="30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13.82</w:t>
            </w: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14.10</w:t>
            </w:r>
          </w:p>
        </w:tc>
        <w:tc>
          <w:tcPr>
            <w:tcW w:w="260" w:type="dxa"/>
            <w:vAlign w:val="bottom"/>
            <w:tcBorders>
              <w:top w:val="single" w:sz="8" w:color="CCECFF"/>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14.06</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 share market value, end of year</w:t>
            </w: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20" w:type="dxa"/>
            <w:vAlign w:val="bottom"/>
            <w:tcBorders>
              <w:bottom w:val="single" w:sz="8" w:color="CCECFF"/>
            </w:tcBorders>
            <w:vMerge w:val="continue"/>
          </w:tcPr>
          <w:p>
            <w:pPr>
              <w:spacing w:after="0"/>
              <w:rPr>
                <w:sz w:val="14"/>
                <w:szCs w:val="14"/>
                <w:color w:val="auto"/>
              </w:rPr>
            </w:pPr>
          </w:p>
        </w:tc>
        <w:tc>
          <w:tcPr>
            <w:tcW w:w="600" w:type="dxa"/>
            <w:vAlign w:val="bottom"/>
            <w:tcBorders>
              <w:bottom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8.44</w:t>
            </w:r>
          </w:p>
        </w:tc>
        <w:tc>
          <w:tcPr>
            <w:tcW w:w="22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11.60</w:t>
            </w:r>
          </w:p>
        </w:tc>
        <w:tc>
          <w:tcPr>
            <w:tcW w:w="300" w:type="dxa"/>
            <w:vAlign w:val="bottom"/>
            <w:tcBorders>
              <w:bottom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13.15</w:t>
            </w:r>
          </w:p>
        </w:tc>
        <w:tc>
          <w:tcPr>
            <w:tcW w:w="320" w:type="dxa"/>
            <w:vAlign w:val="bottom"/>
            <w:tcBorders>
              <w:bottom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14.48</w:t>
            </w:r>
          </w:p>
        </w:tc>
        <w:tc>
          <w:tcPr>
            <w:tcW w:w="260" w:type="dxa"/>
            <w:vAlign w:val="bottom"/>
            <w:tcBorders>
              <w:bottom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color w:val="auto"/>
              </w:rPr>
              <w:t>13.23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20" w:type="dxa"/>
            <w:vAlign w:val="bottom"/>
            <w:shd w:val="clear" w:color="auto" w:fill="CCECFF"/>
          </w:tcPr>
          <w:p>
            <w:pPr>
              <w:spacing w:after="0" w:line="126" w:lineRule="exact"/>
              <w:rPr>
                <w:sz w:val="20"/>
                <w:szCs w:val="20"/>
                <w:color w:val="auto"/>
              </w:rPr>
            </w:pPr>
            <w:r>
              <w:rPr>
                <w:rFonts w:ascii="Times New Roman" w:cs="Times New Roman" w:eastAsia="Times New Roman" w:hAnsi="Times New Roman"/>
                <w:sz w:val="13"/>
                <w:szCs w:val="13"/>
                <w:color w:val="auto"/>
              </w:rPr>
              <w:t xml:space="preserve">Total return </w:t>
            </w:r>
            <w:r>
              <w:rPr>
                <w:rFonts w:ascii="Times New Roman" w:cs="Times New Roman" w:eastAsia="Times New Roman" w:hAnsi="Times New Roman"/>
                <w:sz w:val="11"/>
                <w:szCs w:val="11"/>
                <w:color w:val="auto"/>
              </w:rPr>
              <w:t>(3)</w:t>
            </w: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140" w:type="dxa"/>
            <w:vAlign w:val="bottom"/>
            <w:gridSpan w:val="2"/>
            <w:shd w:val="clear" w:color="auto" w:fill="CCECFF"/>
          </w:tcPr>
          <w:p>
            <w:pPr>
              <w:jc w:val="right"/>
              <w:ind w:right="60"/>
              <w:spacing w:after="0" w:line="126" w:lineRule="exact"/>
              <w:rPr>
                <w:sz w:val="20"/>
                <w:szCs w:val="20"/>
                <w:color w:val="auto"/>
              </w:rPr>
            </w:pPr>
            <w:r>
              <w:rPr>
                <w:rFonts w:ascii="Times New Roman" w:cs="Times New Roman" w:eastAsia="Times New Roman" w:hAnsi="Times New Roman"/>
                <w:sz w:val="13"/>
                <w:szCs w:val="13"/>
                <w:color w:val="auto"/>
              </w:rPr>
              <w:t>(17.15)%</w:t>
            </w:r>
          </w:p>
        </w:tc>
        <w:tc>
          <w:tcPr>
            <w:tcW w:w="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220" w:type="dxa"/>
            <w:vAlign w:val="bottom"/>
            <w:gridSpan w:val="2"/>
            <w:shd w:val="clear" w:color="auto" w:fill="CCEC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(3.20)%</w:t>
            </w:r>
          </w:p>
        </w:tc>
        <w:tc>
          <w:tcPr>
            <w:tcW w:w="260" w:type="dxa"/>
            <w:vAlign w:val="bottom"/>
            <w:shd w:val="clear" w:color="auto" w:fill="CCECFF"/>
          </w:tcPr>
          <w:p>
            <w:pPr>
              <w:spacing w:after="0"/>
              <w:rPr>
                <w:sz w:val="10"/>
                <w:szCs w:val="10"/>
                <w:color w:val="auto"/>
              </w:rPr>
            </w:pPr>
          </w:p>
        </w:tc>
        <w:tc>
          <w:tcPr>
            <w:tcW w:w="1220" w:type="dxa"/>
            <w:vAlign w:val="bottom"/>
            <w:gridSpan w:val="2"/>
            <w:shd w:val="clear" w:color="auto" w:fill="CCEC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(1.29)%</w:t>
            </w:r>
          </w:p>
        </w:tc>
        <w:tc>
          <w:tcPr>
            <w:tcW w:w="260" w:type="dxa"/>
            <w:vAlign w:val="bottom"/>
            <w:shd w:val="clear" w:color="auto" w:fill="CCECFF"/>
          </w:tcPr>
          <w:p>
            <w:pPr>
              <w:spacing w:after="0"/>
              <w:rPr>
                <w:sz w:val="10"/>
                <w:szCs w:val="10"/>
                <w:color w:val="auto"/>
              </w:rPr>
            </w:pPr>
          </w:p>
        </w:tc>
        <w:tc>
          <w:tcPr>
            <w:tcW w:w="1160" w:type="dxa"/>
            <w:vAlign w:val="bottom"/>
            <w:gridSpan w:val="2"/>
            <w:shd w:val="clear" w:color="auto" w:fill="CCECFF"/>
          </w:tcPr>
          <w:p>
            <w:pPr>
              <w:jc w:val="right"/>
              <w:ind w:right="140"/>
              <w:spacing w:after="0" w:line="126" w:lineRule="exact"/>
              <w:rPr>
                <w:sz w:val="20"/>
                <w:szCs w:val="20"/>
                <w:color w:val="auto"/>
              </w:rPr>
            </w:pPr>
            <w:r>
              <w:rPr>
                <w:rFonts w:ascii="Times New Roman" w:cs="Times New Roman" w:eastAsia="Times New Roman" w:hAnsi="Times New Roman"/>
                <w:sz w:val="13"/>
                <w:szCs w:val="13"/>
                <w:color w:val="auto"/>
              </w:rPr>
              <w:t>18.71%</w:t>
            </w:r>
          </w:p>
        </w:tc>
        <w:tc>
          <w:tcPr>
            <w:tcW w:w="260" w:type="dxa"/>
            <w:vAlign w:val="bottom"/>
            <w:shd w:val="clear" w:color="auto" w:fill="CCECFF"/>
          </w:tcPr>
          <w:p>
            <w:pPr>
              <w:spacing w:after="0"/>
              <w:rPr>
                <w:sz w:val="10"/>
                <w:szCs w:val="10"/>
                <w:color w:val="auto"/>
              </w:rPr>
            </w:pPr>
          </w:p>
        </w:tc>
        <w:tc>
          <w:tcPr>
            <w:tcW w:w="1020" w:type="dxa"/>
            <w:vAlign w:val="bottom"/>
            <w:gridSpan w:val="2"/>
            <w:shd w:val="clear" w:color="auto" w:fill="CCECFF"/>
          </w:tcPr>
          <w:p>
            <w:pPr>
              <w:jc w:val="right"/>
              <w:spacing w:after="0" w:line="126" w:lineRule="exact"/>
              <w:rPr>
                <w:sz w:val="20"/>
                <w:szCs w:val="20"/>
                <w:color w:val="auto"/>
              </w:rPr>
            </w:pPr>
            <w:r>
              <w:rPr>
                <w:rFonts w:ascii="Times New Roman" w:cs="Times New Roman" w:eastAsia="Times New Roman" w:hAnsi="Times New Roman"/>
                <w:sz w:val="13"/>
                <w:szCs w:val="13"/>
                <w:color w:val="auto"/>
              </w:rPr>
              <w:t>21.77%</w:t>
            </w:r>
          </w:p>
        </w:tc>
        <w:tc>
          <w:tcPr>
            <w:tcW w:w="0" w:type="dxa"/>
            <w:vAlign w:val="bottom"/>
          </w:tcPr>
          <w:p>
            <w:pPr>
              <w:spacing w:after="0"/>
              <w:rPr>
                <w:sz w:val="1"/>
                <w:szCs w:val="1"/>
                <w:color w:val="auto"/>
              </w:rPr>
            </w:pPr>
          </w:p>
        </w:tc>
      </w:tr>
      <w:tr>
        <w:trPr>
          <w:trHeight w:val="149"/>
        </w:trPr>
        <w:tc>
          <w:tcPr>
            <w:tcW w:w="35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color w:val="auto"/>
              </w:rPr>
              <w:t>Shares outstanding at end of year</w:t>
            </w:r>
          </w:p>
        </w:tc>
        <w:tc>
          <w:tcPr>
            <w:tcW w:w="600" w:type="dxa"/>
            <w:vAlign w:val="bottom"/>
            <w:tcBorders>
              <w:bottom w:val="single" w:sz="8" w:color="CCEC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22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30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38,772,074</w:t>
            </w:r>
          </w:p>
        </w:tc>
        <w:tc>
          <w:tcPr>
            <w:tcW w:w="32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32,480,074</w:t>
            </w:r>
          </w:p>
        </w:tc>
        <w:tc>
          <w:tcPr>
            <w:tcW w:w="260" w:type="dxa"/>
            <w:vAlign w:val="bottom"/>
            <w:tcBorders>
              <w:bottom w:val="single" w:sz="8" w:color="CCEC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26,730,074</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shd w:val="clear" w:color="auto" w:fill="CCEC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Ratios / Supplemental Data:</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1"/>
                <w:szCs w:val="11"/>
                <w:color w:val="auto"/>
              </w:rPr>
              <w:t>(4)</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3.94%</w:t>
            </w:r>
          </w:p>
        </w:tc>
        <w:tc>
          <w:tcPr>
            <w:tcW w:w="2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3.01%</w:t>
            </w:r>
          </w:p>
        </w:tc>
        <w:tc>
          <w:tcPr>
            <w:tcW w:w="26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4.13%</w:t>
            </w:r>
          </w:p>
        </w:tc>
        <w:tc>
          <w:tcPr>
            <w:tcW w:w="26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0" w:type="dxa"/>
            <w:vAlign w:val="bottom"/>
          </w:tcPr>
          <w:p>
            <w:pPr>
              <w:spacing w:after="0"/>
              <w:rPr>
                <w:sz w:val="1"/>
                <w:szCs w:val="1"/>
                <w:color w:val="auto"/>
              </w:rPr>
            </w:pPr>
          </w:p>
        </w:tc>
      </w:tr>
      <w:tr>
        <w:trPr>
          <w:trHeight w:val="14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1"/>
                <w:szCs w:val="11"/>
                <w:color w:val="auto"/>
              </w:rPr>
              <w:t>(5)</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5.21%</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4.73%</w:t>
            </w: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1.98%</w:t>
            </w:r>
          </w:p>
        </w:tc>
        <w:tc>
          <w:tcPr>
            <w:tcW w:w="2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1"/>
                <w:szCs w:val="11"/>
                <w:color w:val="auto"/>
              </w:rPr>
              <w:t>(5)</w:t>
            </w: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10.81%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9.15%</w:t>
            </w: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3"/>
                <w:szCs w:val="13"/>
                <w:color w:val="auto"/>
              </w:rPr>
              <w:t>7.74%</w:t>
            </w: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3"/>
                <w:szCs w:val="13"/>
                <w:color w:val="auto"/>
              </w:rPr>
              <w:t>6.11%</w:t>
            </w:r>
          </w:p>
        </w:tc>
        <w:tc>
          <w:tcPr>
            <w:tcW w:w="26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4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1"/>
                <w:szCs w:val="11"/>
                <w:color w:val="auto"/>
              </w:rPr>
              <w:t>(5)</w:t>
            </w:r>
          </w:p>
        </w:tc>
        <w:tc>
          <w:tcPr>
            <w:tcW w:w="6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8.76%</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5.81%</w:t>
            </w: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7.85%</w:t>
            </w:r>
          </w:p>
        </w:tc>
        <w:tc>
          <w:tcPr>
            <w:tcW w:w="2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Net assets at end of year</w:t>
            </w: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477,270,392</w:t>
            </w:r>
          </w:p>
        </w:tc>
        <w:tc>
          <w:tcPr>
            <w:tcW w:w="220" w:type="dxa"/>
            <w:vAlign w:val="bottom"/>
          </w:tcPr>
          <w:p>
            <w:pPr>
              <w:spacing w:after="0"/>
              <w:rPr>
                <w:sz w:val="12"/>
                <w:szCs w:val="12"/>
                <w:color w:val="auto"/>
              </w:rPr>
            </w:pPr>
          </w:p>
        </w:tc>
        <w:tc>
          <w:tcPr>
            <w:tcW w:w="3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503,057,511</w:t>
            </w:r>
          </w:p>
        </w:tc>
        <w:tc>
          <w:tcPr>
            <w:tcW w:w="30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535,841,568</w:t>
            </w:r>
          </w:p>
        </w:tc>
        <w:tc>
          <w:tcPr>
            <w:tcW w:w="32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457,906,274</w:t>
            </w:r>
          </w:p>
        </w:tc>
        <w:tc>
          <w:tcPr>
            <w:tcW w:w="26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375,906,828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Weighted average debt outstanding</w:t>
            </w:r>
          </w:p>
        </w:tc>
        <w:tc>
          <w:tcPr>
            <w:tcW w:w="60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737,208,720</w:t>
            </w: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512,134,647</w:t>
            </w:r>
          </w:p>
        </w:tc>
        <w:tc>
          <w:tcPr>
            <w:tcW w:w="30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354,321,752</w:t>
            </w:r>
          </w:p>
        </w:tc>
        <w:tc>
          <w:tcPr>
            <w:tcW w:w="32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269,319,832</w:t>
            </w:r>
          </w:p>
        </w:tc>
        <w:tc>
          <w:tcPr>
            <w:tcW w:w="2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140,218,095</w:t>
            </w: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2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1"/>
                <w:szCs w:val="11"/>
                <w:color w:val="auto"/>
              </w:rPr>
              <w:t>(1)</w:t>
            </w:r>
          </w:p>
        </w:tc>
        <w:tc>
          <w:tcPr>
            <w:tcW w:w="600" w:type="dxa"/>
            <w:vAlign w:val="bottom"/>
          </w:tcPr>
          <w:p>
            <w:pPr>
              <w:spacing w:after="0"/>
              <w:rPr>
                <w:sz w:val="12"/>
                <w:szCs w:val="12"/>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19.01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13.21</w:t>
            </w:r>
          </w:p>
        </w:tc>
        <w:tc>
          <w:tcPr>
            <w:tcW w:w="30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9.25</w:t>
            </w:r>
          </w:p>
        </w:tc>
        <w:tc>
          <w:tcPr>
            <w:tcW w:w="32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8.90</w:t>
            </w:r>
          </w:p>
        </w:tc>
        <w:tc>
          <w:tcPr>
            <w:tcW w:w="26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5.25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1"/>
                <w:szCs w:val="11"/>
                <w:color w:val="auto"/>
              </w:rPr>
              <w:t>(6)</w:t>
            </w:r>
          </w:p>
        </w:tc>
        <w:tc>
          <w:tcPr>
            <w:tcW w:w="840" w:type="dxa"/>
            <w:vAlign w:val="bottom"/>
            <w:gridSpan w:val="2"/>
            <w:shd w:val="clear" w:color="auto" w:fill="CCECFF"/>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220" w:type="dxa"/>
            <w:vAlign w:val="bottom"/>
            <w:shd w:val="clear" w:color="auto" w:fill="CCECFF"/>
          </w:tcPr>
          <w:p>
            <w:pPr>
              <w:spacing w:after="0"/>
              <w:rPr>
                <w:sz w:val="12"/>
                <w:szCs w:val="12"/>
                <w:color w:val="auto"/>
              </w:rPr>
            </w:pPr>
          </w:p>
        </w:tc>
        <w:tc>
          <w:tcPr>
            <w:tcW w:w="340" w:type="dxa"/>
            <w:vAlign w:val="bottom"/>
            <w:gridSpan w:val="2"/>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30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32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260" w:type="dxa"/>
            <w:vAlign w:val="bottom"/>
            <w:shd w:val="clear" w:color="auto" w:fill="CCECFF"/>
          </w:tcPr>
          <w:p>
            <w:pPr>
              <w:spacing w:after="0"/>
              <w:rPr>
                <w:sz w:val="12"/>
                <w:szCs w:val="12"/>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Portfolio turnover ratio</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52.64%</w:t>
            </w: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47.15%</w:t>
            </w:r>
          </w:p>
        </w:tc>
        <w:tc>
          <w:tcPr>
            <w:tcW w:w="2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59.70%</w:t>
            </w: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134556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361" w:hanging="361"/>
        <w:spacing w:after="0"/>
        <w:tabs>
          <w:tab w:leader="none" w:pos="361" w:val="left"/>
        </w:tabs>
        <w:numPr>
          <w:ilvl w:val="0"/>
          <w:numId w:val="78"/>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spacing w:after="0" w:line="8" w:lineRule="exact"/>
        <w:rPr>
          <w:rFonts w:ascii="Times New Roman" w:cs="Times New Roman" w:eastAsia="Times New Roman" w:hAnsi="Times New Roman"/>
          <w:sz w:val="18"/>
          <w:szCs w:val="18"/>
          <w:b w:val="1"/>
          <w:bCs w:val="1"/>
          <w:color w:val="auto"/>
          <w:vertAlign w:val="superscript"/>
        </w:rPr>
      </w:pPr>
    </w:p>
    <w:p>
      <w:pPr>
        <w:ind w:left="361" w:hanging="361"/>
        <w:spacing w:after="0" w:line="184" w:lineRule="auto"/>
        <w:tabs>
          <w:tab w:leader="none" w:pos="361" w:val="left"/>
        </w:tabs>
        <w:numPr>
          <w:ilvl w:val="0"/>
          <w:numId w:val="7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The tax status of distributions is calculated in accordance with income tax regulations, which may differ from amounts determined under GAAP, and reported on Form 1099-DIV each calendar year.</w:t>
      </w:r>
    </w:p>
    <w:p>
      <w:pPr>
        <w:ind w:left="361" w:hanging="361"/>
        <w:spacing w:after="0" w:line="184" w:lineRule="auto"/>
        <w:tabs>
          <w:tab w:leader="none" w:pos="361" w:val="left"/>
        </w:tabs>
        <w:numPr>
          <w:ilvl w:val="0"/>
          <w:numId w:val="7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Based on the change in market price per share during the periods and assumes distributions, if any, are reinvested.</w:t>
      </w:r>
    </w:p>
    <w:p>
      <w:pPr>
        <w:ind w:left="361" w:hanging="361"/>
        <w:spacing w:after="0" w:line="184" w:lineRule="auto"/>
        <w:tabs>
          <w:tab w:leader="none" w:pos="361" w:val="left"/>
        </w:tabs>
        <w:numPr>
          <w:ilvl w:val="0"/>
          <w:numId w:val="7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Excludes debt related costs.</w:t>
      </w:r>
    </w:p>
    <w:p>
      <w:pPr>
        <w:ind w:left="361" w:hanging="361"/>
        <w:spacing w:after="0" w:line="184" w:lineRule="auto"/>
        <w:tabs>
          <w:tab w:leader="none" w:pos="361" w:val="left"/>
        </w:tabs>
        <w:numPr>
          <w:ilvl w:val="0"/>
          <w:numId w:val="78"/>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color w:val="auto"/>
        </w:rPr>
        <w:t>Includes interest and expenses on debt (annualized) as well as Credit Facility amendment and debt issuance costs, if any (not annualized).</w:t>
      </w:r>
    </w:p>
    <w:p>
      <w:pPr>
        <w:ind w:left="361" w:right="460" w:hanging="361"/>
        <w:spacing w:after="0" w:line="181" w:lineRule="auto"/>
        <w:tabs>
          <w:tab w:leader="none" w:pos="361" w:val="left"/>
        </w:tabs>
        <w:numPr>
          <w:ilvl w:val="0"/>
          <w:numId w:val="78"/>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2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11. DEBT</w:t>
      </w:r>
    </w:p>
    <w:p>
      <w:pPr>
        <w:spacing w:after="0" w:line="125" w:lineRule="exact"/>
        <w:rPr>
          <w:sz w:val="20"/>
          <w:szCs w:val="20"/>
          <w:color w:val="auto"/>
        </w:rPr>
      </w:pPr>
    </w:p>
    <w:p>
      <w:pPr>
        <w:ind w:left="1" w:right="160" w:firstLine="439"/>
        <w:spacing w:after="0" w:line="237"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2020, 2019 and 2018, inclusive of the fee on the undrawn commitment on the Credit Facility, amendment costs and debt issuance costs, was 3.7%, 5.3% and 7.1%, respectively. As of September 30, 2020, in accordance with the 1940 Act, with certain limited exceptions, we are only allowed to borrow amounts such that we are in compliance with a 150% asset coverage ratio requirement after such borrowing.</w:t>
      </w:r>
    </w:p>
    <w:p>
      <w:pPr>
        <w:spacing w:after="0" w:line="102" w:lineRule="exact"/>
        <w:rPr>
          <w:sz w:val="20"/>
          <w:szCs w:val="20"/>
          <w:color w:val="auto"/>
        </w:rPr>
      </w:pPr>
    </w:p>
    <w:p>
      <w:pPr>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2020 and 2019, our asset coverage ratio, as computed in accordance with the 1940 Act, was 168% and 179%, respectively.</w:t>
      </w:r>
    </w:p>
    <w:p>
      <w:pPr>
        <w:spacing w:after="0" w:line="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Credit Facility</w:t>
      </w:r>
    </w:p>
    <w:p>
      <w:pPr>
        <w:spacing w:after="0" w:line="127" w:lineRule="exact"/>
        <w:rPr>
          <w:sz w:val="20"/>
          <w:szCs w:val="20"/>
          <w:color w:val="auto"/>
        </w:rPr>
      </w:pPr>
    </w:p>
    <w:p>
      <w:pPr>
        <w:ind w:left="1" w:right="120" w:firstLine="439"/>
        <w:spacing w:after="0" w:line="230" w:lineRule="auto"/>
        <w:rPr>
          <w:sz w:val="20"/>
          <w:szCs w:val="20"/>
          <w:color w:val="auto"/>
        </w:rPr>
      </w:pPr>
      <w:r>
        <w:rPr>
          <w:rFonts w:ascii="Times New Roman" w:cs="Times New Roman" w:eastAsia="Times New Roman" w:hAnsi="Times New Roman"/>
          <w:sz w:val="13"/>
          <w:szCs w:val="13"/>
          <w:color w:val="auto"/>
        </w:rPr>
        <w:t>Funding I’s multi-currency Credit Facility with the Lenders was $520 million as of September 30, 2020, subject to satisfaction of certain conditions and the regulatory restrictions that the 1940 Act imposes on us as a BDC, has an interest rate spread above LIBOR (or an alternative risk-free floating interest rate index) of 200 basis points, a maturity date of October 2023 and a revolving period that ends in October 2021. As of September 30, 2020 and 2019, Funding I had $308.6 million and $265.3 million of outstanding borrowings under the Credit Facility, respectively. The Credit Facility had a weighted average interest rate of 2.2% and 4.1%, exclusive of the fee on undrawn commitments as of September 30, 2020 and 2019, respectively. As of September 30, 2020 and 2019, we had $211.4 million and $254.7 million of unused borrowing capacity under the Credit Facility, respectively, subject to leverage and borrowing base restrictions.</w:t>
      </w:r>
    </w:p>
    <w:p>
      <w:pPr>
        <w:spacing w:after="0" w:line="101" w:lineRule="exact"/>
        <w:rPr>
          <w:sz w:val="20"/>
          <w:szCs w:val="20"/>
          <w:color w:val="auto"/>
        </w:rPr>
      </w:pPr>
    </w:p>
    <w:p>
      <w:pPr>
        <w:ind w:left="1" w:right="60" w:firstLine="439"/>
        <w:spacing w:after="0" w:line="237"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90" w:lineRule="exact"/>
        <w:rPr>
          <w:sz w:val="20"/>
          <w:szCs w:val="20"/>
          <w:color w:val="auto"/>
        </w:rPr>
      </w:pPr>
    </w:p>
    <w:p>
      <w:pPr>
        <w:ind w:left="1" w:firstLine="439"/>
        <w:spacing w:after="0"/>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2020, we were in compliance with the covenants relating to our Credit Facility.</w:t>
      </w:r>
    </w:p>
    <w:p>
      <w:pPr>
        <w:spacing w:after="0" w:line="233"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23" w:lineRule="exact"/>
        <w:rPr>
          <w:sz w:val="20"/>
          <w:szCs w:val="20"/>
          <w:color w:val="auto"/>
        </w:rPr>
      </w:pPr>
    </w:p>
    <w:p>
      <w:pPr>
        <w:ind w:left="1" w:right="200" w:firstLine="439"/>
        <w:spacing w:after="0" w:line="233"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2023 Notes</w:t>
      </w:r>
    </w:p>
    <w:p>
      <w:pPr>
        <w:spacing w:after="0" w:line="127"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In November 2017, we issued $138.6 million of our 2023 Notes. The 2023 Notes were issued pursuant to a deed of trust between the Company and Mishmeret Trust Company, Ltd. as trustee.</w:t>
      </w:r>
    </w:p>
    <w:p>
      <w:pPr>
        <w:spacing w:after="0" w:line="123" w:lineRule="exact"/>
        <w:rPr>
          <w:sz w:val="20"/>
          <w:szCs w:val="20"/>
          <w:color w:val="auto"/>
        </w:rPr>
      </w:pPr>
    </w:p>
    <w:p>
      <w:pPr>
        <w:ind w:left="1" w:right="40" w:firstLine="439"/>
        <w:spacing w:after="0" w:line="233" w:lineRule="auto"/>
        <w:rPr>
          <w:sz w:val="20"/>
          <w:szCs w:val="20"/>
          <w:color w:val="auto"/>
        </w:rPr>
      </w:pPr>
      <w:r>
        <w:rPr>
          <w:rFonts w:ascii="Times New Roman" w:cs="Times New Roman" w:eastAsia="Times New Roman" w:hAnsi="Times New Roman"/>
          <w:sz w:val="13"/>
          <w:szCs w:val="13"/>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jc w:val="both"/>
        <w:ind w:left="1" w:right="20" w:firstLine="439"/>
        <w:spacing w:after="0" w:line="233" w:lineRule="auto"/>
        <w:rPr>
          <w:sz w:val="20"/>
          <w:szCs w:val="20"/>
          <w:color w:val="auto"/>
        </w:rPr>
      </w:pPr>
      <w:r>
        <w:rPr>
          <w:rFonts w:ascii="Times New Roman" w:cs="Times New Roman" w:eastAsia="Times New Roman" w:hAnsi="Times New Roman"/>
          <w:sz w:val="13"/>
          <w:szCs w:val="13"/>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01" w:lineRule="exact"/>
        <w:rPr>
          <w:sz w:val="20"/>
          <w:szCs w:val="20"/>
          <w:color w:val="auto"/>
        </w:rPr>
      </w:pPr>
    </w:p>
    <w:p>
      <w:pPr>
        <w:ind w:left="1" w:right="120" w:firstLine="439"/>
        <w:spacing w:after="0" w:line="254" w:lineRule="auto"/>
        <w:rPr>
          <w:sz w:val="20"/>
          <w:szCs w:val="20"/>
          <w:color w:val="auto"/>
        </w:rPr>
      </w:pPr>
      <w:r>
        <w:rPr>
          <w:rFonts w:ascii="Times New Roman" w:cs="Times New Roman" w:eastAsia="Times New Roman" w:hAnsi="Times New Roman"/>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2031 Asset-Backed Debt</w:t>
      </w:r>
    </w:p>
    <w:p>
      <w:pPr>
        <w:spacing w:after="0" w:line="127" w:lineRule="exact"/>
        <w:rPr>
          <w:sz w:val="20"/>
          <w:szCs w:val="20"/>
          <w:color w:val="auto"/>
        </w:rPr>
      </w:pPr>
    </w:p>
    <w:p>
      <w:pPr>
        <w:ind w:left="1" w:firstLine="439"/>
        <w:spacing w:after="0" w:line="224" w:lineRule="auto"/>
        <w:rPr>
          <w:sz w:val="20"/>
          <w:szCs w:val="20"/>
          <w:color w:val="auto"/>
        </w:rPr>
      </w:pPr>
      <w:r>
        <w:rPr>
          <w:rFonts w:ascii="Times New Roman" w:cs="Times New Roman" w:eastAsia="Times New Roman" w:hAnsi="Times New Roman"/>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w:t>
      </w:r>
    </w:p>
    <w:p>
      <w:pPr>
        <w:spacing w:after="0" w:line="1" w:lineRule="exact"/>
        <w:rPr>
          <w:sz w:val="20"/>
          <w:szCs w:val="20"/>
          <w:color w:val="auto"/>
        </w:rPr>
      </w:pPr>
    </w:p>
    <w:p>
      <w:pPr>
        <w:ind w:left="1" w:hanging="1"/>
        <w:spacing w:after="0" w:line="148" w:lineRule="exact"/>
        <w:tabs>
          <w:tab w:leader="none" w:pos="232"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04" w:lineRule="exact"/>
        <w:rPr>
          <w:sz w:val="20"/>
          <w:szCs w:val="20"/>
          <w:color w:val="auto"/>
        </w:rPr>
      </w:pPr>
    </w:p>
    <w:p>
      <w:pPr>
        <w:ind w:left="1" w:right="160" w:firstLine="439"/>
        <w:spacing w:after="0" w:line="254"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jc w:val="center"/>
        <w:ind w:right="-19"/>
        <w:spacing w:after="0" w:line="223" w:lineRule="auto"/>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2020</w:t>
      </w:r>
    </w:p>
    <w:p>
      <w:pPr>
        <w:spacing w:after="0" w:line="10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3"/>
          <w:szCs w:val="13"/>
          <w:color w:val="auto"/>
        </w:rPr>
        <w:t>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92" w:lineRule="exact"/>
        <w:rPr>
          <w:sz w:val="20"/>
          <w:szCs w:val="20"/>
          <w:color w:val="auto"/>
        </w:rPr>
      </w:pPr>
    </w:p>
    <w:p>
      <w:pPr>
        <w:jc w:val="both"/>
        <w:ind w:right="40" w:firstLine="439"/>
        <w:spacing w:after="0" w:line="237" w:lineRule="auto"/>
        <w:rPr>
          <w:sz w:val="20"/>
          <w:szCs w:val="20"/>
          <w:color w:val="auto"/>
        </w:rPr>
      </w:pPr>
      <w:r>
        <w:rPr>
          <w:rFonts w:ascii="Times New Roman" w:cs="Times New Roman" w:eastAsia="Times New Roman" w:hAnsi="Times New Roman"/>
          <w:sz w:val="13"/>
          <w:szCs w:val="13"/>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September 30, 2020 and 2019, the Company had $228.0 million 2031 Asset-Backed Debt outstanding with a weighted average interest rate of 2.7% and 4.2%, respectively. As of September 30, 2020 and 2019, the unamortized fees on the 2031 Asset-Backed Debt were $3.1 million and $3.7 million, respectively.</w:t>
      </w:r>
    </w:p>
    <w:p>
      <w:pPr>
        <w:spacing w:after="0" w:line="102"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COMMITMENTS AND CONTINGENCIES</w:t>
      </w:r>
    </w:p>
    <w:p>
      <w:pPr>
        <w:spacing w:after="0" w:line="125" w:lineRule="exact"/>
        <w:rPr>
          <w:sz w:val="20"/>
          <w:szCs w:val="20"/>
          <w:color w:val="auto"/>
        </w:rPr>
      </w:pPr>
    </w:p>
    <w:p>
      <w:pPr>
        <w:ind w:right="120" w:firstLine="439"/>
        <w:spacing w:after="0" w:line="230" w:lineRule="auto"/>
        <w:rPr>
          <w:sz w:val="20"/>
          <w:szCs w:val="20"/>
          <w:color w:val="auto"/>
        </w:rPr>
      </w:pPr>
      <w:r>
        <w:rPr>
          <w:rFonts w:ascii="Times New Roman" w:cs="Times New Roman" w:eastAsia="Times New Roman" w:hAnsi="Times New Roman"/>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2020 and 2019, we had $73.3 million and $101.1 million, respectively, in commitments to fund investments. Additionally, as described in Note 4, the Company had unfunded commitments of up to $22.1 million and $9.2 million to PSSL as of September 30, 2020 and 2019, respectively, that may be contributed primarily for the purpose of funding new investments approved by the PSSL board of directors or investment committee.</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13. UNCONSOLIDATED SIGNIFICANT SUBSIDIARIES</w:t>
      </w:r>
    </w:p>
    <w:p>
      <w:pPr>
        <w:spacing w:after="0" w:line="125" w:lineRule="exact"/>
        <w:rPr>
          <w:sz w:val="20"/>
          <w:szCs w:val="20"/>
          <w:color w:val="auto"/>
        </w:rPr>
      </w:pPr>
    </w:p>
    <w:p>
      <w:pPr>
        <w:ind w:right="40" w:firstLine="439"/>
        <w:spacing w:after="0" w:line="237"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2020, PennantPark Senior Secured Loan Fund I LLC triggered at least one of the significance tests. As a result and in accordance with Rule 3-09 of Regulation S-X, separate audited financial statements of PennantPark Senior Secured Loan Fund I LLC for the years ended September 30, 2020, 2019 and 2018 are being filed herewith as Exhibit 99.3 and Exhibit 99.4.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SUBSEQUENT EVENTS</w:t>
      </w:r>
    </w:p>
    <w:p>
      <w:pPr>
        <w:spacing w:after="0" w:line="125" w:lineRule="exact"/>
        <w:rPr>
          <w:sz w:val="20"/>
          <w:szCs w:val="20"/>
          <w:color w:val="auto"/>
        </w:rPr>
      </w:pPr>
    </w:p>
    <w:p>
      <w:pPr>
        <w:ind w:firstLine="730"/>
        <w:spacing w:after="0" w:line="228" w:lineRule="auto"/>
        <w:rPr>
          <w:sz w:val="20"/>
          <w:szCs w:val="20"/>
          <w:color w:val="auto"/>
        </w:rPr>
      </w:pPr>
      <w:r>
        <w:rPr>
          <w:rFonts w:ascii="Times New Roman" w:cs="Times New Roman" w:eastAsia="Times New Roman" w:hAnsi="Times New Roman"/>
          <w:sz w:val="13"/>
          <w:szCs w:val="13"/>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$2.3 million common stock fair valuation as of September 30, 2020 would increase to an estimated $9.0 million, which includes a combination of cash and stock, assuming the transaction closes based on the agreed terms. This would represent a net asset value increase of $0.17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b w:val="1"/>
          <w:bCs w:val="1"/>
          <w:color w:val="auto"/>
        </w:rPr>
        <w:t>Supplementary Data</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Selected Quarterly Data (Unaudited)</w:t>
      </w:r>
    </w:p>
    <w:p>
      <w:pPr>
        <w:jc w:val="center"/>
        <w:spacing w:after="0"/>
        <w:rPr>
          <w:sz w:val="20"/>
          <w:szCs w:val="20"/>
          <w:color w:val="auto"/>
        </w:rPr>
      </w:pPr>
      <w:r>
        <w:rPr>
          <w:rFonts w:ascii="Times New Roman" w:cs="Times New Roman" w:eastAsia="Times New Roman" w:hAnsi="Times New Roman"/>
          <w:sz w:val="13"/>
          <w:szCs w:val="13"/>
          <w:b w:val="1"/>
          <w:bCs w:val="1"/>
          <w:color w:val="auto"/>
        </w:rPr>
        <w:t>(dollar amounts in thousands, except per share data)</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Q4</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14"/>
              <w:spacing w:after="0" w:line="141" w:lineRule="exact"/>
              <w:rPr>
                <w:sz w:val="20"/>
                <w:szCs w:val="20"/>
                <w:color w:val="auto"/>
              </w:rPr>
            </w:pPr>
            <w:r>
              <w:rPr>
                <w:rFonts w:ascii="Times New Roman" w:cs="Times New Roman" w:eastAsia="Times New Roman" w:hAnsi="Times New Roman"/>
                <w:sz w:val="13"/>
                <w:szCs w:val="13"/>
                <w:b w:val="1"/>
                <w:bCs w:val="1"/>
                <w:color w:val="auto"/>
              </w:rPr>
              <w:t>Q3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740"/>
              <w:spacing w:after="0" w:line="141" w:lineRule="exact"/>
              <w:rPr>
                <w:sz w:val="20"/>
                <w:szCs w:val="20"/>
                <w:color w:val="auto"/>
              </w:rPr>
            </w:pPr>
            <w:r>
              <w:rPr>
                <w:rFonts w:ascii="Times New Roman" w:cs="Times New Roman" w:eastAsia="Times New Roman" w:hAnsi="Times New Roman"/>
                <w:sz w:val="13"/>
                <w:szCs w:val="13"/>
                <w:b w:val="1"/>
                <w:bCs w:val="1"/>
                <w:color w:val="auto"/>
              </w:rPr>
              <w:t>Q2</w:t>
            </w:r>
          </w:p>
        </w:tc>
        <w:tc>
          <w:tcPr>
            <w:tcW w:w="280" w:type="dxa"/>
            <w:vAlign w:val="bottom"/>
          </w:tcPr>
          <w:p>
            <w:pPr>
              <w:spacing w:after="0"/>
              <w:rPr>
                <w:sz w:val="12"/>
                <w:szCs w:val="12"/>
                <w:color w:val="auto"/>
              </w:rPr>
            </w:pPr>
          </w:p>
        </w:tc>
        <w:tc>
          <w:tcPr>
            <w:tcW w:w="880" w:type="dxa"/>
            <w:vAlign w:val="bottom"/>
          </w:tcPr>
          <w:p>
            <w:pPr>
              <w:jc w:val="right"/>
              <w:ind w:right="434"/>
              <w:spacing w:after="0" w:line="141" w:lineRule="exact"/>
              <w:rPr>
                <w:sz w:val="20"/>
                <w:szCs w:val="20"/>
                <w:color w:val="auto"/>
              </w:rPr>
            </w:pPr>
            <w:r>
              <w:rPr>
                <w:rFonts w:ascii="Times New Roman" w:cs="Times New Roman" w:eastAsia="Times New Roman" w:hAnsi="Times New Roman"/>
                <w:sz w:val="13"/>
                <w:szCs w:val="13"/>
                <w:b w:val="1"/>
                <w:bCs w:val="1"/>
                <w:color w:val="auto"/>
              </w:rPr>
              <w:t>Q1</w:t>
            </w:r>
          </w:p>
        </w:tc>
        <w:tc>
          <w:tcPr>
            <w:tcW w:w="100" w:type="dxa"/>
            <w:vAlign w:val="bottom"/>
          </w:tcPr>
          <w:p>
            <w:pPr>
              <w:spacing w:after="0"/>
              <w:rPr>
                <w:sz w:val="12"/>
                <w:szCs w:val="12"/>
                <w:color w:val="auto"/>
              </w:rPr>
            </w:pPr>
          </w:p>
        </w:tc>
      </w:tr>
      <w:tr>
        <w:trPr>
          <w:trHeight w:val="141"/>
        </w:trPr>
        <w:tc>
          <w:tcPr>
            <w:tcW w:w="504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investment income</w:t>
            </w:r>
          </w:p>
        </w:tc>
        <w:tc>
          <w:tcPr>
            <w:tcW w:w="78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21,755</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22,766</w:t>
            </w:r>
          </w:p>
        </w:tc>
        <w:tc>
          <w:tcPr>
            <w:tcW w:w="2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26,326</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24,639</w:t>
            </w: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realized and unrealized gain (loss)</w:t>
            </w:r>
          </w:p>
        </w:tc>
        <w:tc>
          <w:tcPr>
            <w:tcW w:w="7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(32,849)</w:t>
            </w:r>
          </w:p>
        </w:tc>
        <w:tc>
          <w:tcPr>
            <w:tcW w:w="28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(1,146)</w:t>
            </w: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(21,101)</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9,973</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w:t>
            </w:r>
          </w:p>
        </w:tc>
        <w:tc>
          <w:tcPr>
            <w:tcW w:w="7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(0.54)</w:t>
            </w: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00" w:type="dxa"/>
            <w:vAlign w:val="bottom"/>
            <w:shd w:val="clear" w:color="auto" w:fill="CCECFF"/>
          </w:tcPr>
          <w:p>
            <w:pPr>
              <w:spacing w:after="0"/>
              <w:rPr>
                <w:sz w:val="12"/>
                <w:szCs w:val="12"/>
                <w:color w:val="auto"/>
              </w:rPr>
            </w:pP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per share at the end of the quarter</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Market value per share at the end of the quarter</w:t>
            </w:r>
          </w:p>
        </w:tc>
        <w:tc>
          <w:tcPr>
            <w:tcW w:w="1480" w:type="dxa"/>
            <w:vAlign w:val="bottom"/>
            <w:gridSpan w:val="2"/>
            <w:shd w:val="clear" w:color="auto" w:fill="CCECFF"/>
          </w:tcPr>
          <w:p>
            <w:pPr>
              <w:jc w:val="right"/>
              <w:ind w:right="57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5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54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100" w:type="dxa"/>
            <w:vAlign w:val="bottom"/>
            <w:shd w:val="clear" w:color="auto" w:fill="CCECFF"/>
          </w:tcPr>
          <w:p>
            <w:pPr>
              <w:spacing w:after="0"/>
              <w:rPr>
                <w:sz w:val="12"/>
                <w:szCs w:val="12"/>
                <w:color w:val="auto"/>
              </w:rPr>
            </w:pPr>
          </w:p>
        </w:tc>
      </w:tr>
    </w:tbl>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Q4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14"/>
              <w:spacing w:after="0" w:line="141" w:lineRule="exact"/>
              <w:rPr>
                <w:sz w:val="20"/>
                <w:szCs w:val="20"/>
                <w:color w:val="auto"/>
              </w:rPr>
            </w:pPr>
            <w:r>
              <w:rPr>
                <w:rFonts w:ascii="Times New Roman" w:cs="Times New Roman" w:eastAsia="Times New Roman" w:hAnsi="Times New Roman"/>
                <w:sz w:val="13"/>
                <w:szCs w:val="13"/>
                <w:b w:val="1"/>
                <w:bCs w:val="1"/>
                <w:color w:val="auto"/>
              </w:rPr>
              <w:t>Q3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740"/>
              <w:spacing w:after="0" w:line="141" w:lineRule="exact"/>
              <w:rPr>
                <w:sz w:val="20"/>
                <w:szCs w:val="20"/>
                <w:color w:val="auto"/>
              </w:rPr>
            </w:pPr>
            <w:r>
              <w:rPr>
                <w:rFonts w:ascii="Times New Roman" w:cs="Times New Roman" w:eastAsia="Times New Roman" w:hAnsi="Times New Roman"/>
                <w:sz w:val="13"/>
                <w:szCs w:val="13"/>
                <w:b w:val="1"/>
                <w:bCs w:val="1"/>
                <w:color w:val="auto"/>
              </w:rPr>
              <w:t>Q2</w:t>
            </w:r>
          </w:p>
        </w:tc>
        <w:tc>
          <w:tcPr>
            <w:tcW w:w="280" w:type="dxa"/>
            <w:vAlign w:val="bottom"/>
          </w:tcPr>
          <w:p>
            <w:pPr>
              <w:spacing w:after="0"/>
              <w:rPr>
                <w:sz w:val="12"/>
                <w:szCs w:val="12"/>
                <w:color w:val="auto"/>
              </w:rPr>
            </w:pPr>
          </w:p>
        </w:tc>
        <w:tc>
          <w:tcPr>
            <w:tcW w:w="880" w:type="dxa"/>
            <w:vAlign w:val="bottom"/>
          </w:tcPr>
          <w:p>
            <w:pPr>
              <w:jc w:val="right"/>
              <w:ind w:right="434"/>
              <w:spacing w:after="0" w:line="141" w:lineRule="exact"/>
              <w:rPr>
                <w:sz w:val="20"/>
                <w:szCs w:val="20"/>
                <w:color w:val="auto"/>
              </w:rPr>
            </w:pPr>
            <w:r>
              <w:rPr>
                <w:rFonts w:ascii="Times New Roman" w:cs="Times New Roman" w:eastAsia="Times New Roman" w:hAnsi="Times New Roman"/>
                <w:sz w:val="13"/>
                <w:szCs w:val="13"/>
                <w:b w:val="1"/>
                <w:bCs w:val="1"/>
                <w:color w:val="auto"/>
              </w:rPr>
              <w:t>Q1</w:t>
            </w:r>
          </w:p>
        </w:tc>
        <w:tc>
          <w:tcPr>
            <w:tcW w:w="100" w:type="dxa"/>
            <w:vAlign w:val="bottom"/>
          </w:tcPr>
          <w:p>
            <w:pPr>
              <w:spacing w:after="0"/>
              <w:rPr>
                <w:sz w:val="12"/>
                <w:szCs w:val="12"/>
                <w:color w:val="auto"/>
              </w:rPr>
            </w:pPr>
          </w:p>
        </w:tc>
      </w:tr>
      <w:tr>
        <w:trPr>
          <w:trHeight w:val="141"/>
        </w:trPr>
        <w:tc>
          <w:tcPr>
            <w:tcW w:w="5040" w:type="dxa"/>
            <w:vAlign w:val="bottom"/>
            <w:tcBorders>
              <w:top w:val="single" w:sz="8" w:color="CCECFF"/>
            </w:tcBorders>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investment income</w:t>
            </w:r>
          </w:p>
        </w:tc>
        <w:tc>
          <w:tcPr>
            <w:tcW w:w="78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23,882</w:t>
            </w:r>
          </w:p>
        </w:tc>
        <w:tc>
          <w:tcPr>
            <w:tcW w:w="1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22,876</w:t>
            </w:r>
          </w:p>
        </w:tc>
        <w:tc>
          <w:tcPr>
            <w:tcW w:w="2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23,005</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23,184</w:t>
            </w: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investment income</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10,944</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realized and unrealized loss</w:t>
            </w:r>
          </w:p>
        </w:tc>
        <w:tc>
          <w:tcPr>
            <w:tcW w:w="7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(4,026)</w:t>
            </w: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(6,814)</w:t>
            </w:r>
          </w:p>
        </w:tc>
        <w:tc>
          <w:tcPr>
            <w:tcW w:w="2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(17,257)</w:t>
            </w:r>
          </w:p>
        </w:tc>
        <w:tc>
          <w:tcPr>
            <w:tcW w:w="28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(5,949)</w:t>
            </w: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(5,472)</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w:t>
            </w:r>
          </w:p>
        </w:tc>
        <w:tc>
          <w:tcPr>
            <w:tcW w:w="7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(0.14)</w:t>
            </w: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00" w:type="dxa"/>
            <w:vAlign w:val="bottom"/>
            <w:shd w:val="clear" w:color="auto" w:fill="CCECFF"/>
          </w:tcPr>
          <w:p>
            <w:pPr>
              <w:spacing w:after="0"/>
              <w:rPr>
                <w:sz w:val="12"/>
                <w:szCs w:val="12"/>
                <w:color w:val="auto"/>
              </w:rPr>
            </w:pPr>
          </w:p>
        </w:tc>
      </w:tr>
      <w:tr>
        <w:trPr>
          <w:trHeight w:val="149"/>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per share at the end of the quarter</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00" w:type="dxa"/>
            <w:vAlign w:val="bottom"/>
          </w:tcPr>
          <w:p>
            <w:pPr>
              <w:spacing w:after="0"/>
              <w:rPr>
                <w:sz w:val="12"/>
                <w:szCs w:val="12"/>
                <w:color w:val="auto"/>
              </w:rPr>
            </w:pPr>
          </w:p>
        </w:tc>
      </w:tr>
      <w:tr>
        <w:trPr>
          <w:trHeight w:val="149"/>
        </w:trPr>
        <w:tc>
          <w:tcPr>
            <w:tcW w:w="5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Market value per share at the end of the quarter</w:t>
            </w:r>
          </w:p>
        </w:tc>
        <w:tc>
          <w:tcPr>
            <w:tcW w:w="1480" w:type="dxa"/>
            <w:vAlign w:val="bottom"/>
            <w:gridSpan w:val="2"/>
            <w:shd w:val="clear" w:color="auto" w:fill="CCECFF"/>
          </w:tcPr>
          <w:p>
            <w:pPr>
              <w:jc w:val="right"/>
              <w:ind w:right="57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40" w:type="dxa"/>
            <w:vAlign w:val="bottom"/>
            <w:shd w:val="clear" w:color="auto" w:fill="CCECFF"/>
          </w:tcPr>
          <w:p>
            <w:pPr>
              <w:spacing w:after="0"/>
              <w:rPr>
                <w:sz w:val="12"/>
                <w:szCs w:val="12"/>
                <w:color w:val="auto"/>
              </w:rPr>
            </w:pPr>
          </w:p>
        </w:tc>
        <w:tc>
          <w:tcPr>
            <w:tcW w:w="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54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00" w:type="dxa"/>
            <w:vAlign w:val="bottom"/>
            <w:shd w:val="clear" w:color="auto" w:fill="CCECFF"/>
          </w:tcPr>
          <w:p>
            <w:pPr>
              <w:spacing w:after="0"/>
              <w:rPr>
                <w:sz w:val="12"/>
                <w:szCs w:val="12"/>
                <w:color w:val="auto"/>
              </w:rPr>
            </w:pPr>
          </w:p>
        </w:tc>
      </w:tr>
    </w:tbl>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58"/>
        </w:trPr>
        <w:tc>
          <w:tcPr>
            <w:tcW w:w="2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w w:val="92"/>
              </w:rPr>
              <w:t>2018</w:t>
            </w: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2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Q4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14"/>
              <w:spacing w:after="0" w:line="141" w:lineRule="exact"/>
              <w:rPr>
                <w:sz w:val="20"/>
                <w:szCs w:val="20"/>
                <w:color w:val="auto"/>
              </w:rPr>
            </w:pPr>
            <w:r>
              <w:rPr>
                <w:rFonts w:ascii="Times New Roman" w:cs="Times New Roman" w:eastAsia="Times New Roman" w:hAnsi="Times New Roman"/>
                <w:sz w:val="13"/>
                <w:szCs w:val="13"/>
                <w:b w:val="1"/>
                <w:bCs w:val="1"/>
                <w:color w:val="auto"/>
              </w:rPr>
              <w:t>Q3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Q2</w:t>
            </w:r>
          </w:p>
        </w:tc>
        <w:tc>
          <w:tcPr>
            <w:tcW w:w="280" w:type="dxa"/>
            <w:vAlign w:val="bottom"/>
          </w:tcPr>
          <w:p>
            <w:pPr>
              <w:spacing w:after="0"/>
              <w:rPr>
                <w:sz w:val="12"/>
                <w:szCs w:val="12"/>
                <w:color w:val="auto"/>
              </w:rPr>
            </w:pPr>
          </w:p>
        </w:tc>
        <w:tc>
          <w:tcPr>
            <w:tcW w:w="880" w:type="dxa"/>
            <w:vAlign w:val="bottom"/>
          </w:tcPr>
          <w:p>
            <w:pPr>
              <w:jc w:val="right"/>
              <w:ind w:right="434"/>
              <w:spacing w:after="0" w:line="141" w:lineRule="exact"/>
              <w:rPr>
                <w:sz w:val="20"/>
                <w:szCs w:val="20"/>
                <w:color w:val="auto"/>
              </w:rPr>
            </w:pPr>
            <w:r>
              <w:rPr>
                <w:rFonts w:ascii="Times New Roman" w:cs="Times New Roman" w:eastAsia="Times New Roman" w:hAnsi="Times New Roman"/>
                <w:sz w:val="13"/>
                <w:szCs w:val="13"/>
                <w:b w:val="1"/>
                <w:bCs w:val="1"/>
                <w:color w:val="auto"/>
              </w:rPr>
              <w:t>Q1</w:t>
            </w:r>
          </w:p>
        </w:tc>
        <w:tc>
          <w:tcPr>
            <w:tcW w:w="100" w:type="dxa"/>
            <w:vAlign w:val="bottom"/>
          </w:tcPr>
          <w:p>
            <w:pPr>
              <w:spacing w:after="0"/>
              <w:rPr>
                <w:sz w:val="12"/>
                <w:szCs w:val="12"/>
                <w:color w:val="auto"/>
              </w:rPr>
            </w:pPr>
          </w:p>
        </w:tc>
      </w:tr>
      <w:tr>
        <w:trPr>
          <w:trHeight w:val="141"/>
        </w:trPr>
        <w:tc>
          <w:tcPr>
            <w:tcW w:w="4820" w:type="dxa"/>
            <w:vAlign w:val="bottom"/>
            <w:tcBorders>
              <w:top w:val="single" w:sz="8" w:color="CCECFF"/>
            </w:tcBorders>
            <w:gridSpan w:val="2"/>
            <w:shd w:val="clear" w:color="auto" w:fill="CCECFF"/>
          </w:tcPr>
          <w:p>
            <w:pPr>
              <w:spacing w:after="0" w:line="141" w:lineRule="exact"/>
              <w:rPr>
                <w:sz w:val="20"/>
                <w:szCs w:val="20"/>
                <w:color w:val="auto"/>
              </w:rPr>
            </w:pPr>
            <w:r>
              <w:rPr>
                <w:rFonts w:ascii="Times New Roman" w:cs="Times New Roman" w:eastAsia="Times New Roman" w:hAnsi="Times New Roman"/>
                <w:sz w:val="13"/>
                <w:szCs w:val="13"/>
                <w:color w:val="auto"/>
              </w:rPr>
              <w:t>Total investment income</w:t>
            </w:r>
          </w:p>
        </w:tc>
        <w:tc>
          <w:tcPr>
            <w:tcW w:w="100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21,339</w:t>
            </w:r>
          </w:p>
        </w:tc>
        <w:tc>
          <w:tcPr>
            <w:tcW w:w="1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19,529</w:t>
            </w:r>
          </w:p>
        </w:tc>
        <w:tc>
          <w:tcPr>
            <w:tcW w:w="2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16,501</w:t>
            </w:r>
          </w:p>
        </w:tc>
        <w:tc>
          <w:tcPr>
            <w:tcW w:w="24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jc w:val="right"/>
              <w:ind w:right="1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C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14,836</w:t>
            </w: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(1,940)</w:t>
            </w:r>
          </w:p>
        </w:tc>
      </w:tr>
      <w:tr>
        <w:trPr>
          <w:trHeight w:val="149"/>
        </w:trPr>
        <w:tc>
          <w:tcPr>
            <w:tcW w:w="4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realized and unrealized (loss) gain</w:t>
            </w:r>
          </w:p>
        </w:tc>
        <w:tc>
          <w:tcPr>
            <w:tcW w:w="10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1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(6,867)</w:t>
            </w: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6,190</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3,859</w:t>
            </w:r>
          </w:p>
        </w:tc>
        <w:tc>
          <w:tcPr>
            <w:tcW w:w="100" w:type="dxa"/>
            <w:vAlign w:val="bottom"/>
            <w:shd w:val="clear" w:color="auto" w:fill="CCECFF"/>
          </w:tcPr>
          <w:p>
            <w:pPr>
              <w:spacing w:after="0"/>
              <w:rPr>
                <w:sz w:val="12"/>
                <w:szCs w:val="12"/>
                <w:color w:val="auto"/>
              </w:rPr>
            </w:pPr>
          </w:p>
        </w:tc>
      </w:tr>
      <w:tr>
        <w:trPr>
          <w:trHeight w:val="149"/>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100" w:type="dxa"/>
            <w:vAlign w:val="bottom"/>
          </w:tcPr>
          <w:p>
            <w:pPr>
              <w:spacing w:after="0"/>
              <w:rPr>
                <w:sz w:val="12"/>
                <w:szCs w:val="12"/>
                <w:color w:val="auto"/>
              </w:rPr>
            </w:pPr>
          </w:p>
        </w:tc>
      </w:tr>
      <w:tr>
        <w:trPr>
          <w:trHeight w:val="149"/>
        </w:trPr>
        <w:tc>
          <w:tcPr>
            <w:tcW w:w="4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increase in net assets resulting from operations per common share *</w:t>
            </w:r>
          </w:p>
        </w:tc>
        <w:tc>
          <w:tcPr>
            <w:tcW w:w="10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00" w:type="dxa"/>
            <w:vAlign w:val="bottom"/>
            <w:shd w:val="clear" w:color="auto" w:fill="CCECFF"/>
          </w:tcPr>
          <w:p>
            <w:pPr>
              <w:spacing w:after="0"/>
              <w:rPr>
                <w:sz w:val="12"/>
                <w:szCs w:val="12"/>
                <w:color w:val="auto"/>
              </w:rPr>
            </w:pPr>
          </w:p>
        </w:tc>
      </w:tr>
      <w:tr>
        <w:trPr>
          <w:trHeight w:val="149"/>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asset value per share at the end of the quarter</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100" w:type="dxa"/>
            <w:vAlign w:val="bottom"/>
          </w:tcPr>
          <w:p>
            <w:pPr>
              <w:spacing w:after="0"/>
              <w:rPr>
                <w:sz w:val="12"/>
                <w:szCs w:val="12"/>
                <w:color w:val="auto"/>
              </w:rPr>
            </w:pPr>
          </w:p>
        </w:tc>
      </w:tr>
      <w:tr>
        <w:trPr>
          <w:trHeight w:val="149"/>
        </w:trPr>
        <w:tc>
          <w:tcPr>
            <w:tcW w:w="4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Market value per share at the end of the quarter</w:t>
            </w:r>
          </w:p>
        </w:tc>
        <w:tc>
          <w:tcPr>
            <w:tcW w:w="1700" w:type="dxa"/>
            <w:vAlign w:val="bottom"/>
            <w:gridSpan w:val="2"/>
            <w:shd w:val="clear" w:color="auto" w:fill="CCECFF"/>
          </w:tcPr>
          <w:p>
            <w:pPr>
              <w:jc w:val="right"/>
              <w:ind w:right="579"/>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40" w:type="dxa"/>
            <w:vAlign w:val="bottom"/>
            <w:shd w:val="clear" w:color="auto" w:fill="CCECFF"/>
          </w:tcPr>
          <w:p>
            <w:pPr>
              <w:spacing w:after="0"/>
              <w:rPr>
                <w:sz w:val="12"/>
                <w:szCs w:val="12"/>
                <w:color w:val="auto"/>
              </w:rPr>
            </w:pPr>
          </w:p>
        </w:tc>
        <w:tc>
          <w:tcPr>
            <w:tcW w:w="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540" w:type="dxa"/>
            <w:vAlign w:val="bottom"/>
            <w:gridSpan w:val="2"/>
            <w:shd w:val="clear" w:color="auto" w:fill="CCEC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00" w:type="dxa"/>
            <w:vAlign w:val="bottom"/>
            <w:shd w:val="clear" w:color="auto" w:fill="CCECFF"/>
          </w:tcPr>
          <w:p>
            <w:pPr>
              <w:spacing w:after="0"/>
              <w:rPr>
                <w:sz w:val="12"/>
                <w:szCs w:val="12"/>
                <w:color w:val="auto"/>
              </w:rPr>
            </w:pPr>
          </w:p>
        </w:tc>
      </w:tr>
      <w:tr>
        <w:trPr>
          <w:trHeight w:val="50"/>
        </w:trPr>
        <w:tc>
          <w:tcPr>
            <w:tcW w:w="2120" w:type="dxa"/>
            <w:vAlign w:val="bottom"/>
            <w:tcBorders>
              <w:bottom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29" w:lineRule="exact"/>
        <w:rPr>
          <w:sz w:val="20"/>
          <w:szCs w:val="20"/>
          <w:color w:val="auto"/>
        </w:rPr>
      </w:pPr>
    </w:p>
    <w:p>
      <w:pPr>
        <w:ind w:left="361" w:hanging="361"/>
        <w:spacing w:after="0"/>
        <w:tabs>
          <w:tab w:leader="none" w:pos="361" w:val="left"/>
        </w:tabs>
        <w:numPr>
          <w:ilvl w:val="0"/>
          <w:numId w:val="8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Based on the weighted average shares outstanding for the respective periods.</w:t>
      </w:r>
    </w:p>
    <w:p>
      <w:pPr>
        <w:spacing w:after="0" w:line="256" w:lineRule="exact"/>
        <w:rPr>
          <w:sz w:val="20"/>
          <w:szCs w:val="20"/>
          <w:color w:val="auto"/>
        </w:rPr>
      </w:pPr>
    </w:p>
    <w:p>
      <w:pPr>
        <w:ind w:left="1"/>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3"/>
          <w:szCs w:val="13"/>
          <w:b w:val="1"/>
          <w:bCs w:val="1"/>
          <w:color w:val="auto"/>
        </w:rPr>
        <w:t>Changes in and Disagreements with Accountants on Accounting and Financial Disclosure</w:t>
      </w:r>
    </w:p>
    <w:p>
      <w:pPr>
        <w:spacing w:after="0" w:line="125"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None.</w:t>
      </w:r>
    </w:p>
    <w:p>
      <w:pPr>
        <w:spacing w:after="0" w:line="121" w:lineRule="exact"/>
        <w:rPr>
          <w:sz w:val="20"/>
          <w:szCs w:val="20"/>
          <w:color w:val="auto"/>
        </w:rPr>
      </w:pPr>
    </w:p>
    <w:p>
      <w:pPr>
        <w:ind w:left="1"/>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(a) Evaluation of Disclosure Controls and Procedures</w:t>
      </w:r>
    </w:p>
    <w:p>
      <w:pPr>
        <w:spacing w:after="0" w:line="115" w:lineRule="exact"/>
        <w:rPr>
          <w:sz w:val="20"/>
          <w:szCs w:val="20"/>
          <w:color w:val="auto"/>
        </w:rPr>
      </w:pPr>
    </w:p>
    <w:p>
      <w:pPr>
        <w:ind w:left="1" w:firstLine="439"/>
        <w:spacing w:after="0"/>
        <w:rPr>
          <w:sz w:val="20"/>
          <w:szCs w:val="20"/>
          <w:color w:val="auto"/>
        </w:rPr>
      </w:pPr>
      <w:r>
        <w:rPr>
          <w:rFonts w:ascii="Times New Roman" w:cs="Times New Roman" w:eastAsia="Times New Roman" w:hAnsi="Times New Roman"/>
          <w:sz w:val="13"/>
          <w:szCs w:val="13"/>
          <w:color w:val="auto"/>
        </w:rPr>
        <w:t>As of September 30, 2020,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(b) Management’s Report on Internal Control Over Financial Reporting</w:t>
      </w:r>
    </w:p>
    <w:p>
      <w:pPr>
        <w:spacing w:after="0" w:line="127"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Management’s Report on Internal Control Over Financial Reporting, which appears on page 53 of this Report, is incorporated by reference herein.</w:t>
      </w:r>
    </w:p>
    <w:p>
      <w:pPr>
        <w:spacing w:after="0" w:line="1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(c) Changes in Internal Controls Over Financial Reporting</w:t>
      </w:r>
    </w:p>
    <w:p>
      <w:pPr>
        <w:spacing w:after="0" w:line="127" w:lineRule="exact"/>
        <w:rPr>
          <w:sz w:val="20"/>
          <w:szCs w:val="20"/>
          <w:color w:val="auto"/>
        </w:rPr>
      </w:pPr>
    </w:p>
    <w:p>
      <w:pPr>
        <w:ind w:left="1" w:right="120" w:firstLine="439"/>
        <w:spacing w:after="0" w:line="254"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90" w:lineRule="exact"/>
        <w:rPr>
          <w:sz w:val="20"/>
          <w:szCs w:val="20"/>
          <w:color w:val="auto"/>
        </w:rPr>
      </w:pPr>
    </w:p>
    <w:p>
      <w:pPr>
        <w:ind w:left="1"/>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25"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3"/>
          <w:szCs w:val="13"/>
          <w:color w:val="auto"/>
        </w:rPr>
        <w:t>None.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254" w:right="33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251" w:lineRule="exact"/>
        <w:rPr>
          <w:sz w:val="20"/>
          <w:szCs w:val="20"/>
          <w:color w:val="auto"/>
        </w:rPr>
      </w:pPr>
    </w:p>
    <w:p>
      <w:pPr>
        <w:ind w:firstLine="439"/>
        <w:spacing w:after="0" w:line="237" w:lineRule="auto"/>
        <w:rPr>
          <w:sz w:val="20"/>
          <w:szCs w:val="20"/>
          <w:color w:val="auto"/>
        </w:rPr>
      </w:pPr>
      <w:r>
        <w:rPr>
          <w:rFonts w:ascii="Times New Roman" w:cs="Times New Roman" w:eastAsia="Times New Roman" w:hAnsi="Times New Roman"/>
          <w:sz w:val="13"/>
          <w:szCs w:val="13"/>
          <w:color w:val="auto"/>
        </w:rPr>
        <w:t>We will file a definitive Proxy Statement for our 2021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10.</w:t>
      </w:r>
      <w:r>
        <w:rPr>
          <w:sz w:val="20"/>
          <w:szCs w:val="20"/>
          <w:color w:val="auto"/>
        </w:rPr>
        <w:tab/>
      </w:r>
      <w:r>
        <w:rPr>
          <w:rFonts w:ascii="Times New Roman" w:cs="Times New Roman" w:eastAsia="Times New Roman" w:hAnsi="Times New Roman"/>
          <w:sz w:val="13"/>
          <w:szCs w:val="13"/>
          <w:b w:val="1"/>
          <w:bCs w:val="1"/>
          <w:color w:val="auto"/>
        </w:rPr>
        <w:t>Directors, Executive Officers and Corporate Governance</w:t>
      </w:r>
    </w:p>
    <w:p>
      <w:pPr>
        <w:spacing w:after="0" w:line="125"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The information required by Item 10 is hereby incorporated by reference from our definitive Proxy Statement relating to our 2021 Annual Meeting of Stockholders, to be filed with the SEC within 120 days following the end of our fiscal year.</w:t>
      </w:r>
    </w:p>
    <w:p>
      <w:pPr>
        <w:spacing w:after="0" w:line="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125"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The information required by Item 11 is hereby incorporated by reference from our definitive Proxy Statement relating to our 2021 Annual Meeting of Stockholders, to be filed with the SEC within 120 days following the end of our fiscal year.</w:t>
      </w:r>
    </w:p>
    <w:p>
      <w:pPr>
        <w:spacing w:after="0" w:line="7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12.</w:t>
      </w:r>
      <w:r>
        <w:rPr>
          <w:sz w:val="20"/>
          <w:szCs w:val="20"/>
          <w:color w:val="auto"/>
        </w:rPr>
        <w:tab/>
      </w:r>
      <w:r>
        <w:rPr>
          <w:rFonts w:ascii="Times New Roman" w:cs="Times New Roman" w:eastAsia="Times New Roman" w:hAnsi="Times New Roman"/>
          <w:sz w:val="13"/>
          <w:szCs w:val="13"/>
          <w:b w:val="1"/>
          <w:bCs w:val="1"/>
          <w:color w:val="auto"/>
        </w:rPr>
        <w:t>Security Ownership of Certain Beneficial Owners and Management and Related Stockholder Matters</w:t>
      </w:r>
    </w:p>
    <w:p>
      <w:pPr>
        <w:spacing w:after="0" w:line="125"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The information required by Item 12 is hereby incorporated by reference from our definitive Proxy Statement relating to our 2021 Annual Meeting of Stockholders, to be filed with the SEC within 120 days following the end of our fiscal year.</w:t>
      </w:r>
    </w:p>
    <w:p>
      <w:pPr>
        <w:spacing w:after="0" w:line="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13.</w:t>
      </w:r>
      <w:r>
        <w:rPr>
          <w:sz w:val="20"/>
          <w:szCs w:val="20"/>
          <w:color w:val="auto"/>
        </w:rPr>
        <w:tab/>
      </w:r>
      <w:r>
        <w:rPr>
          <w:rFonts w:ascii="Times New Roman" w:cs="Times New Roman" w:eastAsia="Times New Roman" w:hAnsi="Times New Roman"/>
          <w:sz w:val="13"/>
          <w:szCs w:val="13"/>
          <w:b w:val="1"/>
          <w:bCs w:val="1"/>
          <w:color w:val="auto"/>
        </w:rPr>
        <w:t>Certain Relationships and Related Transactions, and Director Independence</w:t>
      </w:r>
    </w:p>
    <w:p>
      <w:pPr>
        <w:spacing w:after="0" w:line="125"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The information required by Item 13 is hereby incorporated by reference from our definitive Proxy Statement relating to our 2021 Annual Meeting of Stockholders, to be filed with the SEC within 120 days following the end of our fiscal year.</w:t>
      </w:r>
    </w:p>
    <w:p>
      <w:pPr>
        <w:spacing w:after="0" w:line="9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14.</w:t>
      </w:r>
      <w:r>
        <w:rPr>
          <w:sz w:val="20"/>
          <w:szCs w:val="20"/>
          <w:color w:val="auto"/>
        </w:rPr>
        <w:tab/>
      </w:r>
      <w:r>
        <w:rPr>
          <w:rFonts w:ascii="Times New Roman" w:cs="Times New Roman" w:eastAsia="Times New Roman" w:hAnsi="Times New Roman"/>
          <w:sz w:val="13"/>
          <w:szCs w:val="13"/>
          <w:b w:val="1"/>
          <w:bCs w:val="1"/>
          <w:color w:val="auto"/>
        </w:rPr>
        <w:t>Principal Accountant Fees and Services</w:t>
      </w:r>
    </w:p>
    <w:p>
      <w:pPr>
        <w:spacing w:after="0" w:line="125"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3"/>
          <w:szCs w:val="13"/>
          <w:color w:val="auto"/>
        </w:rPr>
        <w:t>The information required by Item 14 is hereby incorporated by reference from our definitive Proxy Statement relating to our 2021 Annual Meeting of Stockholders, to be filed with the SEC within 120 days following the end of our fiscal year.</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24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3"/>
          <w:szCs w:val="13"/>
          <w:b w:val="1"/>
          <w:bCs w:val="1"/>
          <w:color w:val="auto"/>
        </w:rPr>
        <w:t>Item 15.</w:t>
      </w:r>
      <w:r>
        <w:rPr>
          <w:sz w:val="20"/>
          <w:szCs w:val="20"/>
          <w:color w:val="auto"/>
        </w:rPr>
        <w:tab/>
      </w:r>
      <w:r>
        <w:rPr>
          <w:rFonts w:ascii="Times New Roman" w:cs="Times New Roman" w:eastAsia="Times New Roman" w:hAnsi="Times New Roman"/>
          <w:sz w:val="13"/>
          <w:szCs w:val="13"/>
          <w:b w:val="1"/>
          <w:bCs w:val="1"/>
          <w:color w:val="auto"/>
        </w:rPr>
        <w:t>Exhibits and Financial Statement Schedules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following documents are filed as part of this Annual Report:</w:t>
      </w:r>
    </w:p>
    <w:p>
      <w:pPr>
        <w:spacing w:after="0" w:line="111" w:lineRule="exact"/>
        <w:rPr>
          <w:sz w:val="20"/>
          <w:szCs w:val="20"/>
          <w:color w:val="auto"/>
        </w:rPr>
      </w:pPr>
    </w:p>
    <w:p>
      <w:pPr>
        <w:ind w:left="900" w:hanging="356"/>
        <w:spacing w:after="0"/>
        <w:tabs>
          <w:tab w:leader="none" w:pos="9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Index to Financial Statements — Refer to Item 8 starting on page 52.</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 Schedules — None.</w:t>
      </w:r>
    </w:p>
    <w:p>
      <w:pPr>
        <w:spacing w:after="0" w:line="123" w:lineRule="exact"/>
        <w:rPr>
          <w:rFonts w:ascii="Times New Roman" w:cs="Times New Roman" w:eastAsia="Times New Roman" w:hAnsi="Times New Roman"/>
          <w:sz w:val="13"/>
          <w:szCs w:val="13"/>
          <w:color w:val="auto"/>
        </w:rPr>
      </w:pPr>
    </w:p>
    <w:p>
      <w:pPr>
        <w:ind w:left="900" w:hanging="356"/>
        <w:spacing w:after="0"/>
        <w:tabs>
          <w:tab w:leader="none" w:pos="9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3.1</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Articles of Amendment and Restatement of the Registrant (Incorporated by reference to the Registrant’s Pre-Effective Amendment No. 3 to the Registration Statement on Form N-2 (File No.</w:t>
              </w:r>
            </w:hyperlink>
          </w:p>
        </w:tc>
      </w:tr>
      <w:tr>
        <w:trPr>
          <w:trHeight w:val="116"/>
        </w:trPr>
        <w:tc>
          <w:tcPr>
            <w:tcW w:w="1040" w:type="dxa"/>
            <w:vAlign w:val="bottom"/>
          </w:tcPr>
          <w:p>
            <w:pPr>
              <w:spacing w:after="0"/>
              <w:rPr>
                <w:sz w:val="10"/>
                <w:szCs w:val="10"/>
                <w:color w:val="auto"/>
              </w:rPr>
            </w:pPr>
          </w:p>
        </w:tc>
        <w:tc>
          <w:tcPr>
            <w:tcW w:w="2100" w:type="dxa"/>
            <w:vAlign w:val="bottom"/>
            <w:tcBorders>
              <w:top w:val="single" w:sz="8" w:color="0000EE"/>
              <w:bottom w:val="single" w:sz="8" w:color="0000EE"/>
            </w:tcBorders>
            <w:gridSpan w:val="4"/>
          </w:tcPr>
          <w:p>
            <w:pPr>
              <w:spacing w:after="0" w:line="116" w:lineRule="exact"/>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333-170243), filed on March 29, 2011).</w:t>
              </w:r>
            </w:hyperlink>
          </w:p>
        </w:tc>
        <w:tc>
          <w:tcPr>
            <w:tcW w:w="7960" w:type="dxa"/>
            <w:vAlign w:val="bottom"/>
            <w:tcBorders>
              <w:top w:val="single" w:sz="8" w:color="0000EE"/>
            </w:tcBorders>
            <w:gridSpan w:val="2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3.2</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Second Amended and Restated Bylaws of the Registrant (Incorporated by reference to Exhibit 3.2 to the Registrant's Quarterly Report on Form 10-Q (File No. 814-00891), filed on May 11,</w:t>
              </w:r>
            </w:hyperlink>
          </w:p>
        </w:tc>
      </w:tr>
      <w:tr>
        <w:trPr>
          <w:trHeight w:val="116"/>
        </w:trPr>
        <w:tc>
          <w:tcPr>
            <w:tcW w:w="1040" w:type="dxa"/>
            <w:vAlign w:val="bottom"/>
          </w:tcPr>
          <w:p>
            <w:pPr>
              <w:spacing w:after="0"/>
              <w:rPr>
                <w:sz w:val="10"/>
                <w:szCs w:val="10"/>
                <w:color w:val="auto"/>
              </w:rPr>
            </w:pPr>
          </w:p>
        </w:tc>
        <w:tc>
          <w:tcPr>
            <w:tcW w:w="360" w:type="dxa"/>
            <w:vAlign w:val="bottom"/>
            <w:tcBorders>
              <w:top w:val="single" w:sz="8" w:color="0000EE"/>
              <w:bottom w:val="single" w:sz="8" w:color="0000EE"/>
            </w:tcBorders>
            <w:gridSpan w:val="2"/>
          </w:tcPr>
          <w:p>
            <w:pPr>
              <w:spacing w:after="0" w:line="116" w:lineRule="exact"/>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2020).</w:t>
              </w:r>
            </w:hyperlink>
          </w:p>
        </w:tc>
        <w:tc>
          <w:tcPr>
            <w:tcW w:w="100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1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16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9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4.1</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Form of Share Certificate (Incorporated by reference to the Registrant’s Pre-Effective Amendment No. 5 to the Registration Statement on Form N-2 (File No. 333-170243), filed on April 5,</w:t>
              </w:r>
            </w:hyperlink>
          </w:p>
        </w:tc>
      </w:tr>
      <w:tr>
        <w:trPr>
          <w:trHeight w:val="116"/>
        </w:trPr>
        <w:tc>
          <w:tcPr>
            <w:tcW w:w="104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6" w:lineRule="exact"/>
              <w:rPr>
                <w:rFonts w:ascii="Times New Roman" w:cs="Times New Roman" w:eastAsia="Times New Roman" w:hAnsi="Times New Roman"/>
                <w:sz w:val="13"/>
                <w:szCs w:val="13"/>
                <w:color w:val="0000EE"/>
                <w:w w:val="95"/>
              </w:rPr>
            </w:pPr>
            <w:hyperlink r:id="rId123">
              <w:r>
                <w:rPr>
                  <w:rFonts w:ascii="Times New Roman" w:cs="Times New Roman" w:eastAsia="Times New Roman" w:hAnsi="Times New Roman"/>
                  <w:sz w:val="13"/>
                  <w:szCs w:val="13"/>
                  <w:color w:val="0000EE"/>
                  <w:w w:val="95"/>
                </w:rPr>
                <w:t>2011).</w:t>
              </w:r>
            </w:hyperlink>
          </w:p>
        </w:tc>
        <w:tc>
          <w:tcPr>
            <w:tcW w:w="2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12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16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9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4.2</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Deed of Trust dated November 23, 2017, between PennantPark Floating Rate Capital Ltd. and Mishmeret Trust Company, Ltd. (Incorporated by reference to Exhibit (d)(8) to the Registrant’s</w:t>
              </w:r>
            </w:hyperlink>
          </w:p>
        </w:tc>
      </w:tr>
      <w:tr>
        <w:trPr>
          <w:trHeight w:val="116"/>
        </w:trPr>
        <w:tc>
          <w:tcPr>
            <w:tcW w:w="1040" w:type="dxa"/>
            <w:vAlign w:val="bottom"/>
          </w:tcPr>
          <w:p>
            <w:pPr>
              <w:spacing w:after="0"/>
              <w:rPr>
                <w:sz w:val="10"/>
                <w:szCs w:val="10"/>
                <w:color w:val="auto"/>
              </w:rPr>
            </w:pPr>
          </w:p>
        </w:tc>
        <w:tc>
          <w:tcPr>
            <w:tcW w:w="10040" w:type="dxa"/>
            <w:vAlign w:val="bottom"/>
            <w:tcBorders>
              <w:top w:val="single" w:sz="8" w:color="0000EE"/>
            </w:tcBorders>
            <w:gridSpan w:val="27"/>
          </w:tcPr>
          <w:p>
            <w:pPr>
              <w:spacing w:after="0" w:line="116" w:lineRule="exact"/>
              <w:rPr>
                <w:rFonts w:ascii="Times New Roman" w:cs="Times New Roman" w:eastAsia="Times New Roman" w:hAnsi="Times New Roman"/>
                <w:sz w:val="13"/>
                <w:szCs w:val="13"/>
                <w:color w:val="0000EE"/>
              </w:rPr>
            </w:pPr>
            <w:hyperlink r:id="rId124">
              <w:r>
                <w:rPr>
                  <w:rFonts w:ascii="Times New Roman" w:cs="Times New Roman" w:eastAsia="Times New Roman" w:hAnsi="Times New Roman"/>
                  <w:sz w:val="13"/>
                  <w:szCs w:val="13"/>
                  <w:color w:val="0000EE"/>
                </w:rPr>
                <w:t>Post-Effective Amendment No. 3 to the Registration Statement on Form N-2 (File No. 333- 215111), filed on December 13, 2017).</w:t>
              </w:r>
            </w:hyperlink>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4.3</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Indenture, dated as of September 19, 2019, by and among PennantPark CLO I, Ltd., as issuer, PennantPark CLO I, LLC, as co-issuer, and U.S. Bank National Association, as trustee and as</w:t>
              </w:r>
            </w:hyperlink>
          </w:p>
        </w:tc>
      </w:tr>
      <w:tr>
        <w:trPr>
          <w:trHeight w:val="164"/>
        </w:trPr>
        <w:tc>
          <w:tcPr>
            <w:tcW w:w="1040" w:type="dxa"/>
            <w:vAlign w:val="bottom"/>
          </w:tcPr>
          <w:p>
            <w:pPr>
              <w:spacing w:after="0"/>
              <w:rPr>
                <w:sz w:val="14"/>
                <w:szCs w:val="14"/>
                <w:color w:val="auto"/>
              </w:rPr>
            </w:pPr>
          </w:p>
        </w:tc>
        <w:tc>
          <w:tcPr>
            <w:tcW w:w="9940" w:type="dxa"/>
            <w:vAlign w:val="bottom"/>
            <w:tcBorders>
              <w:top w:val="single" w:sz="8" w:color="0000EE"/>
            </w:tcBorders>
            <w:gridSpan w:val="22"/>
          </w:tcPr>
          <w:p>
            <w:pPr>
              <w:spacing w:after="0"/>
              <w:rPr>
                <w:rFonts w:ascii="Times New Roman" w:cs="Times New Roman" w:eastAsia="Times New Roman" w:hAnsi="Times New Roman"/>
                <w:sz w:val="13"/>
                <w:szCs w:val="13"/>
                <w:u w:val="single" w:color="auto"/>
                <w:color w:val="0000EE"/>
              </w:rPr>
            </w:pPr>
            <w:hyperlink r:id="rId125">
              <w:r>
                <w:rPr>
                  <w:rFonts w:ascii="Times New Roman" w:cs="Times New Roman" w:eastAsia="Times New Roman" w:hAnsi="Times New Roman"/>
                  <w:sz w:val="13"/>
                  <w:szCs w:val="13"/>
                  <w:u w:val="single" w:color="auto"/>
                  <w:color w:val="0000EE"/>
                </w:rPr>
                <w:t>collateral agent (Incorporated by reference to Exhibit 99.2 to the Registrant’s Current Report on Form 8-K (File No. 814-00891), filed on September 20,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4.4</w:t>
            </w:r>
          </w:p>
        </w:tc>
        <w:tc>
          <w:tcPr>
            <w:tcW w:w="10240" w:type="dxa"/>
            <w:vAlign w:val="bottom"/>
            <w:gridSpan w:val="33"/>
          </w:tcPr>
          <w:p>
            <w:pPr>
              <w:spacing w:after="0"/>
              <w:rPr>
                <w:rFonts w:ascii="Times New Roman" w:cs="Times New Roman" w:eastAsia="Times New Roman" w:hAnsi="Times New Roman"/>
                <w:sz w:val="13"/>
                <w:szCs w:val="13"/>
                <w:u w:val="single" w:color="auto"/>
                <w:color w:val="0000EE"/>
              </w:rPr>
            </w:pPr>
            <w:hyperlink r:id="rId126">
              <w:r>
                <w:rPr>
                  <w:rFonts w:ascii="Times New Roman" w:cs="Times New Roman" w:eastAsia="Times New Roman" w:hAnsi="Times New Roman"/>
                  <w:sz w:val="13"/>
                  <w:szCs w:val="13"/>
                  <w:u w:val="single" w:color="auto"/>
                  <w:color w:val="0000EE"/>
                </w:rPr>
                <w:t>Description of Securities (Incorporated by reference to Exhibit 4.4 to the Registrant’s Annual Report on Form 10-K (File No. 814-00891) filed on November 20, 2019).</w:t>
              </w:r>
            </w:hyperlink>
          </w:p>
        </w:tc>
      </w:tr>
      <w:tr>
        <w:trPr>
          <w:trHeight w:val="220"/>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10.1</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Purchase and Contribution Agreement, dated as of June 23, 2011, among PennantPark Floating Rate Capital Ltd., as the seller, and PennantPark Floating Rate Funding I, LLC, as the buyer</w:t>
              </w:r>
            </w:hyperlink>
          </w:p>
        </w:tc>
      </w:tr>
      <w:tr>
        <w:trPr>
          <w:trHeight w:val="116"/>
        </w:trPr>
        <w:tc>
          <w:tcPr>
            <w:tcW w:w="1040" w:type="dxa"/>
            <w:vAlign w:val="bottom"/>
          </w:tcPr>
          <w:p>
            <w:pPr>
              <w:spacing w:after="0"/>
              <w:rPr>
                <w:sz w:val="10"/>
                <w:szCs w:val="10"/>
                <w:color w:val="auto"/>
              </w:rPr>
            </w:pPr>
          </w:p>
        </w:tc>
        <w:tc>
          <w:tcPr>
            <w:tcW w:w="9920" w:type="dxa"/>
            <w:vAlign w:val="bottom"/>
            <w:tcBorders>
              <w:top w:val="single" w:sz="8" w:color="0000EE"/>
            </w:tcBorders>
            <w:gridSpan w:val="21"/>
          </w:tcPr>
          <w:p>
            <w:pPr>
              <w:spacing w:after="0" w:line="116" w:lineRule="exact"/>
              <w:rPr>
                <w:rFonts w:ascii="Times New Roman" w:cs="Times New Roman" w:eastAsia="Times New Roman" w:hAnsi="Times New Roman"/>
                <w:sz w:val="13"/>
                <w:szCs w:val="13"/>
                <w:color w:val="0000EE"/>
              </w:rPr>
            </w:pPr>
            <w:hyperlink r:id="rId127">
              <w:r>
                <w:rPr>
                  <w:rFonts w:ascii="Times New Roman" w:cs="Times New Roman" w:eastAsia="Times New Roman" w:hAnsi="Times New Roman"/>
                  <w:sz w:val="13"/>
                  <w:szCs w:val="13"/>
                  <w:color w:val="0000EE"/>
                </w:rPr>
                <w:t>(Incorporated by reference to Exhibit 10.2 to the Registrant’s Current Report on Form 8-K, filed on June 29, 2011).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10.2</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8">
              <w:r>
                <w:rPr>
                  <w:rFonts w:ascii="Times New Roman" w:cs="Times New Roman" w:eastAsia="Times New Roman" w:hAnsi="Times New Roman"/>
                  <w:sz w:val="13"/>
                  <w:szCs w:val="13"/>
                  <w:color w:val="0000EE"/>
                </w:rPr>
                <w:t>First Amendment to Purchase and Contribution Agreement, dated as of January 16, 2018, between PennantPark Floating Rate Capital Ltd., as the seller, and PennantPark Floating Rate Funding</w:t>
              </w:r>
            </w:hyperlink>
          </w:p>
        </w:tc>
      </w:tr>
      <w:tr>
        <w:trPr>
          <w:trHeight w:val="164"/>
        </w:trPr>
        <w:tc>
          <w:tcPr>
            <w:tcW w:w="1040" w:type="dxa"/>
            <w:vAlign w:val="bottom"/>
          </w:tcPr>
          <w:p>
            <w:pPr>
              <w:spacing w:after="0"/>
              <w:rPr>
                <w:sz w:val="14"/>
                <w:szCs w:val="14"/>
                <w:color w:val="auto"/>
              </w:rPr>
            </w:pPr>
          </w:p>
        </w:tc>
        <w:tc>
          <w:tcPr>
            <w:tcW w:w="10180" w:type="dxa"/>
            <w:vAlign w:val="bottom"/>
            <w:tcBorders>
              <w:top w:val="single" w:sz="8" w:color="0000EE"/>
            </w:tcBorders>
            <w:gridSpan w:val="31"/>
          </w:tcPr>
          <w:p>
            <w:pPr>
              <w:spacing w:after="0"/>
              <w:rPr>
                <w:rFonts w:ascii="Times New Roman" w:cs="Times New Roman" w:eastAsia="Times New Roman" w:hAnsi="Times New Roman"/>
                <w:sz w:val="13"/>
                <w:szCs w:val="13"/>
                <w:u w:val="single" w:color="auto"/>
                <w:color w:val="0000EE"/>
              </w:rPr>
            </w:pPr>
            <w:hyperlink r:id="rId128">
              <w:r>
                <w:rPr>
                  <w:rFonts w:ascii="Times New Roman" w:cs="Times New Roman" w:eastAsia="Times New Roman" w:hAnsi="Times New Roman"/>
                  <w:sz w:val="13"/>
                  <w:szCs w:val="13"/>
                  <w:u w:val="single" w:color="auto"/>
                  <w:color w:val="0000EE"/>
                </w:rPr>
                <w:t>I, LLC, as the buyer (Incorporated by reference to Exhibit 10.4 to the Registrant’s Quarterly Report on Form 10-Q (File No. 814-00891), filed on February 8, 2018).</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10.3</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29">
              <w:r>
                <w:rPr>
                  <w:rFonts w:ascii="Times New Roman" w:cs="Times New Roman" w:eastAsia="Times New Roman" w:hAnsi="Times New Roman"/>
                  <w:sz w:val="13"/>
                  <w:szCs w:val="13"/>
                  <w:color w:val="0000EE"/>
                </w:rPr>
                <w:t>Form of Administration Agreement between the Registrant and PennantPark Investment Administration, LLC (Incorporated by reference to Exhibit 99(k)(2) to the Registrant’s Pre-Effective</w:t>
              </w:r>
            </w:hyperlink>
          </w:p>
        </w:tc>
      </w:tr>
      <w:tr>
        <w:trPr>
          <w:trHeight w:val="116"/>
        </w:trPr>
        <w:tc>
          <w:tcPr>
            <w:tcW w:w="1040" w:type="dxa"/>
            <w:vAlign w:val="bottom"/>
          </w:tcPr>
          <w:p>
            <w:pPr>
              <w:spacing w:after="0"/>
              <w:rPr>
                <w:sz w:val="10"/>
                <w:szCs w:val="10"/>
                <w:color w:val="auto"/>
              </w:rPr>
            </w:pPr>
          </w:p>
        </w:tc>
        <w:tc>
          <w:tcPr>
            <w:tcW w:w="5920" w:type="dxa"/>
            <w:vAlign w:val="bottom"/>
            <w:tcBorders>
              <w:top w:val="single" w:sz="8" w:color="0000EE"/>
              <w:bottom w:val="single" w:sz="8" w:color="0000EE"/>
            </w:tcBorders>
            <w:gridSpan w:val="7"/>
          </w:tcPr>
          <w:p>
            <w:pPr>
              <w:spacing w:after="0" w:line="116" w:lineRule="exact"/>
              <w:rPr>
                <w:rFonts w:ascii="Times New Roman" w:cs="Times New Roman" w:eastAsia="Times New Roman" w:hAnsi="Times New Roman"/>
                <w:sz w:val="13"/>
                <w:szCs w:val="13"/>
                <w:color w:val="0000EE"/>
              </w:rPr>
            </w:pPr>
            <w:hyperlink r:id="rId129">
              <w:r>
                <w:rPr>
                  <w:rFonts w:ascii="Times New Roman" w:cs="Times New Roman" w:eastAsia="Times New Roman" w:hAnsi="Times New Roman"/>
                  <w:sz w:val="13"/>
                  <w:szCs w:val="13"/>
                  <w:color w:val="0000EE"/>
                </w:rPr>
                <w:t>Amendment No. 3 to the Registration Statement on Form N-2 (File No. 333-170243), filed on March 29, 2011).</w:t>
              </w:r>
            </w:hyperlink>
          </w:p>
        </w:tc>
        <w:tc>
          <w:tcPr>
            <w:tcW w:w="4100" w:type="dxa"/>
            <w:vAlign w:val="bottom"/>
            <w:tcBorders>
              <w:top w:val="single" w:sz="8" w:color="0000EE"/>
            </w:tcBorders>
            <w:gridSpan w:val="19"/>
          </w:tcPr>
          <w:p>
            <w:pPr>
              <w:spacing w:after="0"/>
              <w:rPr>
                <w:sz w:val="10"/>
                <w:szCs w:val="10"/>
                <w:color w:val="auto"/>
              </w:rPr>
            </w:pPr>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10.4</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Dividend Reinvestment Plan (Incorporated by reference to Exhibit 99(e) to the Registrant’s Pre-Effective Amendment No. 3 to the Registration Statement on Form N-2 (File No. 333-170243),</w:t>
              </w:r>
            </w:hyperlink>
          </w:p>
        </w:tc>
      </w:tr>
      <w:tr>
        <w:trPr>
          <w:trHeight w:val="116"/>
        </w:trPr>
        <w:tc>
          <w:tcPr>
            <w:tcW w:w="1040" w:type="dxa"/>
            <w:vAlign w:val="bottom"/>
          </w:tcPr>
          <w:p>
            <w:pPr>
              <w:spacing w:after="0"/>
              <w:rPr>
                <w:sz w:val="10"/>
                <w:szCs w:val="10"/>
                <w:color w:val="auto"/>
              </w:rPr>
            </w:pPr>
          </w:p>
        </w:tc>
        <w:tc>
          <w:tcPr>
            <w:tcW w:w="1360" w:type="dxa"/>
            <w:vAlign w:val="bottom"/>
            <w:tcBorders>
              <w:top w:val="single" w:sz="8" w:color="0000EE"/>
              <w:bottom w:val="single" w:sz="8" w:color="0000EE"/>
            </w:tcBorders>
            <w:gridSpan w:val="3"/>
          </w:tcPr>
          <w:p>
            <w:pPr>
              <w:spacing w:after="0" w:line="116" w:lineRule="exact"/>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filed on March 29, 2011).</w:t>
              </w:r>
            </w:hyperlink>
          </w:p>
        </w:tc>
        <w:tc>
          <w:tcPr>
            <w:tcW w:w="8780" w:type="dxa"/>
            <w:vAlign w:val="bottom"/>
            <w:tcBorders>
              <w:top w:val="single" w:sz="8" w:color="0000EE"/>
            </w:tcBorders>
            <w:gridSpan w:val="27"/>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10.5</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Second Amended and Restated Investment Advisory Agreement, dated as of February 2, 2016, between PennantPark Floating Rate Capital Ltd. and PennantPark Investment Advisers, LLC</w:t>
              </w:r>
            </w:hyperlink>
          </w:p>
        </w:tc>
      </w:tr>
      <w:tr>
        <w:trPr>
          <w:trHeight w:val="116"/>
        </w:trPr>
        <w:tc>
          <w:tcPr>
            <w:tcW w:w="1040" w:type="dxa"/>
            <w:vAlign w:val="bottom"/>
          </w:tcPr>
          <w:p>
            <w:pPr>
              <w:spacing w:after="0"/>
              <w:rPr>
                <w:sz w:val="10"/>
                <w:szCs w:val="10"/>
                <w:color w:val="auto"/>
              </w:rPr>
            </w:pPr>
          </w:p>
        </w:tc>
        <w:tc>
          <w:tcPr>
            <w:tcW w:w="9980" w:type="dxa"/>
            <w:vAlign w:val="bottom"/>
            <w:tcBorders>
              <w:top w:val="single" w:sz="8" w:color="0000EE"/>
            </w:tcBorders>
            <w:gridSpan w:val="24"/>
          </w:tcPr>
          <w:p>
            <w:pPr>
              <w:spacing w:after="0" w:line="116" w:lineRule="exact"/>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(Incorporated by reference to the Registrant’s Quarterly Report on Form 10-Q (File No. 814-00891), filed on February 4, 2016).</w:t>
              </w:r>
            </w:hyperlink>
          </w:p>
        </w:tc>
        <w:tc>
          <w:tcPr>
            <w:tcW w:w="14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10.6</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Limited Liability Company Agreement of PennantPark Senior Secured Loan Fund I LLC, dated as of May 4, 2017, by and between PennantPark Floating Rate Capital Ltd. and Trinity</w:t>
              </w:r>
            </w:hyperlink>
          </w:p>
        </w:tc>
      </w:tr>
      <w:tr>
        <w:trPr>
          <w:trHeight w:val="164"/>
        </w:trPr>
        <w:tc>
          <w:tcPr>
            <w:tcW w:w="1040" w:type="dxa"/>
            <w:vAlign w:val="bottom"/>
          </w:tcPr>
          <w:p>
            <w:pPr>
              <w:spacing w:after="0"/>
              <w:rPr>
                <w:sz w:val="14"/>
                <w:szCs w:val="14"/>
                <w:color w:val="auto"/>
              </w:rPr>
            </w:pPr>
          </w:p>
        </w:tc>
        <w:tc>
          <w:tcPr>
            <w:tcW w:w="9680" w:type="dxa"/>
            <w:vAlign w:val="bottom"/>
            <w:tcBorders>
              <w:top w:val="single" w:sz="8" w:color="0000EE"/>
            </w:tcBorders>
            <w:gridSpan w:val="16"/>
          </w:tcPr>
          <w:p>
            <w:pPr>
              <w:spacing w:after="0"/>
              <w:rPr>
                <w:rFonts w:ascii="Times New Roman" w:cs="Times New Roman" w:eastAsia="Times New Roman" w:hAnsi="Times New Roman"/>
                <w:sz w:val="13"/>
                <w:szCs w:val="13"/>
                <w:u w:val="single" w:color="auto"/>
                <w:color w:val="0000EE"/>
              </w:rPr>
            </w:pPr>
            <w:hyperlink r:id="rId132">
              <w:r>
                <w:rPr>
                  <w:rFonts w:ascii="Times New Roman" w:cs="Times New Roman" w:eastAsia="Times New Roman" w:hAnsi="Times New Roman"/>
                  <w:sz w:val="13"/>
                  <w:szCs w:val="13"/>
                  <w:u w:val="single" w:color="auto"/>
                  <w:color w:val="0000EE"/>
                </w:rPr>
                <w:t>Universal Insurance Company (Incorporated by reference to Exhibit 10.1 to the Registrant’s Quarterly Report on Form 10-Q (File No. 814-00891), filed on August 8, 2017).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6"/>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10.7</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3">
              <w:r>
                <w:rPr>
                  <w:rFonts w:ascii="Times New Roman" w:cs="Times New Roman" w:eastAsia="Times New Roman" w:hAnsi="Times New Roman"/>
                  <w:sz w:val="13"/>
                  <w:szCs w:val="13"/>
                  <w:color w:val="0000EE"/>
                </w:rPr>
                <w:t>Indemnification Agreement, dated as of November 15, 2016, between PennantPark Floating Rate Capital Ltd. and each of the directors and officers listed on Schedule A attached thereto</w:t>
              </w:r>
            </w:hyperlink>
          </w:p>
        </w:tc>
      </w:tr>
      <w:tr>
        <w:trPr>
          <w:trHeight w:val="116"/>
        </w:trPr>
        <w:tc>
          <w:tcPr>
            <w:tcW w:w="1040" w:type="dxa"/>
            <w:vAlign w:val="bottom"/>
          </w:tcPr>
          <w:p>
            <w:pPr>
              <w:spacing w:after="0"/>
              <w:rPr>
                <w:sz w:val="10"/>
                <w:szCs w:val="10"/>
                <w:color w:val="auto"/>
              </w:rPr>
            </w:pPr>
          </w:p>
        </w:tc>
        <w:tc>
          <w:tcPr>
            <w:tcW w:w="7600" w:type="dxa"/>
            <w:vAlign w:val="bottom"/>
            <w:tcBorders>
              <w:top w:val="single" w:sz="8" w:color="0000EE"/>
              <w:bottom w:val="single" w:sz="8" w:color="0000EE"/>
            </w:tcBorders>
            <w:gridSpan w:val="13"/>
          </w:tcPr>
          <w:p>
            <w:pPr>
              <w:spacing w:after="0" w:line="116" w:lineRule="exact"/>
              <w:rPr>
                <w:rFonts w:ascii="Times New Roman" w:cs="Times New Roman" w:eastAsia="Times New Roman" w:hAnsi="Times New Roman"/>
                <w:sz w:val="13"/>
                <w:szCs w:val="13"/>
                <w:color w:val="0000EE"/>
              </w:rPr>
            </w:pPr>
            <w:hyperlink r:id="rId133">
              <w:r>
                <w:rPr>
                  <w:rFonts w:ascii="Times New Roman" w:cs="Times New Roman" w:eastAsia="Times New Roman" w:hAnsi="Times New Roman"/>
                  <w:sz w:val="13"/>
                  <w:szCs w:val="13"/>
                  <w:color w:val="0000EE"/>
                </w:rPr>
                <w:t>(Incorporated by reference to Exhibit 10.6 to the Registrant’s Annual Report on Form 10-K (File No. 814-00891) filed on November 22, 2016).</w:t>
              </w:r>
            </w:hyperlink>
          </w:p>
        </w:tc>
        <w:tc>
          <w:tcPr>
            <w:tcW w:w="2200" w:type="dxa"/>
            <w:vAlign w:val="bottom"/>
            <w:tcBorders>
              <w:top w:val="single" w:sz="8" w:color="0000EE"/>
            </w:tcBorders>
            <w:gridSpan w:val="6"/>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160" w:type="dxa"/>
            <w:vAlign w:val="bottom"/>
            <w:gridSpan w:val="6"/>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10.8</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Credit Agreement, dated as of September 19, 2019, by and among PennantPark CLO I, Ltd., as borrower, PennantPark CLO I, LLC, as co-borrower, the various financial institutions party</w:t>
              </w:r>
            </w:hyperlink>
          </w:p>
        </w:tc>
      </w:tr>
      <w:tr>
        <w:trPr>
          <w:trHeight w:val="116"/>
        </w:trPr>
        <w:tc>
          <w:tcPr>
            <w:tcW w:w="1040" w:type="dxa"/>
            <w:vAlign w:val="bottom"/>
          </w:tcPr>
          <w:p>
            <w:pPr>
              <w:spacing w:after="0"/>
              <w:rPr>
                <w:sz w:val="10"/>
                <w:szCs w:val="10"/>
                <w:color w:val="auto"/>
              </w:rPr>
            </w:pPr>
          </w:p>
        </w:tc>
        <w:tc>
          <w:tcPr>
            <w:tcW w:w="9880" w:type="dxa"/>
            <w:vAlign w:val="bottom"/>
            <w:tcBorders>
              <w:top w:val="single" w:sz="8" w:color="0000EE"/>
            </w:tcBorders>
            <w:gridSpan w:val="20"/>
          </w:tcPr>
          <w:p>
            <w:pPr>
              <w:spacing w:after="0" w:line="116" w:lineRule="exact"/>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thereto from time to time, as lenders, and U.S. Bank National Association, as collateral agent and as loan agent (Incorporated by reference to Exhibit 99.3 to the Registrant’s Current Report</w:t>
              </w:r>
            </w:hyperlink>
          </w:p>
        </w:tc>
        <w:tc>
          <w:tcPr>
            <w:tcW w:w="80" w:type="dxa"/>
            <w:vAlign w:val="bottom"/>
            <w:gridSpan w:val="3"/>
          </w:tcPr>
          <w:p>
            <w:pPr>
              <w:spacing w:after="0"/>
              <w:rPr>
                <w:sz w:val="10"/>
                <w:szCs w:val="10"/>
                <w:color w:val="auto"/>
              </w:rPr>
            </w:pPr>
          </w:p>
        </w:tc>
        <w:tc>
          <w:tcPr>
            <w:tcW w:w="280" w:type="dxa"/>
            <w:vAlign w:val="bottom"/>
            <w:gridSpan w:val="10"/>
          </w:tcPr>
          <w:p>
            <w:pPr>
              <w:ind w:left="20"/>
              <w:spacing w:after="0" w:line="116" w:lineRule="exact"/>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on</w:t>
              </w:r>
            </w:hyperlink>
          </w:p>
        </w:tc>
      </w:tr>
      <w:tr>
        <w:trPr>
          <w:trHeight w:val="116"/>
        </w:trPr>
        <w:tc>
          <w:tcPr>
            <w:tcW w:w="1040" w:type="dxa"/>
            <w:vAlign w:val="bottom"/>
          </w:tcPr>
          <w:p>
            <w:pPr>
              <w:spacing w:after="0"/>
              <w:rPr>
                <w:sz w:val="10"/>
                <w:szCs w:val="10"/>
                <w:color w:val="auto"/>
              </w:rPr>
            </w:pPr>
          </w:p>
        </w:tc>
        <w:tc>
          <w:tcPr>
            <w:tcW w:w="10120" w:type="dxa"/>
            <w:vAlign w:val="bottom"/>
            <w:tcBorders>
              <w:top w:val="single" w:sz="8" w:color="0000EE"/>
            </w:tcBorders>
            <w:gridSpan w:val="29"/>
          </w:tcPr>
          <w:p>
            <w:pPr>
              <w:spacing w:after="0" w:line="116" w:lineRule="exact"/>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Form 8-K (File No. 814-00891), filed on September 20, 2019).</w:t>
              </w:r>
            </w:hyperlink>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104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6"/>
              </w:rPr>
              <w:t>10.9</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Collateral Management Agreement, dated as of September 19, 2019, between PennantPark CLO I, Ltd., as issuer, and PennantPark Investment Advisers, LLC, as collateral manager</w:t>
              </w:r>
            </w:hyperlink>
          </w:p>
        </w:tc>
      </w:tr>
      <w:tr>
        <w:trPr>
          <w:trHeight w:val="116"/>
        </w:trPr>
        <w:tc>
          <w:tcPr>
            <w:tcW w:w="1040" w:type="dxa"/>
            <w:vAlign w:val="bottom"/>
          </w:tcPr>
          <w:p>
            <w:pPr>
              <w:spacing w:after="0"/>
              <w:rPr>
                <w:sz w:val="10"/>
                <w:szCs w:val="10"/>
                <w:color w:val="auto"/>
              </w:rPr>
            </w:pPr>
          </w:p>
        </w:tc>
        <w:tc>
          <w:tcPr>
            <w:tcW w:w="7580" w:type="dxa"/>
            <w:vAlign w:val="bottom"/>
            <w:tcBorders>
              <w:top w:val="single" w:sz="8" w:color="0000EE"/>
              <w:bottom w:val="single" w:sz="8" w:color="0000EE"/>
            </w:tcBorders>
            <w:gridSpan w:val="12"/>
          </w:tcPr>
          <w:p>
            <w:pPr>
              <w:spacing w:after="0" w:line="116" w:lineRule="exact"/>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(Incorporated by reference to Exhibit 99.4 to the Registrant’s Current Report on Form 8-K (File No. 814-00891), filed on September 20, 2019).</w:t>
              </w:r>
            </w:hyperlink>
          </w:p>
        </w:tc>
        <w:tc>
          <w:tcPr>
            <w:tcW w:w="1960" w:type="dxa"/>
            <w:vAlign w:val="bottom"/>
            <w:tcBorders>
              <w:top w:val="single" w:sz="8" w:color="0000EE"/>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5"/>
          </w:tcPr>
          <w:p>
            <w:pPr>
              <w:spacing w:after="0"/>
              <w:rPr>
                <w:sz w:val="10"/>
                <w:szCs w:val="10"/>
                <w:color w:val="auto"/>
              </w:rPr>
            </w:pPr>
          </w:p>
        </w:tc>
        <w:tc>
          <w:tcPr>
            <w:tcW w:w="240" w:type="dxa"/>
            <w:vAlign w:val="bottom"/>
            <w:gridSpan w:val="9"/>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5"/>
              </w:rPr>
              <w:t>10.10</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6">
              <w:r>
                <w:rPr>
                  <w:rFonts w:ascii="Times New Roman" w:cs="Times New Roman" w:eastAsia="Times New Roman" w:hAnsi="Times New Roman"/>
                  <w:sz w:val="13"/>
                  <w:szCs w:val="13"/>
                  <w:color w:val="0000EE"/>
                </w:rPr>
                <w:t>Master Loan Sale Agreement, dated as of September 19, 2019, among PennantPark Floating Rate Capital Ltd., as seller, PennantPark CLO I Depositor, LLC, as intermediate seller, and</w:t>
              </w:r>
            </w:hyperlink>
          </w:p>
        </w:tc>
      </w:tr>
      <w:tr>
        <w:trPr>
          <w:trHeight w:val="164"/>
        </w:trPr>
        <w:tc>
          <w:tcPr>
            <w:tcW w:w="1040" w:type="dxa"/>
            <w:vAlign w:val="bottom"/>
          </w:tcPr>
          <w:p>
            <w:pPr>
              <w:spacing w:after="0"/>
              <w:rPr>
                <w:sz w:val="14"/>
                <w:szCs w:val="14"/>
                <w:color w:val="auto"/>
              </w:rPr>
            </w:pPr>
          </w:p>
        </w:tc>
        <w:tc>
          <w:tcPr>
            <w:tcW w:w="9720" w:type="dxa"/>
            <w:vAlign w:val="bottom"/>
            <w:tcBorders>
              <w:top w:val="single" w:sz="8" w:color="0000EE"/>
            </w:tcBorders>
            <w:gridSpan w:val="17"/>
          </w:tcPr>
          <w:p>
            <w:pPr>
              <w:spacing w:after="0"/>
              <w:rPr>
                <w:rFonts w:ascii="Times New Roman" w:cs="Times New Roman" w:eastAsia="Times New Roman" w:hAnsi="Times New Roman"/>
                <w:sz w:val="13"/>
                <w:szCs w:val="13"/>
                <w:u w:val="single" w:color="auto"/>
                <w:color w:val="0000EE"/>
              </w:rPr>
            </w:pPr>
            <w:hyperlink r:id="rId136">
              <w:r>
                <w:rPr>
                  <w:rFonts w:ascii="Times New Roman" w:cs="Times New Roman" w:eastAsia="Times New Roman" w:hAnsi="Times New Roman"/>
                  <w:sz w:val="13"/>
                  <w:szCs w:val="13"/>
                  <w:u w:val="single" w:color="auto"/>
                  <w:color w:val="0000EE"/>
                </w:rPr>
                <w:t>PennantPark CLO I, Ltd., as buyer (Incorporated by reference to Exhibit 99.5 to the Registrant’s Current Report on Form 8-K (File No. 814-00891), filed on September 20, 2019).</w:t>
              </w:r>
            </w:hyperlink>
          </w:p>
        </w:tc>
        <w:tc>
          <w:tcPr>
            <w:tcW w:w="2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4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04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5"/>
              </w:rPr>
              <w:t>10.11</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7">
              <w:r>
                <w:rPr>
                  <w:rFonts w:ascii="Times New Roman" w:cs="Times New Roman" w:eastAsia="Times New Roman" w:hAnsi="Times New Roman"/>
                  <w:sz w:val="13"/>
                  <w:szCs w:val="13"/>
                  <w:color w:val="0000EE"/>
                </w:rPr>
                <w:t>Master Participation Agreement, dated as of September 19, 2019, between PennantPark Floating Rate Funding I, LLC, as seller and PennantPark CLO I, Ltd., as buyer (Incorporated by</w:t>
              </w:r>
            </w:hyperlink>
          </w:p>
        </w:tc>
      </w:tr>
      <w:tr>
        <w:trPr>
          <w:trHeight w:val="116"/>
        </w:trPr>
        <w:tc>
          <w:tcPr>
            <w:tcW w:w="1040" w:type="dxa"/>
            <w:vAlign w:val="bottom"/>
          </w:tcPr>
          <w:p>
            <w:pPr>
              <w:spacing w:after="0"/>
              <w:rPr>
                <w:sz w:val="10"/>
                <w:szCs w:val="10"/>
                <w:color w:val="auto"/>
              </w:rPr>
            </w:pPr>
          </w:p>
        </w:tc>
        <w:tc>
          <w:tcPr>
            <w:tcW w:w="6660" w:type="dxa"/>
            <w:vAlign w:val="bottom"/>
            <w:tcBorders>
              <w:top w:val="single" w:sz="8" w:color="0000EE"/>
              <w:bottom w:val="single" w:sz="8" w:color="0000EE"/>
            </w:tcBorders>
            <w:gridSpan w:val="9"/>
          </w:tcPr>
          <w:p>
            <w:pPr>
              <w:spacing w:after="0" w:line="116" w:lineRule="exact"/>
              <w:rPr>
                <w:rFonts w:ascii="Times New Roman" w:cs="Times New Roman" w:eastAsia="Times New Roman" w:hAnsi="Times New Roman"/>
                <w:sz w:val="13"/>
                <w:szCs w:val="13"/>
                <w:color w:val="0000EE"/>
              </w:rPr>
            </w:pPr>
            <w:hyperlink r:id="rId137">
              <w:r>
                <w:rPr>
                  <w:rFonts w:ascii="Times New Roman" w:cs="Times New Roman" w:eastAsia="Times New Roman" w:hAnsi="Times New Roman"/>
                  <w:sz w:val="13"/>
                  <w:szCs w:val="13"/>
                  <w:color w:val="0000EE"/>
                </w:rPr>
                <w:t>reference to Exhibit 99.6 to the Registrant’s Current Report on Form 8-K (File No. 814-00891), filed on September 20, 2019).</w:t>
              </w:r>
            </w:hyperlink>
          </w:p>
        </w:tc>
        <w:tc>
          <w:tcPr>
            <w:tcW w:w="3080" w:type="dxa"/>
            <w:vAlign w:val="bottom"/>
            <w:tcBorders>
              <w:top w:val="single" w:sz="8" w:color="0000EE"/>
            </w:tcBorders>
            <w:gridSpan w:val="9"/>
          </w:tcPr>
          <w:p>
            <w:pPr>
              <w:spacing w:after="0"/>
              <w:rPr>
                <w:sz w:val="10"/>
                <w:szCs w:val="10"/>
                <w:color w:val="auto"/>
              </w:rPr>
            </w:pPr>
          </w:p>
        </w:tc>
        <w:tc>
          <w:tcPr>
            <w:tcW w:w="220" w:type="dxa"/>
            <w:vAlign w:val="bottom"/>
            <w:gridSpan w:val="5"/>
          </w:tcPr>
          <w:p>
            <w:pPr>
              <w:spacing w:after="0"/>
              <w:rPr>
                <w:sz w:val="10"/>
                <w:szCs w:val="10"/>
                <w:color w:val="auto"/>
              </w:rPr>
            </w:pPr>
          </w:p>
        </w:tc>
        <w:tc>
          <w:tcPr>
            <w:tcW w:w="240" w:type="dxa"/>
            <w:vAlign w:val="bottom"/>
            <w:gridSpan w:val="9"/>
          </w:tcPr>
          <w:p>
            <w:pPr>
              <w:spacing w:after="0"/>
              <w:rPr>
                <w:sz w:val="10"/>
                <w:szCs w:val="10"/>
                <w:color w:val="auto"/>
              </w:rPr>
            </w:pPr>
          </w:p>
        </w:tc>
        <w:tc>
          <w:tcPr>
            <w:tcW w:w="40" w:type="dxa"/>
            <w:vAlign w:val="bottom"/>
          </w:tcPr>
          <w:p>
            <w:pPr>
              <w:spacing w:after="0"/>
              <w:rPr>
                <w:sz w:val="10"/>
                <w:szCs w:val="10"/>
                <w:color w:val="auto"/>
              </w:rPr>
            </w:pPr>
          </w:p>
        </w:tc>
      </w:tr>
      <w:tr>
        <w:trPr>
          <w:trHeight w:val="228"/>
        </w:trPr>
        <w:tc>
          <w:tcPr>
            <w:tcW w:w="104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5"/>
              </w:rPr>
              <w:t>10.12</w:t>
            </w:r>
          </w:p>
        </w:tc>
        <w:tc>
          <w:tcPr>
            <w:tcW w:w="10240" w:type="dxa"/>
            <w:vAlign w:val="bottom"/>
            <w:gridSpan w:val="33"/>
          </w:tcPr>
          <w:p>
            <w:pPr>
              <w:spacing w:after="0"/>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Fourth Amended and Restated Revolving Credit and Security Agreement, dated as of October 30, 2018, among PennantPark Floating Rate Funding I, LLC, as borrower, PennantPark</w:t>
              </w:r>
            </w:hyperlink>
          </w:p>
        </w:tc>
      </w:tr>
      <w:tr>
        <w:trPr>
          <w:trHeight w:val="116"/>
        </w:trPr>
        <w:tc>
          <w:tcPr>
            <w:tcW w:w="1040" w:type="dxa"/>
            <w:vAlign w:val="bottom"/>
          </w:tcPr>
          <w:p>
            <w:pPr>
              <w:spacing w:after="0"/>
              <w:rPr>
                <w:sz w:val="10"/>
                <w:szCs w:val="10"/>
                <w:color w:val="auto"/>
              </w:rPr>
            </w:pPr>
          </w:p>
        </w:tc>
        <w:tc>
          <w:tcPr>
            <w:tcW w:w="9620" w:type="dxa"/>
            <w:vAlign w:val="bottom"/>
            <w:tcBorders>
              <w:top w:val="single" w:sz="8" w:color="0000EE"/>
            </w:tcBorders>
            <w:gridSpan w:val="15"/>
          </w:tcPr>
          <w:p>
            <w:pPr>
              <w:spacing w:after="0" w:line="116" w:lineRule="exact"/>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Investment Advisers, LLC, as collateral manager, the lenders from time to time parties thereto, SunTrust Bank, as administrative agent, SunTrust Robinson Humphrey, Inc., as lead</w:t>
              </w:r>
            </w:hyperlink>
          </w:p>
        </w:tc>
        <w:tc>
          <w:tcPr>
            <w:tcW w:w="620" w:type="dxa"/>
            <w:vAlign w:val="bottom"/>
            <w:gridSpan w:val="18"/>
          </w:tcPr>
          <w:p>
            <w:pPr>
              <w:spacing w:after="0" w:line="116" w:lineRule="exact"/>
              <w:rPr>
                <w:rFonts w:ascii="Times New Roman" w:cs="Times New Roman" w:eastAsia="Times New Roman" w:hAnsi="Times New Roman"/>
                <w:sz w:val="13"/>
                <w:szCs w:val="13"/>
                <w:color w:val="0000EE"/>
                <w:w w:val="87"/>
              </w:rPr>
            </w:pPr>
            <w:hyperlink r:id="rId138">
              <w:r>
                <w:rPr>
                  <w:rFonts w:ascii="Times New Roman" w:cs="Times New Roman" w:eastAsia="Times New Roman" w:hAnsi="Times New Roman"/>
                  <w:sz w:val="13"/>
                  <w:szCs w:val="13"/>
                  <w:color w:val="0000EE"/>
                  <w:w w:val="87"/>
                </w:rPr>
                <w:t>arranger, and</w:t>
              </w:r>
            </w:hyperlink>
          </w:p>
        </w:tc>
      </w:tr>
      <w:tr>
        <w:trPr>
          <w:trHeight w:val="116"/>
        </w:trPr>
        <w:tc>
          <w:tcPr>
            <w:tcW w:w="1040" w:type="dxa"/>
            <w:vAlign w:val="bottom"/>
          </w:tcPr>
          <w:p>
            <w:pPr>
              <w:spacing w:after="0"/>
              <w:rPr>
                <w:sz w:val="10"/>
                <w:szCs w:val="10"/>
                <w:color w:val="auto"/>
              </w:rPr>
            </w:pPr>
          </w:p>
        </w:tc>
        <w:tc>
          <w:tcPr>
            <w:tcW w:w="10200" w:type="dxa"/>
            <w:vAlign w:val="bottom"/>
            <w:tcBorders>
              <w:top w:val="single" w:sz="8" w:color="0000EE"/>
            </w:tcBorders>
            <w:gridSpan w:val="32"/>
          </w:tcPr>
          <w:p>
            <w:pPr>
              <w:spacing w:after="0" w:line="116" w:lineRule="exact"/>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U.S. Bank National Association, as collateral agent, as collateral administrator, as backup collateral manager, and as custodian (Incorporated by reference to Exhibit 10.1 to the Registrant’s</w:t>
              </w:r>
            </w:hyperlink>
          </w:p>
        </w:tc>
        <w:tc>
          <w:tcPr>
            <w:tcW w:w="40" w:type="dxa"/>
            <w:vAlign w:val="bottom"/>
          </w:tcPr>
          <w:p>
            <w:pPr>
              <w:spacing w:after="0"/>
              <w:rPr>
                <w:sz w:val="10"/>
                <w:szCs w:val="10"/>
                <w:color w:val="auto"/>
              </w:rPr>
            </w:pPr>
          </w:p>
        </w:tc>
      </w:tr>
      <w:tr>
        <w:trPr>
          <w:trHeight w:val="116"/>
        </w:trPr>
        <w:tc>
          <w:tcPr>
            <w:tcW w:w="1040" w:type="dxa"/>
            <w:vAlign w:val="bottom"/>
          </w:tcPr>
          <w:p>
            <w:pPr>
              <w:spacing w:after="0"/>
              <w:rPr>
                <w:sz w:val="10"/>
                <w:szCs w:val="10"/>
                <w:color w:val="auto"/>
              </w:rPr>
            </w:pPr>
          </w:p>
        </w:tc>
        <w:tc>
          <w:tcPr>
            <w:tcW w:w="9960" w:type="dxa"/>
            <w:vAlign w:val="bottom"/>
            <w:tcBorders>
              <w:top w:val="single" w:sz="8" w:color="0000EE"/>
            </w:tcBorders>
            <w:gridSpan w:val="23"/>
          </w:tcPr>
          <w:p>
            <w:pPr>
              <w:spacing w:after="0" w:line="116" w:lineRule="exact"/>
              <w:rPr>
                <w:rFonts w:ascii="Times New Roman" w:cs="Times New Roman" w:eastAsia="Times New Roman" w:hAnsi="Times New Roman"/>
                <w:sz w:val="13"/>
                <w:szCs w:val="13"/>
                <w:color w:val="0000EE"/>
              </w:rPr>
            </w:pPr>
            <w:hyperlink r:id="rId138">
              <w:r>
                <w:rPr>
                  <w:rFonts w:ascii="Times New Roman" w:cs="Times New Roman" w:eastAsia="Times New Roman" w:hAnsi="Times New Roman"/>
                  <w:sz w:val="13"/>
                  <w:szCs w:val="13"/>
                  <w:color w:val="0000EE"/>
                </w:rPr>
                <w:t>Current Report on Form 8-K (File No. 814-00891), filed on November 8, 2018).</w:t>
              </w:r>
            </w:hyperlink>
          </w:p>
        </w:tc>
        <w:tc>
          <w:tcPr>
            <w:tcW w:w="280" w:type="dxa"/>
            <w:vAlign w:val="bottom"/>
            <w:gridSpan w:val="10"/>
          </w:tcPr>
          <w:p>
            <w:pPr>
              <w:spacing w:after="0"/>
              <w:rPr>
                <w:sz w:val="10"/>
                <w:szCs w:val="10"/>
                <w:color w:val="auto"/>
              </w:rPr>
            </w:pPr>
          </w:p>
        </w:tc>
      </w:tr>
      <w:tr>
        <w:trPr>
          <w:trHeight w:val="342"/>
        </w:trPr>
        <w:tc>
          <w:tcPr>
            <w:tcW w:w="1040" w:type="dxa"/>
            <w:vAlign w:val="bottom"/>
          </w:tcPr>
          <w:p>
            <w:pPr>
              <w:spacing w:after="0"/>
              <w:rPr>
                <w:sz w:val="24"/>
                <w:szCs w:val="24"/>
                <w:color w:val="auto"/>
              </w:rPr>
            </w:pPr>
          </w:p>
        </w:tc>
        <w:tc>
          <w:tcPr>
            <w:tcW w:w="4240" w:type="dxa"/>
            <w:vAlign w:val="bottom"/>
            <w:tcBorders>
              <w:top w:val="single" w:sz="8" w:color="0000EE"/>
            </w:tcBorders>
            <w:gridSpan w:val="6"/>
          </w:tcPr>
          <w:p>
            <w:pPr>
              <w:spacing w:after="0"/>
              <w:rPr>
                <w:sz w:val="24"/>
                <w:szCs w:val="24"/>
                <w:color w:val="auto"/>
              </w:rPr>
            </w:pPr>
          </w:p>
        </w:tc>
        <w:tc>
          <w:tcPr>
            <w:tcW w:w="1680" w:type="dxa"/>
            <w:vAlign w:val="bottom"/>
          </w:tcPr>
          <w:p>
            <w:pPr>
              <w:jc w:val="right"/>
              <w:ind w:right="1194"/>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9"/>
        </w:trPr>
        <w:tc>
          <w:tcPr>
            <w:tcW w:w="10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254" w:right="299" w:bottom="1440" w:gutter="0" w:footer="0" w:header="0"/>
        </w:sectPr>
      </w:pPr>
    </w:p>
    <w:bookmarkStart w:id="87" w:name="page88"/>
    <w:bookmarkEnd w:id="87"/>
    <w:tbl>
      <w:tblPr>
        <w:tblLayout w:type="fixed"/>
        <w:tblInd w:w="1"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14.1*</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90">
              <w:r>
                <w:rPr>
                  <w:rFonts w:ascii="Times New Roman" w:cs="Times New Roman" w:eastAsia="Times New Roman" w:hAnsi="Times New Roman"/>
                  <w:sz w:val="13"/>
                  <w:szCs w:val="13"/>
                  <w:u w:val="single" w:color="auto"/>
                  <w:color w:val="0000EE"/>
                </w:rPr>
                <w:t>Joint Code of Ethics of the Registrant.</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8760" w:type="dxa"/>
            <w:vAlign w:val="bottom"/>
          </w:tcPr>
          <w:p>
            <w:pPr>
              <w:ind w:left="380"/>
              <w:spacing w:after="0"/>
              <w:rPr>
                <w:rFonts w:ascii="Times New Roman" w:cs="Times New Roman" w:eastAsia="Times New Roman" w:hAnsi="Times New Roman"/>
                <w:sz w:val="13"/>
                <w:szCs w:val="13"/>
                <w:color w:val="0000EE"/>
              </w:rPr>
            </w:pPr>
            <w:hyperlink w:anchor="page96">
              <w:r>
                <w:rPr>
                  <w:rFonts w:ascii="Times New Roman" w:cs="Times New Roman" w:eastAsia="Times New Roman" w:hAnsi="Times New Roman"/>
                  <w:sz w:val="13"/>
                  <w:szCs w:val="13"/>
                  <w:u w:val="single" w:color="auto"/>
                  <w:color w:val="0000EE"/>
                </w:rPr>
                <w:t>Subsidiaries of the Registrant</w:t>
              </w:r>
              <w:r>
                <w:rPr>
                  <w:rFonts w:ascii="Times New Roman" w:cs="Times New Roman" w:eastAsia="Times New Roman" w:hAnsi="Times New Roman"/>
                  <w:sz w:val="13"/>
                  <w:szCs w:val="13"/>
                  <w:color w:val="0000EE"/>
                </w:rPr>
                <w:t>.</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97">
              <w:r>
                <w:rPr>
                  <w:rFonts w:ascii="Times New Roman" w:cs="Times New Roman" w:eastAsia="Times New Roman" w:hAnsi="Times New Roman"/>
                  <w:sz w:val="13"/>
                  <w:szCs w:val="13"/>
                  <w:u w:val="single" w:color="auto"/>
                  <w:color w:val="0000EE"/>
                </w:rPr>
                <w:t>Consent of RSM US LLP.</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98">
              <w:r>
                <w:rPr>
                  <w:rFonts w:ascii="Times New Roman" w:cs="Times New Roman" w:eastAsia="Times New Roman" w:hAnsi="Times New Roman"/>
                  <w:sz w:val="13"/>
                  <w:szCs w:val="13"/>
                  <w:u w:val="single" w:color="auto"/>
                  <w:color w:val="0000EE"/>
                </w:rPr>
                <w:t>Certification of Chief Executive Officer pursuant to Rule 13a-14 of the Securities Exchange Act of 1934, as amended.</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99">
              <w:r>
                <w:rPr>
                  <w:rFonts w:ascii="Times New Roman" w:cs="Times New Roman" w:eastAsia="Times New Roman" w:hAnsi="Times New Roman"/>
                  <w:sz w:val="13"/>
                  <w:szCs w:val="13"/>
                  <w:u w:val="single" w:color="auto"/>
                  <w:color w:val="0000EE"/>
                </w:rPr>
                <w:t>Certification of Chief Financial Officer pursuant to Rule 13a-14 of the Securities Exchange Act of 1934, as amended.</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100">
              <w:r>
                <w:rPr>
                  <w:rFonts w:ascii="Times New Roman" w:cs="Times New Roman" w:eastAsia="Times New Roman" w:hAnsi="Times New Roman"/>
                  <w:sz w:val="13"/>
                  <w:szCs w:val="13"/>
                  <w:u w:val="single" w:color="auto"/>
                  <w:color w:val="0000EE"/>
                </w:rPr>
                <w:t>Certification of Chief Executive Officer pursuant to section 906 of the Sarbanes-Oxley Act of 2002.</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8760" w:type="dxa"/>
            <w:vAlign w:val="bottom"/>
          </w:tcPr>
          <w:p>
            <w:pPr>
              <w:ind w:left="380"/>
              <w:spacing w:after="0"/>
              <w:rPr>
                <w:rFonts w:ascii="Times New Roman" w:cs="Times New Roman" w:eastAsia="Times New Roman" w:hAnsi="Times New Roman"/>
                <w:sz w:val="13"/>
                <w:szCs w:val="13"/>
                <w:color w:val="0000EE"/>
              </w:rPr>
            </w:pPr>
            <w:hyperlink w:anchor="page101">
              <w:r>
                <w:rPr>
                  <w:rFonts w:ascii="Times New Roman" w:cs="Times New Roman" w:eastAsia="Times New Roman" w:hAnsi="Times New Roman"/>
                  <w:sz w:val="13"/>
                  <w:szCs w:val="13"/>
                  <w:u w:val="single" w:color="auto"/>
                  <w:color w:val="0000EE"/>
                </w:rPr>
                <w:t>Certification of Chief Financial Officer pursuant to section 906 of the Sarbanes-Oxley Act of 2002</w:t>
              </w:r>
              <w:r>
                <w:rPr>
                  <w:rFonts w:ascii="Times New Roman" w:cs="Times New Roman" w:eastAsia="Times New Roman" w:hAnsi="Times New Roman"/>
                  <w:sz w:val="13"/>
                  <w:szCs w:val="13"/>
                  <w:color w:val="0000EE"/>
                </w:rPr>
                <w:t>.</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8760" w:type="dxa"/>
            <w:vAlign w:val="bottom"/>
          </w:tcPr>
          <w:p>
            <w:pPr>
              <w:ind w:left="380"/>
              <w:spacing w:after="0"/>
              <w:rPr>
                <w:rFonts w:ascii="Times New Roman" w:cs="Times New Roman" w:eastAsia="Times New Roman" w:hAnsi="Times New Roman"/>
                <w:sz w:val="13"/>
                <w:szCs w:val="13"/>
                <w:color w:val="0000EE"/>
              </w:rPr>
            </w:pPr>
            <w:hyperlink r:id="rId141">
              <w:r>
                <w:rPr>
                  <w:rFonts w:ascii="Times New Roman" w:cs="Times New Roman" w:eastAsia="Times New Roman" w:hAnsi="Times New Roman"/>
                  <w:sz w:val="13"/>
                  <w:szCs w:val="13"/>
                  <w:u w:val="single" w:color="auto"/>
                  <w:color w:val="0000EE"/>
                </w:rPr>
                <w:t>Privacy Policy of the Registrant. (Incorporated by reference to the Registrant’s Annual Report on Form 10-K (File No. 814-00891), filed November 17, 2011)</w:t>
              </w:r>
              <w:r>
                <w:rPr>
                  <w:rFonts w:ascii="Times New Roman" w:cs="Times New Roman" w:eastAsia="Times New Roman" w:hAnsi="Times New Roman"/>
                  <w:sz w:val="13"/>
                  <w:szCs w:val="13"/>
                  <w:color w:val="0000EE"/>
                </w:rPr>
                <w:t>.</w:t>
              </w:r>
            </w:hyperlink>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102">
              <w:r>
                <w:rPr>
                  <w:rFonts w:ascii="Times New Roman" w:cs="Times New Roman" w:eastAsia="Times New Roman" w:hAnsi="Times New Roman"/>
                  <w:sz w:val="13"/>
                  <w:szCs w:val="13"/>
                  <w:u w:val="single" w:color="auto"/>
                  <w:color w:val="0000EE"/>
                </w:rPr>
                <w:t>Report of RSM US LLP on Senior Securities Table</w:t>
              </w:r>
            </w:hyperlink>
          </w:p>
        </w:tc>
      </w:tr>
      <w:tr>
        <w:trPr>
          <w:trHeight w:val="34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8760" w:type="dxa"/>
            <w:vAlign w:val="bottom"/>
          </w:tcPr>
          <w:p>
            <w:pPr>
              <w:ind w:left="380"/>
              <w:spacing w:after="0"/>
              <w:rPr>
                <w:rFonts w:ascii="Times New Roman" w:cs="Times New Roman" w:eastAsia="Times New Roman" w:hAnsi="Times New Roman"/>
                <w:sz w:val="13"/>
                <w:szCs w:val="13"/>
                <w:u w:val="single" w:color="auto"/>
                <w:color w:val="0000EE"/>
              </w:rPr>
            </w:pPr>
            <w:hyperlink w:anchor="page103">
              <w:r>
                <w:rPr>
                  <w:rFonts w:ascii="Times New Roman" w:cs="Times New Roman" w:eastAsia="Times New Roman" w:hAnsi="Times New Roman"/>
                  <w:sz w:val="13"/>
                  <w:szCs w:val="13"/>
                  <w:u w:val="single" w:color="auto"/>
                  <w:color w:val="0000EE"/>
                </w:rPr>
                <w:t>Audited Consolidated Financial Statements of PennantPark Senior Secured Loan Fund I LLC for the Years Ended September 30, 2020 and 2019.</w:t>
              </w:r>
            </w:hyperlink>
          </w:p>
        </w:tc>
      </w:tr>
      <w:tr>
        <w:trPr>
          <w:trHeight w:val="273"/>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99.4*</w:t>
            </w:r>
          </w:p>
        </w:tc>
        <w:tc>
          <w:tcPr>
            <w:tcW w:w="8760" w:type="dxa"/>
            <w:vAlign w:val="bottom"/>
          </w:tcPr>
          <w:p>
            <w:pPr>
              <w:ind w:left="380"/>
              <w:spacing w:after="0"/>
              <w:rPr>
                <w:rFonts w:ascii="Times New Roman" w:cs="Times New Roman" w:eastAsia="Times New Roman" w:hAnsi="Times New Roman"/>
                <w:sz w:val="13"/>
                <w:szCs w:val="13"/>
                <w:color w:val="0000EE"/>
              </w:rPr>
            </w:pPr>
            <w:hyperlink w:anchor="page122">
              <w:r>
                <w:rPr>
                  <w:rFonts w:ascii="Times New Roman" w:cs="Times New Roman" w:eastAsia="Times New Roman" w:hAnsi="Times New Roman"/>
                  <w:sz w:val="13"/>
                  <w:szCs w:val="13"/>
                  <w:u w:val="single" w:color="auto"/>
                  <w:color w:val="0000EE"/>
                </w:rPr>
                <w:t>Audited Consolidated Financial Statements of PennantPark Senior Secured Loan Fund I LLC for the Years Ended September 30, 2019 and 2018</w:t>
              </w:r>
            </w:hyperlink>
            <w:r>
              <w:rPr>
                <w:rFonts w:ascii="Times New Roman" w:cs="Times New Roman" w:eastAsia="Times New Roman" w:hAnsi="Times New Roman"/>
                <w:sz w:val="13"/>
                <w:szCs w:val="13"/>
                <w:color w:val="00000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34556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68" w:lineRule="exact"/>
        <w:rPr>
          <w:sz w:val="20"/>
          <w:szCs w:val="20"/>
          <w:color w:val="auto"/>
        </w:rPr>
      </w:pPr>
    </w:p>
    <w:p>
      <w:pPr>
        <w:ind w:left="361" w:hanging="361"/>
        <w:spacing w:after="0"/>
        <w:tabs>
          <w:tab w:leader="none" w:pos="36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200" w:lineRule="exact"/>
        <w:rPr>
          <w:sz w:val="20"/>
          <w:szCs w:val="20"/>
          <w:color w:val="auto"/>
        </w:rPr>
      </w:pPr>
    </w:p>
    <w:p>
      <w:pPr>
        <w:spacing w:after="0" w:line="258" w:lineRule="exact"/>
        <w:rPr>
          <w:sz w:val="20"/>
          <w:szCs w:val="20"/>
          <w:color w:val="auto"/>
        </w:rPr>
      </w:pPr>
    </w:p>
    <w:p>
      <w:pPr>
        <w:ind w:left="5561"/>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40"/>
          </w:cols>
          <w:pgMar w:left="319" w:top="36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49" w:lineRule="exact"/>
        <w:rPr>
          <w:sz w:val="20"/>
          <w:szCs w:val="20"/>
          <w:color w:val="auto"/>
        </w:rPr>
      </w:pPr>
    </w:p>
    <w:p>
      <w:pPr>
        <w:ind w:right="560" w:firstLine="439"/>
        <w:spacing w:after="0" w:line="254"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November 18,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07"/>
        </w:trPr>
        <w:tc>
          <w:tcPr>
            <w:tcW w:w="68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Name:</w:t>
            </w:r>
          </w:p>
        </w:tc>
        <w:tc>
          <w:tcPr>
            <w:tcW w:w="38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Arthur H. Penn</w:t>
            </w:r>
          </w:p>
        </w:tc>
      </w:tr>
      <w:tr>
        <w:trPr>
          <w:trHeight w:val="174"/>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tc>
      </w:tr>
    </w:tbl>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0" w:type="dxa"/>
            <w:vAlign w:val="bottom"/>
          </w:tcPr>
          <w:p>
            <w:pPr>
              <w:spacing w:after="0"/>
              <w:rPr>
                <w:sz w:val="13"/>
                <w:szCs w:val="13"/>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20" w:type="dxa"/>
            <w:vAlign w:val="bottom"/>
          </w:tcPr>
          <w:p>
            <w:pPr>
              <w:spacing w:after="0"/>
              <w:rPr>
                <w:sz w:val="13"/>
                <w:szCs w:val="13"/>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ARTHUR H. PENN</w:t>
            </w: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Chief Executive Officer and Chairman of the Board of Directors</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Arthur H. Penn</w:t>
            </w:r>
          </w:p>
        </w:tc>
        <w:tc>
          <w:tcPr>
            <w:tcW w:w="120" w:type="dxa"/>
            <w:vAlign w:val="bottom"/>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AVIV EFRAT</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Aviv Efrat</w:t>
            </w:r>
          </w:p>
        </w:tc>
        <w:tc>
          <w:tcPr>
            <w:tcW w:w="120" w:type="dxa"/>
            <w:vAlign w:val="bottom"/>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ADAM K. BERNSTEIN</w:t>
            </w:r>
          </w:p>
        </w:tc>
        <w:tc>
          <w:tcPr>
            <w:tcW w:w="120" w:type="dxa"/>
            <w:vAlign w:val="bottom"/>
          </w:tcPr>
          <w:p>
            <w:pPr>
              <w:spacing w:after="0"/>
              <w:rPr>
                <w:sz w:val="18"/>
                <w:szCs w:val="18"/>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Adam K. Bernstein</w:t>
            </w: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JEFFREY FLUG</w:t>
            </w:r>
          </w:p>
        </w:tc>
        <w:tc>
          <w:tcPr>
            <w:tcW w:w="120" w:type="dxa"/>
            <w:vAlign w:val="bottom"/>
          </w:tcPr>
          <w:p>
            <w:pPr>
              <w:spacing w:after="0"/>
              <w:rPr>
                <w:sz w:val="18"/>
                <w:szCs w:val="18"/>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Jeffrey Flug</w:t>
            </w: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MARSHALL BROZOST</w:t>
            </w:r>
          </w:p>
        </w:tc>
        <w:tc>
          <w:tcPr>
            <w:tcW w:w="120" w:type="dxa"/>
            <w:vAlign w:val="bottom"/>
          </w:tcPr>
          <w:p>
            <w:pPr>
              <w:spacing w:after="0"/>
              <w:rPr>
                <w:sz w:val="18"/>
                <w:szCs w:val="18"/>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Marshall Brozost</w:t>
            </w: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w:t>
            </w:r>
          </w:p>
        </w:tc>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SAMUEL L. KATZ</w:t>
            </w:r>
          </w:p>
        </w:tc>
        <w:tc>
          <w:tcPr>
            <w:tcW w:w="120" w:type="dxa"/>
            <w:vAlign w:val="bottom"/>
          </w:tcPr>
          <w:p>
            <w:pPr>
              <w:spacing w:after="0"/>
              <w:rPr>
                <w:sz w:val="18"/>
                <w:szCs w:val="18"/>
                <w:color w:val="auto"/>
              </w:rPr>
            </w:pP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18, 2020</w:t>
            </w: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Samuel L. Katz</w:t>
            </w: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7"/>
        </w:trPr>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40" w:type="dxa"/>
            <w:vAlign w:val="bottom"/>
            <w:gridSpan w:val="2"/>
          </w:tcPr>
          <w:p>
            <w:pPr>
              <w:jc w:val="right"/>
              <w:ind w:right="2554"/>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3"/>
          <w:szCs w:val="13"/>
          <w:b w:val="1"/>
          <w:bCs w:val="1"/>
          <w:color w:val="auto"/>
        </w:rPr>
        <w:t>EXHIBIT 14.1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JOINT CODE OF ETHICS</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FOR</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PENNANTPARK INVESTMENT CORPORATION</w:t>
      </w:r>
    </w:p>
    <w:p>
      <w:pPr>
        <w:jc w:val="center"/>
        <w:spacing w:after="0" w:line="218" w:lineRule="auto"/>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ADVISERS, LLC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 Statement of General Fiduciary Principles</w:t>
      </w:r>
    </w:p>
    <w:p>
      <w:pPr>
        <w:spacing w:after="0" w:line="125" w:lineRule="exact"/>
        <w:rPr>
          <w:sz w:val="20"/>
          <w:szCs w:val="20"/>
          <w:color w:val="auto"/>
        </w:rPr>
      </w:pPr>
    </w:p>
    <w:p>
      <w:pPr>
        <w:ind w:firstLine="497"/>
        <w:spacing w:after="0" w:line="228" w:lineRule="auto"/>
        <w:rPr>
          <w:sz w:val="20"/>
          <w:szCs w:val="20"/>
          <w:color w:val="auto"/>
        </w:rPr>
      </w:pPr>
      <w:r>
        <w:rPr>
          <w:rFonts w:ascii="Times New Roman" w:cs="Times New Roman" w:eastAsia="Times New Roman" w:hAnsi="Times New Roman"/>
          <w:sz w:val="13"/>
          <w:szCs w:val="13"/>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02" w:lineRule="exact"/>
        <w:rPr>
          <w:sz w:val="20"/>
          <w:szCs w:val="20"/>
          <w:color w:val="auto"/>
        </w:rPr>
      </w:pPr>
    </w:p>
    <w:p>
      <w:pPr>
        <w:ind w:firstLine="497"/>
        <w:spacing w:after="0" w:line="230" w:lineRule="auto"/>
        <w:rPr>
          <w:sz w:val="20"/>
          <w:szCs w:val="20"/>
          <w:color w:val="auto"/>
        </w:rPr>
      </w:pPr>
      <w:r>
        <w:rPr>
          <w:rFonts w:ascii="Times New Roman" w:cs="Times New Roman" w:eastAsia="Times New Roman" w:hAnsi="Times New Roman"/>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89" w:lineRule="exact"/>
        <w:rPr>
          <w:sz w:val="20"/>
          <w:szCs w:val="20"/>
          <w:color w:val="auto"/>
        </w:rPr>
      </w:pPr>
    </w:p>
    <w:p>
      <w:pPr>
        <w:ind w:right="260" w:firstLine="497"/>
        <w:spacing w:after="0" w:line="237" w:lineRule="auto"/>
        <w:rPr>
          <w:sz w:val="20"/>
          <w:szCs w:val="20"/>
          <w:color w:val="auto"/>
        </w:rPr>
      </w:pPr>
      <w:r>
        <w:rPr>
          <w:rFonts w:ascii="Times New Roman" w:cs="Times New Roman" w:eastAsia="Times New Roman" w:hAnsi="Times New Roman"/>
          <w:sz w:val="13"/>
          <w:szCs w:val="13"/>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All Covered Personnel must read and retain this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II Definitions</w:t>
      </w:r>
    </w:p>
    <w:p>
      <w:pPr>
        <w:spacing w:after="0" w:line="113" w:lineRule="exact"/>
        <w:rPr>
          <w:sz w:val="20"/>
          <w:szCs w:val="20"/>
          <w:color w:val="auto"/>
        </w:rPr>
      </w:pPr>
    </w:p>
    <w:p>
      <w:pPr>
        <w:ind w:left="1000" w:hanging="505"/>
        <w:spacing w:after="0"/>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Person” means any director, officer, general partner or Advisory Person (as defined below) of the Corporations or the Adviser.</w:t>
      </w:r>
    </w:p>
    <w:p>
      <w:pPr>
        <w:spacing w:after="0" w:line="123" w:lineRule="exact"/>
        <w:rPr>
          <w:rFonts w:ascii="Times New Roman" w:cs="Times New Roman" w:eastAsia="Times New Roman" w:hAnsi="Times New Roman"/>
          <w:sz w:val="13"/>
          <w:szCs w:val="13"/>
          <w:color w:val="auto"/>
        </w:rPr>
      </w:pPr>
    </w:p>
    <w:p>
      <w:pPr>
        <w:ind w:left="1000" w:hanging="505"/>
        <w:spacing w:after="0" w:line="233"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00" w:lineRule="exact"/>
        <w:rPr>
          <w:rFonts w:ascii="Times New Roman" w:cs="Times New Roman" w:eastAsia="Times New Roman" w:hAnsi="Times New Roman"/>
          <w:sz w:val="13"/>
          <w:szCs w:val="13"/>
          <w:color w:val="auto"/>
        </w:rPr>
      </w:pPr>
    </w:p>
    <w:p>
      <w:pPr>
        <w:ind w:left="1000" w:hanging="505"/>
        <w:spacing w:after="0" w:line="254"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“Chief Compliance Officer” means the Chief Compliance Officer of the Corporation (who also may serve as the compliance officer of the Adviser and/or one or more affiliates of the Adviser).</w:t>
      </w:r>
    </w:p>
    <w:p>
      <w:pPr>
        <w:spacing w:after="0" w:line="123"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 shall have the same meaning as that set forth in Section 2(a)(9) of the Act.</w:t>
      </w:r>
    </w:p>
    <w:p>
      <w:pPr>
        <w:spacing w:after="0" w:line="123" w:lineRule="exact"/>
        <w:rPr>
          <w:rFonts w:ascii="Times New Roman" w:cs="Times New Roman" w:eastAsia="Times New Roman" w:hAnsi="Times New Roman"/>
          <w:sz w:val="13"/>
          <w:szCs w:val="13"/>
          <w:color w:val="auto"/>
        </w:rPr>
      </w:pPr>
    </w:p>
    <w:p>
      <w:pPr>
        <w:ind w:left="1000" w:hanging="505"/>
        <w:spacing w:after="0" w:line="228"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01" w:lineRule="exact"/>
        <w:rPr>
          <w:rFonts w:ascii="Times New Roman" w:cs="Times New Roman" w:eastAsia="Times New Roman" w:hAnsi="Times New Roman"/>
          <w:sz w:val="13"/>
          <w:szCs w:val="13"/>
          <w:color w:val="auto"/>
        </w:rPr>
      </w:pPr>
    </w:p>
    <w:p>
      <w:pPr>
        <w:ind w:left="1000" w:right="20"/>
        <w:spacing w:after="0" w:line="22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04"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“Independent Director” means a director of the Corporation who is not an “interested person” of the Corporation within the meaning of Section 2(a)(19) of the Act.</w:t>
      </w:r>
    </w:p>
    <w:p>
      <w:pPr>
        <w:spacing w:after="0" w:line="123" w:lineRule="exact"/>
        <w:rPr>
          <w:rFonts w:ascii="Times New Roman" w:cs="Times New Roman" w:eastAsia="Times New Roman" w:hAnsi="Times New Roman"/>
          <w:sz w:val="13"/>
          <w:szCs w:val="13"/>
          <w:color w:val="auto"/>
        </w:rPr>
      </w:pPr>
    </w:p>
    <w:p>
      <w:pPr>
        <w:ind w:left="1000" w:right="80" w:hanging="505"/>
        <w:spacing w:after="0" w:line="254"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92" w:lineRule="exact"/>
        <w:rPr>
          <w:rFonts w:ascii="Times New Roman" w:cs="Times New Roman" w:eastAsia="Times New Roman" w:hAnsi="Times New Roman"/>
          <w:sz w:val="13"/>
          <w:szCs w:val="13"/>
          <w:color w:val="auto"/>
        </w:rPr>
      </w:pPr>
    </w:p>
    <w:p>
      <w:pPr>
        <w:ind w:left="1000" w:right="440" w:hanging="505"/>
        <w:spacing w:after="0" w:line="254"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“Limited Offering” means an offering that is exempt from registration under the 1933 Act pursuant to Section 4(2) or Section 4(6) thereof or pursuant to Rule 504, Rule 505, or Rule 506 thereunder.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0" w:name="page91"/>
    <w:bookmarkEnd w:id="90"/>
    <w:p>
      <w:pPr>
        <w:ind w:left="1000" w:right="80" w:hanging="505"/>
        <w:spacing w:after="0" w:line="254" w:lineRule="auto"/>
        <w:tabs>
          <w:tab w:leader="none" w:pos="100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List” means the “Pipeline” report of potential investments combined with the current holdings of the clients. PennantPark Access Persons are restricted from trading any security on the Restricted List.</w:t>
      </w:r>
    </w:p>
    <w:p>
      <w:pPr>
        <w:spacing w:after="0" w:line="92" w:lineRule="exact"/>
        <w:rPr>
          <w:rFonts w:ascii="Times New Roman" w:cs="Times New Roman" w:eastAsia="Times New Roman" w:hAnsi="Times New Roman"/>
          <w:sz w:val="13"/>
          <w:szCs w:val="13"/>
          <w:color w:val="auto"/>
        </w:rPr>
      </w:pPr>
    </w:p>
    <w:p>
      <w:pPr>
        <w:ind w:left="1000" w:right="120" w:hanging="505"/>
        <w:spacing w:after="0" w:line="237" w:lineRule="auto"/>
        <w:tabs>
          <w:tab w:leader="none" w:pos="100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10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“17j-1 Organization” means the Corporation or the Adviser, as the context requires.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III Objective and General Prohibitions</w:t>
      </w:r>
    </w:p>
    <w:p>
      <w:pPr>
        <w:spacing w:after="0" w:line="113" w:lineRule="exact"/>
        <w:rPr>
          <w:sz w:val="20"/>
          <w:szCs w:val="20"/>
          <w:color w:val="auto"/>
        </w:rPr>
      </w:pPr>
    </w:p>
    <w:p>
      <w:pPr>
        <w:ind w:firstLine="497"/>
        <w:spacing w:after="0" w:line="237" w:lineRule="auto"/>
        <w:rPr>
          <w:sz w:val="20"/>
          <w:szCs w:val="20"/>
          <w:color w:val="auto"/>
        </w:rPr>
      </w:pPr>
      <w:r>
        <w:rPr>
          <w:rFonts w:ascii="Times New Roman" w:cs="Times New Roman" w:eastAsia="Times New Roman" w:hAnsi="Times New Roman"/>
          <w:sz w:val="13"/>
          <w:szCs w:val="13"/>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02" w:lineRule="exact"/>
        <w:rPr>
          <w:sz w:val="20"/>
          <w:szCs w:val="20"/>
          <w:color w:val="auto"/>
        </w:rPr>
      </w:pPr>
    </w:p>
    <w:p>
      <w:pPr>
        <w:ind w:right="220" w:firstLine="497"/>
        <w:spacing w:after="0" w:line="237" w:lineRule="auto"/>
        <w:rPr>
          <w:sz w:val="20"/>
          <w:szCs w:val="20"/>
          <w:color w:val="auto"/>
        </w:rPr>
      </w:pPr>
      <w:r>
        <w:rPr>
          <w:rFonts w:ascii="Times New Roman" w:cs="Times New Roman" w:eastAsia="Times New Roman" w:hAnsi="Times New Roman"/>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02" w:lineRule="exact"/>
        <w:rPr>
          <w:sz w:val="20"/>
          <w:szCs w:val="20"/>
          <w:color w:val="auto"/>
        </w:rPr>
      </w:pPr>
    </w:p>
    <w:p>
      <w:pPr>
        <w:ind w:left="1000" w:hanging="505"/>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employ any device, scheme or artifice to defraud the Corporation;</w:t>
      </w:r>
    </w:p>
    <w:p>
      <w:pPr>
        <w:spacing w:after="0" w:line="123" w:lineRule="exact"/>
        <w:rPr>
          <w:rFonts w:ascii="Times New Roman" w:cs="Times New Roman" w:eastAsia="Times New Roman" w:hAnsi="Times New Roman"/>
          <w:sz w:val="13"/>
          <w:szCs w:val="13"/>
          <w:color w:val="auto"/>
        </w:rPr>
      </w:pPr>
    </w:p>
    <w:p>
      <w:pPr>
        <w:ind w:left="1000" w:right="140" w:hanging="505"/>
        <w:spacing w:after="0" w:line="254" w:lineRule="auto"/>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any act, practice or course of business that operates or would operate as a fraud or deceit upon the Corporation; or</w:t>
      </w:r>
    </w:p>
    <w:p>
      <w:pPr>
        <w:spacing w:after="0" w:line="123"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any manipulative practice with respect to the Corporation.</w:t>
      </w:r>
    </w:p>
    <w:p>
      <w:pPr>
        <w:spacing w:after="0" w:line="123" w:lineRule="exact"/>
        <w:rPr>
          <w:sz w:val="20"/>
          <w:szCs w:val="20"/>
          <w:color w:val="auto"/>
        </w:rPr>
      </w:pPr>
    </w:p>
    <w:p>
      <w:pPr>
        <w:ind w:right="20" w:firstLine="497"/>
        <w:spacing w:after="0" w:line="254" w:lineRule="auto"/>
        <w:rPr>
          <w:sz w:val="20"/>
          <w:szCs w:val="20"/>
          <w:color w:val="auto"/>
        </w:rPr>
      </w:pPr>
      <w:r>
        <w:rPr>
          <w:rFonts w:ascii="Times New Roman" w:cs="Times New Roman" w:eastAsia="Times New Roman" w:hAnsi="Times New Roman"/>
          <w:sz w:val="13"/>
          <w:szCs w:val="13"/>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-1270</wp:posOffset>
            </wp:positionV>
            <wp:extent cx="209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20955" cy="7620"/>
                    </a:xfrm>
                    <a:prstGeom prst="rect">
                      <a:avLst/>
                    </a:prstGeom>
                    <a:noFill/>
                  </pic:spPr>
                </pic:pic>
              </a:graphicData>
            </a:graphic>
          </wp:anchor>
        </w:drawing>
      </w:r>
    </w:p>
    <w:p>
      <w:pPr>
        <w:spacing w:after="0" w:line="105" w:lineRule="exact"/>
        <w:rPr>
          <w:sz w:val="20"/>
          <w:szCs w:val="20"/>
          <w:color w:val="auto"/>
        </w:rPr>
      </w:pPr>
    </w:p>
    <w:p>
      <w:pPr>
        <w:ind w:right="80" w:firstLine="497"/>
        <w:spacing w:after="0" w:line="233" w:lineRule="auto"/>
        <w:rPr>
          <w:sz w:val="20"/>
          <w:szCs w:val="20"/>
          <w:color w:val="auto"/>
        </w:rPr>
      </w:pPr>
      <w:r>
        <w:rPr>
          <w:rFonts w:ascii="Times New Roman" w:cs="Times New Roman" w:eastAsia="Times New Roman" w:hAnsi="Times New Roman"/>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Any approval given under this paragraph will be provided by email and will remain in effect for 72 hours.</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u w:val="single" w:color="auto"/>
          <w:color w:val="auto"/>
        </w:rPr>
        <w:t>Exceptions to the Pre-Clearance Requirement Policy</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jc w:val="both"/>
        <w:ind w:right="160" w:firstLine="497"/>
        <w:spacing w:after="0" w:line="230" w:lineRule="auto"/>
        <w:rPr>
          <w:sz w:val="20"/>
          <w:szCs w:val="20"/>
          <w:color w:val="auto"/>
        </w:rPr>
      </w:pPr>
      <w:r>
        <w:rPr>
          <w:rFonts w:ascii="Times New Roman" w:cs="Times New Roman" w:eastAsia="Times New Roman" w:hAnsi="Times New Roman"/>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1" w:lineRule="exact"/>
        <w:rPr>
          <w:sz w:val="20"/>
          <w:szCs w:val="20"/>
          <w:color w:val="auto"/>
        </w:rPr>
      </w:pPr>
    </w:p>
    <w:p>
      <w:pPr>
        <w:ind w:right="320" w:firstLine="497"/>
        <w:spacing w:after="0" w:line="427" w:lineRule="auto"/>
        <w:rPr>
          <w:sz w:val="20"/>
          <w:szCs w:val="20"/>
          <w:color w:val="auto"/>
        </w:rPr>
      </w:pPr>
      <w:r>
        <w:rPr>
          <w:rFonts w:ascii="Times New Roman" w:cs="Times New Roman" w:eastAsia="Times New Roman" w:hAnsi="Times New Roman"/>
          <w:sz w:val="13"/>
          <w:szCs w:val="13"/>
          <w:color w:val="auto"/>
        </w:rPr>
        <w:t xml:space="preserve">Additionally, Independent Directors are not required to seek preapproval for any transactions other than those which would trigger reporting requirements as set forth in Section VI (C) of this Code below. </w:t>
      </w:r>
      <w:r>
        <w:rPr>
          <w:rFonts w:ascii="Times New Roman" w:cs="Times New Roman" w:eastAsia="Times New Roman" w:hAnsi="Times New Roman"/>
          <w:sz w:val="13"/>
          <w:szCs w:val="13"/>
          <w:b w:val="1"/>
          <w:bCs w:val="1"/>
          <w:color w:val="auto"/>
        </w:rPr>
        <w:t>Section V Prohibited Transactions</w:t>
      </w:r>
    </w:p>
    <w:p>
      <w:pPr>
        <w:spacing w:after="0" w:line="1" w:lineRule="exact"/>
        <w:rPr>
          <w:sz w:val="20"/>
          <w:szCs w:val="20"/>
          <w:color w:val="auto"/>
        </w:rPr>
      </w:pPr>
    </w:p>
    <w:p>
      <w:pPr>
        <w:ind w:left="1000" w:right="60" w:hanging="505"/>
        <w:spacing w:after="0" w:line="230" w:lineRule="auto"/>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1" w:lineRule="exact"/>
        <w:rPr>
          <w:rFonts w:ascii="Times New Roman" w:cs="Times New Roman" w:eastAsia="Times New Roman" w:hAnsi="Times New Roman"/>
          <w:sz w:val="13"/>
          <w:szCs w:val="13"/>
          <w:color w:val="auto"/>
        </w:rPr>
      </w:pPr>
    </w:p>
    <w:p>
      <w:pPr>
        <w:ind w:left="1000" w:right="340" w:hanging="505"/>
        <w:spacing w:after="0" w:line="237" w:lineRule="auto"/>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02" w:lineRule="exact"/>
        <w:rPr>
          <w:rFonts w:ascii="Times New Roman" w:cs="Times New Roman" w:eastAsia="Times New Roman" w:hAnsi="Times New Roman"/>
          <w:sz w:val="13"/>
          <w:szCs w:val="13"/>
          <w:color w:val="auto"/>
        </w:rPr>
      </w:pPr>
    </w:p>
    <w:p>
      <w:pPr>
        <w:ind w:left="1000" w:right="20" w:hanging="505"/>
        <w:spacing w:after="0" w:line="233" w:lineRule="auto"/>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466" w:right="359" w:bottom="1440" w:gutter="0" w:footer="0" w:header="0"/>
        </w:sectPr>
      </w:pPr>
    </w:p>
    <w:bookmarkStart w:id="91" w:name="page92"/>
    <w:bookmarkEnd w:id="91"/>
    <w:p>
      <w:pPr>
        <w:ind w:left="1"/>
        <w:spacing w:after="0"/>
        <w:rPr>
          <w:sz w:val="20"/>
          <w:szCs w:val="20"/>
          <w:color w:val="auto"/>
        </w:rPr>
      </w:pPr>
      <w:r>
        <w:rPr>
          <w:rFonts w:ascii="Times New Roman" w:cs="Times New Roman" w:eastAsia="Times New Roman" w:hAnsi="Times New Roman"/>
          <w:sz w:val="13"/>
          <w:szCs w:val="13"/>
          <w:b w:val="1"/>
          <w:bCs w:val="1"/>
          <w:color w:val="auto"/>
        </w:rPr>
        <w:t>Section VI Reports by Access Persons</w:t>
      </w:r>
    </w:p>
    <w:p>
      <w:pPr>
        <w:spacing w:after="0" w:line="113" w:lineRule="exact"/>
        <w:rPr>
          <w:sz w:val="20"/>
          <w:szCs w:val="20"/>
          <w:color w:val="auto"/>
        </w:rPr>
      </w:pPr>
    </w:p>
    <w:p>
      <w:pPr>
        <w:ind w:left="1001" w:hanging="505"/>
        <w:spacing w:after="0"/>
        <w:tabs>
          <w:tab w:leader="none" w:pos="100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 Securities Holdings Reports.</w:t>
      </w:r>
    </w:p>
    <w:p>
      <w:pPr>
        <w:spacing w:after="0" w:line="123" w:lineRule="exact"/>
        <w:rPr>
          <w:sz w:val="20"/>
          <w:szCs w:val="20"/>
          <w:color w:val="auto"/>
        </w:rPr>
      </w:pPr>
    </w:p>
    <w:p>
      <w:pPr>
        <w:ind w:left="1" w:right="20" w:firstLine="497"/>
        <w:spacing w:after="0" w:line="230" w:lineRule="auto"/>
        <w:rPr>
          <w:sz w:val="20"/>
          <w:szCs w:val="20"/>
          <w:color w:val="auto"/>
        </w:rPr>
      </w:pPr>
      <w:r>
        <w:rPr>
          <w:rFonts w:ascii="Times New Roman" w:cs="Times New Roman" w:eastAsia="Times New Roman" w:hAnsi="Times New Roman"/>
          <w:sz w:val="13"/>
          <w:szCs w:val="13"/>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01" w:lineRule="exact"/>
        <w:rPr>
          <w:sz w:val="20"/>
          <w:szCs w:val="20"/>
          <w:color w:val="auto"/>
        </w:rPr>
      </w:pPr>
    </w:p>
    <w:p>
      <w:pPr>
        <w:ind w:left="1001" w:hanging="505"/>
        <w:spacing w:after="0"/>
        <w:tabs>
          <w:tab w:leader="none" w:pos="100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Quarterly Transaction Reports.</w:t>
      </w:r>
    </w:p>
    <w:p>
      <w:pPr>
        <w:spacing w:after="0" w:line="123" w:lineRule="exact"/>
        <w:rPr>
          <w:sz w:val="20"/>
          <w:szCs w:val="20"/>
          <w:color w:val="auto"/>
        </w:rPr>
      </w:pPr>
    </w:p>
    <w:p>
      <w:pPr>
        <w:ind w:left="1" w:right="40" w:firstLine="497"/>
        <w:spacing w:after="0" w:line="254" w:lineRule="auto"/>
        <w:rPr>
          <w:sz w:val="20"/>
          <w:szCs w:val="20"/>
          <w:color w:val="auto"/>
        </w:rPr>
      </w:pPr>
      <w:r>
        <w:rPr>
          <w:rFonts w:ascii="Times New Roman" w:cs="Times New Roman" w:eastAsia="Times New Roman" w:hAnsi="Times New Roman"/>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92" w:lineRule="exact"/>
        <w:rPr>
          <w:sz w:val="20"/>
          <w:szCs w:val="20"/>
          <w:color w:val="auto"/>
        </w:rPr>
      </w:pPr>
    </w:p>
    <w:p>
      <w:pPr>
        <w:ind w:left="1" w:right="240" w:firstLine="497"/>
        <w:spacing w:after="0" w:line="254" w:lineRule="auto"/>
        <w:rPr>
          <w:sz w:val="20"/>
          <w:szCs w:val="20"/>
          <w:color w:val="auto"/>
        </w:rPr>
      </w:pPr>
      <w:r>
        <w:rPr>
          <w:rFonts w:ascii="Times New Roman" w:cs="Times New Roman" w:eastAsia="Times New Roman" w:hAnsi="Times New Roman"/>
          <w:sz w:val="13"/>
          <w:szCs w:val="13"/>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80" w:lineRule="exact"/>
        <w:rPr>
          <w:sz w:val="20"/>
          <w:szCs w:val="20"/>
          <w:color w:val="auto"/>
        </w:rPr>
      </w:pPr>
    </w:p>
    <w:p>
      <w:pPr>
        <w:ind w:left="1001" w:hanging="505"/>
        <w:spacing w:after="0"/>
        <w:tabs>
          <w:tab w:leader="none" w:pos="100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and nature of the transaction (purchase, sale or any other type of acquisition or disposition);</w:t>
      </w:r>
    </w:p>
    <w:p>
      <w:pPr>
        <w:spacing w:after="0" w:line="123" w:lineRule="exact"/>
        <w:rPr>
          <w:rFonts w:ascii="Times New Roman" w:cs="Times New Roman" w:eastAsia="Times New Roman" w:hAnsi="Times New Roman"/>
          <w:sz w:val="13"/>
          <w:szCs w:val="13"/>
          <w:color w:val="auto"/>
        </w:rPr>
      </w:pPr>
    </w:p>
    <w:p>
      <w:pPr>
        <w:ind w:left="1001" w:right="340" w:hanging="505"/>
        <w:spacing w:after="0" w:line="254" w:lineRule="auto"/>
        <w:tabs>
          <w:tab w:leader="none" w:pos="100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interest rate and maturity date (if applicable), number of shares and principal amount of each Covered Security involved and the price of the Covered Security at which the transaction was effected;</w:t>
      </w:r>
    </w:p>
    <w:p>
      <w:pPr>
        <w:spacing w:after="0" w:line="92"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of the broker, dealer or bank with or through whom the transaction was effected; and</w:t>
      </w:r>
    </w:p>
    <w:p>
      <w:pPr>
        <w:spacing w:after="0" w:line="123"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the report is submitted by the Access Person.</w:t>
      </w:r>
    </w:p>
    <w:p>
      <w:pPr>
        <w:spacing w:after="0" w:line="123" w:lineRule="exact"/>
        <w:rPr>
          <w:sz w:val="20"/>
          <w:szCs w:val="20"/>
          <w:color w:val="auto"/>
        </w:rPr>
      </w:pPr>
    </w:p>
    <w:p>
      <w:pPr>
        <w:ind w:left="1001" w:hanging="505"/>
        <w:spacing w:after="0"/>
        <w:tabs>
          <w:tab w:leader="none" w:pos="100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Independent Directors.</w:t>
      </w:r>
    </w:p>
    <w:p>
      <w:pPr>
        <w:spacing w:after="0" w:line="123" w:lineRule="exact"/>
        <w:rPr>
          <w:sz w:val="20"/>
          <w:szCs w:val="20"/>
          <w:color w:val="auto"/>
        </w:rPr>
      </w:pPr>
    </w:p>
    <w:p>
      <w:pPr>
        <w:ind w:left="1" w:right="120" w:firstLine="497"/>
        <w:spacing w:after="0" w:line="230" w:lineRule="auto"/>
        <w:rPr>
          <w:sz w:val="20"/>
          <w:szCs w:val="20"/>
          <w:color w:val="auto"/>
        </w:rPr>
      </w:pPr>
      <w:r>
        <w:rPr>
          <w:rFonts w:ascii="Times New Roman" w:cs="Times New Roman" w:eastAsia="Times New Roman" w:hAnsi="Times New Roman"/>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01" w:lineRule="exact"/>
        <w:rPr>
          <w:sz w:val="20"/>
          <w:szCs w:val="20"/>
          <w:color w:val="auto"/>
        </w:rPr>
      </w:pPr>
    </w:p>
    <w:p>
      <w:pPr>
        <w:ind w:left="1001" w:hanging="505"/>
        <w:spacing w:after="0"/>
        <w:tabs>
          <w:tab w:leader="none" w:pos="1001"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Persons of the Adviser.</w:t>
      </w:r>
    </w:p>
    <w:p>
      <w:pPr>
        <w:spacing w:after="0" w:line="123"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3"/>
          <w:szCs w:val="13"/>
          <w:color w:val="auto"/>
        </w:rPr>
        <w:t>An Access Person of the Adviser need not make a Quarterly Transaction Report if all of the information in the report would duplicate information required to be recorded pursuant to Rules 204-2(a)(12) or</w:t>
      </w:r>
    </w:p>
    <w:p>
      <w:pPr>
        <w:spacing w:after="0" w:line="1" w:lineRule="exact"/>
        <w:rPr>
          <w:sz w:val="20"/>
          <w:szCs w:val="20"/>
          <w:color w:val="auto"/>
        </w:rPr>
      </w:pPr>
    </w:p>
    <w:p>
      <w:pPr>
        <w:ind w:left="241" w:hanging="241"/>
        <w:spacing w:after="0"/>
        <w:tabs>
          <w:tab w:leader="none" w:pos="241"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Investment Advisers Act of 1940, as amended.</w:t>
      </w:r>
    </w:p>
    <w:p>
      <w:pPr>
        <w:spacing w:after="0" w:line="109"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Brokerage Accounts and Statements.</w:t>
      </w:r>
    </w:p>
    <w:p>
      <w:pPr>
        <w:spacing w:after="0" w:line="123"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3"/>
          <w:szCs w:val="13"/>
          <w:color w:val="auto"/>
        </w:rPr>
        <w:t>Access Persons, except Independent Directors, shall:</w:t>
      </w:r>
    </w:p>
    <w:p>
      <w:pPr>
        <w:spacing w:after="0" w:line="111" w:lineRule="exact"/>
        <w:rPr>
          <w:sz w:val="20"/>
          <w:szCs w:val="20"/>
          <w:color w:val="auto"/>
        </w:rPr>
      </w:pPr>
    </w:p>
    <w:p>
      <w:pPr>
        <w:ind w:left="1001" w:right="40" w:hanging="505"/>
        <w:spacing w:after="0" w:line="237" w:lineRule="auto"/>
        <w:tabs>
          <w:tab w:leader="none" w:pos="100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2"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instruct the brokers, dealers or banks with whom they maintain such an account to provide duplicate account statements to the Chief Compliance Officer.</w:t>
      </w:r>
    </w:p>
    <w:p>
      <w:pPr>
        <w:spacing w:after="0" w:line="123"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annual basis, certify that they have complied with the requirements of (1) and (2) above.</w:t>
      </w:r>
    </w:p>
    <w:p>
      <w:pPr>
        <w:spacing w:after="0" w:line="123" w:lineRule="exact"/>
        <w:rPr>
          <w:sz w:val="20"/>
          <w:szCs w:val="20"/>
          <w:color w:val="auto"/>
        </w:rPr>
      </w:pPr>
    </w:p>
    <w:p>
      <w:pPr>
        <w:ind w:left="1001" w:hanging="505"/>
        <w:spacing w:after="0"/>
        <w:tabs>
          <w:tab w:leader="none" w:pos="100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 of Reports.</w:t>
      </w:r>
    </w:p>
    <w:p>
      <w:pPr>
        <w:spacing w:after="0" w:line="123" w:lineRule="exact"/>
        <w:rPr>
          <w:sz w:val="20"/>
          <w:szCs w:val="20"/>
          <w:color w:val="auto"/>
        </w:rPr>
      </w:pPr>
    </w:p>
    <w:p>
      <w:pPr>
        <w:ind w:left="1" w:right="80" w:firstLine="497"/>
        <w:spacing w:after="0" w:line="254" w:lineRule="auto"/>
        <w:rPr>
          <w:sz w:val="20"/>
          <w:szCs w:val="20"/>
          <w:color w:val="auto"/>
        </w:rPr>
      </w:pPr>
      <w:r>
        <w:rPr>
          <w:rFonts w:ascii="Times New Roman" w:cs="Times New Roman" w:eastAsia="Times New Roman" w:hAnsi="Times New Roman"/>
          <w:sz w:val="13"/>
          <w:szCs w:val="13"/>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92" w:lineRule="exact"/>
        <w:rPr>
          <w:sz w:val="20"/>
          <w:szCs w:val="20"/>
          <w:color w:val="auto"/>
        </w:rPr>
      </w:pPr>
    </w:p>
    <w:p>
      <w:pPr>
        <w:ind w:left="1001" w:hanging="505"/>
        <w:spacing w:after="0"/>
        <w:tabs>
          <w:tab w:leader="none" w:pos="1001"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Responsibility to Report.</w:t>
      </w:r>
    </w:p>
    <w:p>
      <w:pPr>
        <w:spacing w:after="0" w:line="123" w:lineRule="exact"/>
        <w:rPr>
          <w:sz w:val="20"/>
          <w:szCs w:val="20"/>
          <w:color w:val="auto"/>
        </w:rPr>
      </w:pPr>
    </w:p>
    <w:p>
      <w:pPr>
        <w:ind w:left="1" w:firstLine="497"/>
        <w:spacing w:after="0" w:line="237" w:lineRule="auto"/>
        <w:rPr>
          <w:sz w:val="20"/>
          <w:szCs w:val="20"/>
          <w:color w:val="auto"/>
        </w:rPr>
      </w:pPr>
      <w:r>
        <w:rPr>
          <w:rFonts w:ascii="Times New Roman" w:cs="Times New Roman" w:eastAsia="Times New Roman" w:hAnsi="Times New Roman"/>
          <w:sz w:val="13"/>
          <w:szCs w:val="13"/>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02" w:lineRule="exact"/>
        <w:rPr>
          <w:sz w:val="20"/>
          <w:szCs w:val="20"/>
          <w:color w:val="auto"/>
        </w:rPr>
      </w:pPr>
    </w:p>
    <w:p>
      <w:pPr>
        <w:ind w:left="1001" w:hanging="505"/>
        <w:spacing w:after="0"/>
        <w:tabs>
          <w:tab w:leader="none" w:pos="1001"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to File Reports.</w:t>
      </w:r>
    </w:p>
    <w:p>
      <w:pPr>
        <w:spacing w:after="0" w:line="123"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3"/>
          <w:szCs w:val="13"/>
          <w:color w:val="auto"/>
        </w:rPr>
        <w:t>All Quarterly Securities Transaction Reports and Personal Securities Holdings Reports must be filed with the Chief Compliance Officer.</w:t>
      </w:r>
    </w:p>
    <w:p>
      <w:pPr>
        <w:spacing w:after="0" w:line="111" w:lineRule="exact"/>
        <w:rPr>
          <w:sz w:val="20"/>
          <w:szCs w:val="20"/>
          <w:color w:val="auto"/>
        </w:rPr>
      </w:pPr>
    </w:p>
    <w:p>
      <w:pPr>
        <w:ind w:left="1001" w:hanging="505"/>
        <w:spacing w:after="0"/>
        <w:tabs>
          <w:tab w:leader="none" w:pos="100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Disclaimers.</w:t>
      </w:r>
    </w:p>
    <w:p>
      <w:pPr>
        <w:spacing w:after="0" w:line="123" w:lineRule="exact"/>
        <w:rPr>
          <w:sz w:val="20"/>
          <w:szCs w:val="20"/>
          <w:color w:val="auto"/>
        </w:rPr>
      </w:pPr>
    </w:p>
    <w:p>
      <w:pPr>
        <w:ind w:left="1" w:right="300" w:firstLine="497"/>
        <w:spacing w:after="0" w:line="254" w:lineRule="auto"/>
        <w:rPr>
          <w:sz w:val="20"/>
          <w:szCs w:val="20"/>
          <w:color w:val="auto"/>
        </w:rPr>
      </w:pPr>
      <w:r>
        <w:rPr>
          <w:rFonts w:ascii="Times New Roman" w:cs="Times New Roman" w:eastAsia="Times New Roman" w:hAnsi="Times New Roman"/>
          <w:sz w:val="13"/>
          <w:szCs w:val="13"/>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01"/>
          </w:cols>
          <w:pgMar w:left="319" w:top="464" w:right="379" w:bottom="1440" w:gutter="0" w:footer="0" w:header="0"/>
        </w:sectPr>
      </w:pPr>
    </w:p>
    <w:bookmarkStart w:id="92" w:name="page93"/>
    <w:bookmarkEnd w:id="92"/>
    <w:p>
      <w:pPr>
        <w:ind w:left="1000" w:hanging="505"/>
        <w:spacing w:after="0"/>
        <w:tabs>
          <w:tab w:leader="none" w:pos="100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Exceptions from Reporting Requirements.</w:t>
      </w:r>
    </w:p>
    <w:p>
      <w:pPr>
        <w:spacing w:after="0" w:line="123" w:lineRule="exact"/>
        <w:rPr>
          <w:sz w:val="20"/>
          <w:szCs w:val="20"/>
          <w:color w:val="auto"/>
        </w:rPr>
      </w:pPr>
    </w:p>
    <w:p>
      <w:pPr>
        <w:ind w:firstLine="497"/>
        <w:spacing w:after="0" w:line="233" w:lineRule="auto"/>
        <w:rPr>
          <w:sz w:val="20"/>
          <w:szCs w:val="20"/>
          <w:color w:val="auto"/>
        </w:rPr>
      </w:pPr>
      <w:r>
        <w:rPr>
          <w:rFonts w:ascii="Times New Roman" w:cs="Times New Roman" w:eastAsia="Times New Roman" w:hAnsi="Times New Roman"/>
          <w:sz w:val="13"/>
          <w:szCs w:val="13"/>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89" w:lineRule="exact"/>
        <w:rPr>
          <w:sz w:val="20"/>
          <w:szCs w:val="20"/>
          <w:color w:val="auto"/>
        </w:rPr>
      </w:pPr>
    </w:p>
    <w:p>
      <w:pPr>
        <w:ind w:left="1000" w:hanging="505"/>
        <w:spacing w:after="0"/>
        <w:tabs>
          <w:tab w:leader="none" w:pos="100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Blind Trusts and other Third Party Managed Accounts.</w:t>
      </w:r>
    </w:p>
    <w:p>
      <w:pPr>
        <w:spacing w:after="0" w:line="123" w:lineRule="exact"/>
        <w:rPr>
          <w:sz w:val="20"/>
          <w:szCs w:val="20"/>
          <w:color w:val="auto"/>
        </w:rPr>
      </w:pPr>
    </w:p>
    <w:p>
      <w:pPr>
        <w:ind w:firstLine="497"/>
        <w:spacing w:after="0" w:line="248" w:lineRule="auto"/>
        <w:rPr>
          <w:sz w:val="20"/>
          <w:szCs w:val="20"/>
          <w:color w:val="auto"/>
        </w:rPr>
      </w:pPr>
      <w:r>
        <w:rPr>
          <w:rFonts w:ascii="Times New Roman" w:cs="Times New Roman" w:eastAsia="Times New Roman" w:hAnsi="Times New Roman"/>
          <w:sz w:val="12"/>
          <w:szCs w:val="12"/>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98" w:lineRule="exact"/>
        <w:rPr>
          <w:sz w:val="20"/>
          <w:szCs w:val="20"/>
          <w:color w:val="auto"/>
        </w:rPr>
      </w:pPr>
    </w:p>
    <w:p>
      <w:pPr>
        <w:ind w:firstLine="497"/>
        <w:spacing w:after="0" w:line="225" w:lineRule="auto"/>
        <w:rPr>
          <w:sz w:val="20"/>
          <w:szCs w:val="20"/>
          <w:color w:val="auto"/>
        </w:rPr>
      </w:pPr>
      <w:r>
        <w:rPr>
          <w:rFonts w:ascii="Times New Roman" w:cs="Times New Roman" w:eastAsia="Times New Roman" w:hAnsi="Times New Roman"/>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05" w:lineRule="exact"/>
        <w:rPr>
          <w:sz w:val="20"/>
          <w:szCs w:val="20"/>
          <w:color w:val="auto"/>
        </w:rPr>
      </w:pPr>
    </w:p>
    <w:p>
      <w:pPr>
        <w:ind w:right="280" w:firstLine="497"/>
        <w:spacing w:after="0" w:line="254" w:lineRule="auto"/>
        <w:rPr>
          <w:sz w:val="20"/>
          <w:szCs w:val="20"/>
          <w:color w:val="auto"/>
        </w:rPr>
      </w:pPr>
      <w:r>
        <w:rPr>
          <w:rFonts w:ascii="Times New Roman" w:cs="Times New Roman" w:eastAsia="Times New Roman" w:hAnsi="Times New Roman"/>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80" w:lineRule="exact"/>
        <w:rPr>
          <w:sz w:val="20"/>
          <w:szCs w:val="20"/>
          <w:color w:val="auto"/>
        </w:rPr>
      </w:pPr>
    </w:p>
    <w:p>
      <w:pPr>
        <w:ind w:left="1000" w:hanging="505"/>
        <w:spacing w:after="0"/>
        <w:tabs>
          <w:tab w:leader="none" w:pos="100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the account or trust documentation, including the advisory agreement;</w:t>
      </w:r>
    </w:p>
    <w:p>
      <w:pPr>
        <w:spacing w:after="0" w:line="123" w:lineRule="exact"/>
        <w:rPr>
          <w:rFonts w:ascii="Times New Roman" w:cs="Times New Roman" w:eastAsia="Times New Roman" w:hAnsi="Times New Roman"/>
          <w:sz w:val="13"/>
          <w:szCs w:val="13"/>
          <w:color w:val="auto"/>
        </w:rPr>
      </w:pPr>
    </w:p>
    <w:p>
      <w:pPr>
        <w:ind w:left="1000" w:right="260" w:hanging="505"/>
        <w:spacing w:after="0" w:line="254" w:lineRule="auto"/>
        <w:tabs>
          <w:tab w:leader="none" w:pos="100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92" w:lineRule="exact"/>
        <w:rPr>
          <w:rFonts w:ascii="Times New Roman" w:cs="Times New Roman" w:eastAsia="Times New Roman" w:hAnsi="Times New Roman"/>
          <w:sz w:val="13"/>
          <w:szCs w:val="13"/>
          <w:color w:val="auto"/>
        </w:rPr>
      </w:pPr>
    </w:p>
    <w:p>
      <w:pPr>
        <w:ind w:left="1000" w:right="60" w:hanging="505"/>
        <w:spacing w:after="0" w:line="254" w:lineRule="auto"/>
        <w:tabs>
          <w:tab w:leader="none" w:pos="100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Specific periodic certifications from the access person, trustee and/or manager, as to the nature of the account and whether the access person has sought to exercise influence or control over the trustee or manager;</w:t>
      </w:r>
    </w:p>
    <w:p>
      <w:pPr>
        <w:spacing w:after="0" w:line="92" w:lineRule="exact"/>
        <w:rPr>
          <w:rFonts w:ascii="Times New Roman" w:cs="Times New Roman" w:eastAsia="Times New Roman" w:hAnsi="Times New Roman"/>
          <w:sz w:val="13"/>
          <w:szCs w:val="13"/>
          <w:color w:val="auto"/>
        </w:rPr>
      </w:pPr>
    </w:p>
    <w:p>
      <w:pPr>
        <w:ind w:left="1000" w:right="460" w:hanging="505"/>
        <w:spacing w:after="0" w:line="254" w:lineRule="auto"/>
        <w:tabs>
          <w:tab w:leader="none" w:pos="100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information that the CCO believes necessary or appropriate to determine whether the account meets the standards set forth herein.</w:t>
      </w:r>
    </w:p>
    <w:p>
      <w:pPr>
        <w:spacing w:after="0" w:line="123" w:lineRule="exact"/>
        <w:rPr>
          <w:sz w:val="20"/>
          <w:szCs w:val="20"/>
          <w:color w:val="auto"/>
        </w:rPr>
      </w:pPr>
    </w:p>
    <w:p>
      <w:pPr>
        <w:ind w:right="20" w:firstLine="497"/>
        <w:spacing w:after="0" w:line="230" w:lineRule="auto"/>
        <w:rPr>
          <w:sz w:val="20"/>
          <w:szCs w:val="20"/>
          <w:color w:val="auto"/>
        </w:rPr>
      </w:pPr>
      <w:r>
        <w:rPr>
          <w:rFonts w:ascii="Times New Roman" w:cs="Times New Roman" w:eastAsia="Times New Roman" w:hAnsi="Times New Roman"/>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VII Additional Prohibitions</w:t>
      </w:r>
    </w:p>
    <w:p>
      <w:pPr>
        <w:spacing w:after="0" w:line="125" w:lineRule="exact"/>
        <w:rPr>
          <w:sz w:val="20"/>
          <w:szCs w:val="20"/>
          <w:color w:val="auto"/>
        </w:rPr>
      </w:pPr>
    </w:p>
    <w:p>
      <w:pPr>
        <w:ind w:left="1000" w:hanging="505"/>
        <w:spacing w:after="0"/>
        <w:tabs>
          <w:tab w:leader="none" w:pos="100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Confidentiality of the Corporation’s Transactions.</w:t>
      </w:r>
    </w:p>
    <w:p>
      <w:pPr>
        <w:spacing w:after="0" w:line="123" w:lineRule="exact"/>
        <w:rPr>
          <w:sz w:val="20"/>
          <w:szCs w:val="20"/>
          <w:color w:val="auto"/>
        </w:rPr>
      </w:pPr>
    </w:p>
    <w:p>
      <w:pPr>
        <w:ind w:right="20" w:firstLine="497"/>
        <w:spacing w:after="0" w:line="237" w:lineRule="auto"/>
        <w:rPr>
          <w:sz w:val="20"/>
          <w:szCs w:val="20"/>
          <w:color w:val="auto"/>
        </w:rPr>
      </w:pPr>
      <w:r>
        <w:rPr>
          <w:rFonts w:ascii="Times New Roman" w:cs="Times New Roman" w:eastAsia="Times New Roman" w:hAnsi="Times New Roman"/>
          <w:sz w:val="13"/>
          <w:szCs w:val="13"/>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90" w:lineRule="exact"/>
        <w:rPr>
          <w:sz w:val="20"/>
          <w:szCs w:val="20"/>
          <w:color w:val="auto"/>
        </w:rPr>
      </w:pPr>
    </w:p>
    <w:p>
      <w:pPr>
        <w:ind w:left="1000" w:hanging="505"/>
        <w:spacing w:after="0"/>
        <w:tabs>
          <w:tab w:leader="none" w:pos="10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Outside Business Activities and Directorships.</w:t>
      </w:r>
    </w:p>
    <w:p>
      <w:pPr>
        <w:spacing w:after="0" w:line="123" w:lineRule="exact"/>
        <w:rPr>
          <w:sz w:val="20"/>
          <w:szCs w:val="20"/>
          <w:color w:val="auto"/>
        </w:rPr>
      </w:pPr>
    </w:p>
    <w:p>
      <w:pPr>
        <w:ind w:right="440" w:firstLine="497"/>
        <w:spacing w:after="0" w:line="254" w:lineRule="auto"/>
        <w:rPr>
          <w:sz w:val="20"/>
          <w:szCs w:val="20"/>
          <w:color w:val="auto"/>
        </w:rPr>
      </w:pPr>
      <w:r>
        <w:rPr>
          <w:rFonts w:ascii="Times New Roman" w:cs="Times New Roman" w:eastAsia="Times New Roman" w:hAnsi="Times New Roman"/>
          <w:sz w:val="13"/>
          <w:szCs w:val="13"/>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92" w:lineRule="exact"/>
        <w:rPr>
          <w:sz w:val="20"/>
          <w:szCs w:val="20"/>
          <w:color w:val="auto"/>
        </w:rPr>
      </w:pPr>
    </w:p>
    <w:p>
      <w:pPr>
        <w:ind w:left="1000" w:hanging="505"/>
        <w:spacing w:after="0"/>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Gratuities.</w:t>
      </w:r>
    </w:p>
    <w:p>
      <w:pPr>
        <w:spacing w:after="0" w:line="123" w:lineRule="exact"/>
        <w:rPr>
          <w:sz w:val="20"/>
          <w:szCs w:val="20"/>
          <w:color w:val="auto"/>
        </w:rPr>
      </w:pPr>
    </w:p>
    <w:p>
      <w:pPr>
        <w:ind w:right="340" w:firstLine="497"/>
        <w:spacing w:after="0" w:line="254" w:lineRule="auto"/>
        <w:rPr>
          <w:sz w:val="20"/>
          <w:szCs w:val="20"/>
          <w:color w:val="auto"/>
        </w:rPr>
      </w:pPr>
      <w:r>
        <w:rPr>
          <w:rFonts w:ascii="Times New Roman" w:cs="Times New Roman" w:eastAsia="Times New Roman" w:hAnsi="Times New Roman"/>
          <w:sz w:val="13"/>
          <w:szCs w:val="13"/>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5962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93" w:name="page94"/>
    <w:bookmarkEnd w:id="93"/>
    <w:p>
      <w:pPr>
        <w:ind w:left="1"/>
        <w:spacing w:after="0"/>
        <w:rPr>
          <w:sz w:val="20"/>
          <w:szCs w:val="20"/>
          <w:color w:val="auto"/>
        </w:rPr>
      </w:pPr>
      <w:r>
        <w:rPr>
          <w:rFonts w:ascii="Times New Roman" w:cs="Times New Roman" w:eastAsia="Times New Roman" w:hAnsi="Times New Roman"/>
          <w:sz w:val="13"/>
          <w:szCs w:val="13"/>
          <w:b w:val="1"/>
          <w:bCs w:val="1"/>
          <w:color w:val="auto"/>
        </w:rPr>
        <w:t>Section VIII Prohibition Against Insider Trading</w:t>
      </w:r>
    </w:p>
    <w:p>
      <w:pPr>
        <w:spacing w:after="0" w:line="113" w:lineRule="exact"/>
        <w:rPr>
          <w:sz w:val="20"/>
          <w:szCs w:val="20"/>
          <w:color w:val="auto"/>
        </w:rPr>
      </w:pPr>
    </w:p>
    <w:p>
      <w:pPr>
        <w:ind w:left="1" w:right="120" w:firstLine="497"/>
        <w:spacing w:after="0" w:line="230" w:lineRule="auto"/>
        <w:rPr>
          <w:sz w:val="20"/>
          <w:szCs w:val="20"/>
          <w:color w:val="auto"/>
        </w:rPr>
      </w:pPr>
      <w:r>
        <w:rPr>
          <w:rFonts w:ascii="Times New Roman" w:cs="Times New Roman" w:eastAsia="Times New Roman" w:hAnsi="Times New Roman"/>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1" w:lineRule="exact"/>
        <w:rPr>
          <w:sz w:val="20"/>
          <w:szCs w:val="20"/>
          <w:color w:val="auto"/>
        </w:rPr>
      </w:pPr>
    </w:p>
    <w:p>
      <w:pPr>
        <w:ind w:left="1001" w:right="80" w:hanging="505"/>
        <w:spacing w:after="0" w:line="254" w:lineRule="auto"/>
        <w:tabs>
          <w:tab w:leader="none" w:pos="100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92" w:lineRule="exact"/>
        <w:rPr>
          <w:rFonts w:ascii="Times New Roman" w:cs="Times New Roman" w:eastAsia="Times New Roman" w:hAnsi="Times New Roman"/>
          <w:sz w:val="13"/>
          <w:szCs w:val="13"/>
          <w:color w:val="auto"/>
        </w:rPr>
      </w:pPr>
    </w:p>
    <w:p>
      <w:pPr>
        <w:ind w:left="1001" w:right="100" w:hanging="505"/>
        <w:spacing w:after="0" w:line="228" w:lineRule="auto"/>
        <w:tabs>
          <w:tab w:leader="none" w:pos="100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01" w:lineRule="exact"/>
        <w:rPr>
          <w:rFonts w:ascii="Times New Roman" w:cs="Times New Roman" w:eastAsia="Times New Roman" w:hAnsi="Times New Roman"/>
          <w:sz w:val="13"/>
          <w:szCs w:val="13"/>
          <w:color w:val="auto"/>
        </w:rPr>
      </w:pPr>
    </w:p>
    <w:p>
      <w:pPr>
        <w:ind w:left="1001" w:right="200" w:hanging="505"/>
        <w:spacing w:after="0" w:line="237" w:lineRule="auto"/>
        <w:tabs>
          <w:tab w:leader="none" w:pos="100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or some other publication of general circulation, and after sufficient time has passed so that the information has been disseminated widely.</w:t>
      </w:r>
    </w:p>
    <w:p>
      <w:pPr>
        <w:spacing w:after="0" w:line="102" w:lineRule="exact"/>
        <w:rPr>
          <w:rFonts w:ascii="Times New Roman" w:cs="Times New Roman" w:eastAsia="Times New Roman" w:hAnsi="Times New Roman"/>
          <w:sz w:val="13"/>
          <w:szCs w:val="13"/>
          <w:color w:val="auto"/>
        </w:rPr>
      </w:pPr>
    </w:p>
    <w:p>
      <w:pPr>
        <w:ind w:left="1001" w:hanging="505"/>
        <w:spacing w:after="0" w:line="237" w:lineRule="auto"/>
        <w:tabs>
          <w:tab w:leader="none" w:pos="100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02" w:lineRule="exact"/>
        <w:rPr>
          <w:sz w:val="20"/>
          <w:szCs w:val="20"/>
          <w:color w:val="auto"/>
        </w:rPr>
      </w:pPr>
    </w:p>
    <w:p>
      <w:pPr>
        <w:ind w:left="1001" w:hanging="505"/>
        <w:spacing w:after="0"/>
        <w:tabs>
          <w:tab w:leader="none" w:pos="100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the information and proposed trade immediately to the Chief Compliance Officer.</w:t>
      </w:r>
    </w:p>
    <w:p>
      <w:pPr>
        <w:spacing w:after="0" w:line="123"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 not purchase or sell the securities on behalf of anyone, including Client Accounts.</w:t>
      </w:r>
    </w:p>
    <w:p>
      <w:pPr>
        <w:spacing w:after="0" w:line="123" w:lineRule="exact"/>
        <w:rPr>
          <w:rFonts w:ascii="Times New Roman" w:cs="Times New Roman" w:eastAsia="Times New Roman" w:hAnsi="Times New Roman"/>
          <w:sz w:val="13"/>
          <w:szCs w:val="13"/>
          <w:color w:val="auto"/>
        </w:rPr>
      </w:pPr>
    </w:p>
    <w:p>
      <w:pPr>
        <w:ind w:left="1001" w:hanging="505"/>
        <w:spacing w:after="0"/>
        <w:tabs>
          <w:tab w:leader="none" w:pos="100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 not communicate the information to any person, other than to the Chief Compliance Officer.</w:t>
      </w:r>
    </w:p>
    <w:p>
      <w:pPr>
        <w:spacing w:after="0" w:line="123" w:lineRule="exact"/>
        <w:rPr>
          <w:sz w:val="20"/>
          <w:szCs w:val="20"/>
          <w:color w:val="auto"/>
        </w:rPr>
      </w:pPr>
    </w:p>
    <w:p>
      <w:pPr>
        <w:ind w:left="1" w:right="120" w:firstLine="497"/>
        <w:spacing w:after="0" w:line="254" w:lineRule="auto"/>
        <w:rPr>
          <w:sz w:val="20"/>
          <w:szCs w:val="20"/>
          <w:color w:val="auto"/>
        </w:rPr>
      </w:pPr>
      <w:r>
        <w:rPr>
          <w:rFonts w:ascii="Times New Roman" w:cs="Times New Roman" w:eastAsia="Times New Roman" w:hAnsi="Times New Roman"/>
          <w:sz w:val="13"/>
          <w:szCs w:val="13"/>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92" w:lineRule="exact"/>
        <w:rPr>
          <w:sz w:val="20"/>
          <w:szCs w:val="20"/>
          <w:color w:val="auto"/>
        </w:rPr>
      </w:pPr>
    </w:p>
    <w:p>
      <w:pPr>
        <w:ind w:left="1001" w:right="140" w:hanging="505"/>
        <w:spacing w:after="0" w:line="228" w:lineRule="auto"/>
        <w:tabs>
          <w:tab w:leader="none" w:pos="1001"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01" w:lineRule="exact"/>
        <w:rPr>
          <w:rFonts w:ascii="Times New Roman" w:cs="Times New Roman" w:eastAsia="Times New Roman" w:hAnsi="Times New Roman"/>
          <w:sz w:val="13"/>
          <w:szCs w:val="13"/>
          <w:color w:val="auto"/>
        </w:rPr>
      </w:pPr>
    </w:p>
    <w:p>
      <w:pPr>
        <w:ind w:left="1001" w:right="80" w:hanging="505"/>
        <w:spacing w:after="0" w:line="230" w:lineRule="auto"/>
        <w:tabs>
          <w:tab w:leader="none" w:pos="1001"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9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Section IX Annual Certification</w:t>
      </w:r>
    </w:p>
    <w:p>
      <w:pPr>
        <w:spacing w:after="0" w:line="113" w:lineRule="exact"/>
        <w:rPr>
          <w:sz w:val="20"/>
          <w:szCs w:val="20"/>
          <w:color w:val="auto"/>
        </w:rPr>
      </w:pPr>
    </w:p>
    <w:p>
      <w:pPr>
        <w:ind w:left="1001" w:hanging="505"/>
        <w:spacing w:after="0"/>
        <w:tabs>
          <w:tab w:leader="none" w:pos="1001"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Persons.</w:t>
      </w:r>
    </w:p>
    <w:p>
      <w:pPr>
        <w:spacing w:after="0" w:line="123" w:lineRule="exact"/>
        <w:rPr>
          <w:sz w:val="20"/>
          <w:szCs w:val="20"/>
          <w:color w:val="auto"/>
        </w:rPr>
      </w:pPr>
    </w:p>
    <w:p>
      <w:pPr>
        <w:ind w:left="1" w:right="60" w:firstLine="497"/>
        <w:spacing w:after="0" w:line="254" w:lineRule="auto"/>
        <w:rPr>
          <w:sz w:val="20"/>
          <w:szCs w:val="20"/>
          <w:color w:val="auto"/>
        </w:rPr>
      </w:pPr>
      <w:r>
        <w:rPr>
          <w:rFonts w:ascii="Times New Roman" w:cs="Times New Roman" w:eastAsia="Times New Roman" w:hAnsi="Times New Roman"/>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92" w:lineRule="exact"/>
        <w:rPr>
          <w:sz w:val="20"/>
          <w:szCs w:val="20"/>
          <w:color w:val="auto"/>
        </w:rPr>
      </w:pPr>
    </w:p>
    <w:p>
      <w:pPr>
        <w:ind w:left="1001" w:hanging="505"/>
        <w:spacing w:after="0"/>
        <w:tabs>
          <w:tab w:leader="none" w:pos="1001"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Board Review.</w:t>
      </w:r>
    </w:p>
    <w:p>
      <w:pPr>
        <w:spacing w:after="0" w:line="123" w:lineRule="exact"/>
        <w:rPr>
          <w:sz w:val="20"/>
          <w:szCs w:val="20"/>
          <w:color w:val="auto"/>
        </w:rPr>
      </w:pPr>
    </w:p>
    <w:p>
      <w:pPr>
        <w:ind w:left="1" w:right="120" w:firstLine="497"/>
        <w:spacing w:after="0" w:line="249" w:lineRule="auto"/>
        <w:rPr>
          <w:sz w:val="20"/>
          <w:szCs w:val="20"/>
          <w:color w:val="auto"/>
        </w:rPr>
      </w:pPr>
      <w:r>
        <w:rPr>
          <w:rFonts w:ascii="Times New Roman" w:cs="Times New Roman" w:eastAsia="Times New Roman" w:hAnsi="Times New Roman"/>
          <w:sz w:val="12"/>
          <w:szCs w:val="12"/>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w:t>
      </w:r>
    </w:p>
    <w:p>
      <w:pPr>
        <w:ind w:left="5601" w:right="3040" w:hanging="5601"/>
        <w:spacing w:after="0" w:line="550" w:lineRule="auto"/>
        <w:tabs>
          <w:tab w:leader="none" w:pos="212"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certifies that the Corporation or the Adviser, as applicable, has adopted procedures reasonably necessary to prevent Access Persons from violating the Code.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5962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46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color w:val="auto"/>
        </w:rPr>
        <w:t>Section X Sanctions</w:t>
      </w:r>
    </w:p>
    <w:p>
      <w:pPr>
        <w:spacing w:after="0" w:line="113" w:lineRule="exact"/>
        <w:rPr>
          <w:sz w:val="20"/>
          <w:szCs w:val="20"/>
          <w:color w:val="auto"/>
        </w:rPr>
      </w:pPr>
    </w:p>
    <w:p>
      <w:pPr>
        <w:ind w:right="60" w:firstLine="497"/>
        <w:spacing w:after="0" w:line="230" w:lineRule="auto"/>
        <w:rPr>
          <w:sz w:val="20"/>
          <w:szCs w:val="20"/>
          <w:color w:val="auto"/>
        </w:rPr>
      </w:pPr>
      <w:r>
        <w:rPr>
          <w:rFonts w:ascii="Times New Roman" w:cs="Times New Roman" w:eastAsia="Times New Roman" w:hAnsi="Times New Roman"/>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XI Administration and Construction</w:t>
      </w:r>
    </w:p>
    <w:p>
      <w:pPr>
        <w:spacing w:after="0" w:line="125" w:lineRule="exact"/>
        <w:rPr>
          <w:sz w:val="20"/>
          <w:szCs w:val="20"/>
          <w:color w:val="auto"/>
        </w:rPr>
      </w:pPr>
    </w:p>
    <w:p>
      <w:pPr>
        <w:ind w:left="1000" w:hanging="505"/>
        <w:spacing w:after="0"/>
        <w:tabs>
          <w:tab w:leader="none" w:pos="100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administration of this Code shall be the responsibility of the Chief Compliance Officer.</w:t>
      </w:r>
    </w:p>
    <w:p>
      <w:pPr>
        <w:spacing w:after="0" w:line="123"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duties of the Chief Compliance Officer are as follows:</w:t>
      </w:r>
    </w:p>
    <w:p>
      <w:pPr>
        <w:spacing w:after="0" w:line="123" w:lineRule="exact"/>
        <w:rPr>
          <w:sz w:val="20"/>
          <w:szCs w:val="20"/>
          <w:color w:val="auto"/>
        </w:rPr>
      </w:pPr>
    </w:p>
    <w:p>
      <w:pPr>
        <w:ind w:left="1000" w:right="360" w:hanging="505"/>
        <w:spacing w:after="0" w:line="254" w:lineRule="auto"/>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92" w:lineRule="exact"/>
        <w:rPr>
          <w:rFonts w:ascii="Times New Roman" w:cs="Times New Roman" w:eastAsia="Times New Roman" w:hAnsi="Times New Roman"/>
          <w:sz w:val="13"/>
          <w:szCs w:val="13"/>
          <w:color w:val="auto"/>
        </w:rPr>
      </w:pPr>
    </w:p>
    <w:p>
      <w:pPr>
        <w:ind w:left="1000" w:right="20" w:hanging="505"/>
        <w:spacing w:after="0" w:line="254" w:lineRule="auto"/>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annual basis, providing all Covered Personnel a copy of this Code and informing such persons of their duties and obligations hereunder including any supplemental training that may be required from time to time;</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Maintaining or supervising the maintenance of all records and reports required by this Code;</w:t>
      </w:r>
    </w:p>
    <w:p>
      <w:pPr>
        <w:spacing w:after="0" w:line="123" w:lineRule="exact"/>
        <w:rPr>
          <w:rFonts w:ascii="Times New Roman" w:cs="Times New Roman" w:eastAsia="Times New Roman" w:hAnsi="Times New Roman"/>
          <w:sz w:val="13"/>
          <w:szCs w:val="13"/>
          <w:color w:val="auto"/>
        </w:rPr>
      </w:pPr>
    </w:p>
    <w:p>
      <w:pPr>
        <w:ind w:left="1000" w:right="80" w:hanging="505"/>
        <w:spacing w:after="0" w:line="254" w:lineRule="auto"/>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Issuance either personally or with the assistance of counsel as may be appropriate, of any interpretation of this Code that may appear consistent with the objectives of Rule 17j-1 and this Code;</w:t>
      </w:r>
    </w:p>
    <w:p>
      <w:pPr>
        <w:spacing w:after="0" w:line="123"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such inspections or investigations as shall reasonably be required to detect and report, with recommendations, any apparent violations of this Code to the board of directors of the Corporation;</w:t>
      </w:r>
    </w:p>
    <w:p>
      <w:pPr>
        <w:spacing w:after="0" w:line="134" w:lineRule="exact"/>
        <w:rPr>
          <w:rFonts w:ascii="Times New Roman" w:cs="Times New Roman" w:eastAsia="Times New Roman" w:hAnsi="Times New Roman"/>
          <w:sz w:val="12"/>
          <w:szCs w:val="12"/>
          <w:color w:val="auto"/>
        </w:rPr>
      </w:pPr>
    </w:p>
    <w:p>
      <w:pPr>
        <w:ind w:left="1000" w:hanging="505"/>
        <w:spacing w:after="0" w:line="254" w:lineRule="auto"/>
        <w:tabs>
          <w:tab w:leader="none" w:pos="10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92" w:lineRule="exact"/>
        <w:rPr>
          <w:sz w:val="20"/>
          <w:szCs w:val="20"/>
          <w:color w:val="auto"/>
        </w:rPr>
      </w:pPr>
    </w:p>
    <w:p>
      <w:pPr>
        <w:ind w:left="1000" w:hanging="505"/>
        <w:spacing w:after="0"/>
        <w:tabs>
          <w:tab w:leader="none" w:pos="100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Chief Financial Officer shall maintain and cause to be maintained in an easily accessible place at the principal place of business of the 17j-1 Organization, the following records:</w:t>
      </w:r>
    </w:p>
    <w:p>
      <w:pPr>
        <w:spacing w:after="0" w:line="123" w:lineRule="exact"/>
        <w:rPr>
          <w:sz w:val="20"/>
          <w:szCs w:val="20"/>
          <w:color w:val="auto"/>
        </w:rPr>
      </w:pPr>
    </w:p>
    <w:p>
      <w:pPr>
        <w:ind w:left="1000" w:hanging="505"/>
        <w:spacing w:after="0"/>
        <w:tabs>
          <w:tab w:leader="none" w:pos="100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copy of all codes of ethics adopted by the Corporation or the Adviser and its affiliates, as the case may be, pursuant to Rule 17j-1 that have been in effect at any time during the past five (5) years;</w:t>
      </w:r>
    </w:p>
    <w:p>
      <w:pPr>
        <w:spacing w:after="0" w:line="134" w:lineRule="exact"/>
        <w:rPr>
          <w:rFonts w:ascii="Times New Roman" w:cs="Times New Roman" w:eastAsia="Times New Roman" w:hAnsi="Times New Roman"/>
          <w:sz w:val="12"/>
          <w:szCs w:val="12"/>
          <w:color w:val="auto"/>
        </w:rPr>
      </w:pPr>
    </w:p>
    <w:p>
      <w:pPr>
        <w:ind w:left="1000" w:hanging="505"/>
        <w:spacing w:after="0"/>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record of each violation of such codes of ethics and of any action taken as a result of such violation for at least five (5) years after the end of the fiscal year in which the violation occurs;</w:t>
      </w:r>
    </w:p>
    <w:p>
      <w:pPr>
        <w:spacing w:after="0" w:line="123" w:lineRule="exact"/>
        <w:rPr>
          <w:rFonts w:ascii="Times New Roman" w:cs="Times New Roman" w:eastAsia="Times New Roman" w:hAnsi="Times New Roman"/>
          <w:sz w:val="13"/>
          <w:szCs w:val="13"/>
          <w:color w:val="auto"/>
        </w:rPr>
      </w:pPr>
    </w:p>
    <w:p>
      <w:pPr>
        <w:ind w:left="1000" w:right="220" w:hanging="505"/>
        <w:spacing w:after="0" w:line="254" w:lineRule="auto"/>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report made by an Access Person for at least two (2) years after the end of the fiscal year in which the report is made, and for an additional three (3) years in a place that need not be easily accessible;</w:t>
      </w:r>
    </w:p>
    <w:p>
      <w:pPr>
        <w:spacing w:after="0" w:line="92" w:lineRule="exact"/>
        <w:rPr>
          <w:rFonts w:ascii="Times New Roman" w:cs="Times New Roman" w:eastAsia="Times New Roman" w:hAnsi="Times New Roman"/>
          <w:sz w:val="13"/>
          <w:szCs w:val="13"/>
          <w:color w:val="auto"/>
        </w:rPr>
      </w:pPr>
    </w:p>
    <w:p>
      <w:pPr>
        <w:ind w:left="1000" w:right="20" w:hanging="505"/>
        <w:spacing w:after="0" w:line="254" w:lineRule="auto"/>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92" w:lineRule="exact"/>
        <w:rPr>
          <w:rFonts w:ascii="Times New Roman" w:cs="Times New Roman" w:eastAsia="Times New Roman" w:hAnsi="Times New Roman"/>
          <w:sz w:val="13"/>
          <w:szCs w:val="13"/>
          <w:color w:val="auto"/>
        </w:rPr>
      </w:pPr>
    </w:p>
    <w:p>
      <w:pPr>
        <w:ind w:left="1000" w:right="340" w:hanging="505"/>
        <w:spacing w:after="0" w:line="254" w:lineRule="auto"/>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list of all persons who are, or within the past five (5) years have been, required to make reports pursuant to the Rule and this Code of Ethics, or who are or were responsible for reviewing such reports;</w:t>
      </w:r>
    </w:p>
    <w:p>
      <w:pPr>
        <w:spacing w:after="0" w:line="92" w:lineRule="exact"/>
        <w:rPr>
          <w:rFonts w:ascii="Times New Roman" w:cs="Times New Roman" w:eastAsia="Times New Roman" w:hAnsi="Times New Roman"/>
          <w:sz w:val="13"/>
          <w:szCs w:val="13"/>
          <w:color w:val="auto"/>
        </w:rPr>
      </w:pPr>
    </w:p>
    <w:p>
      <w:pPr>
        <w:ind w:left="1000" w:right="260" w:hanging="505"/>
        <w:spacing w:after="0" w:line="254" w:lineRule="auto"/>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each report required by Section VII (B) for at least two (2) years after the end of the fiscal year in which it is made, and for an additional three (3) years in a place that need not be easily accessible; and</w:t>
      </w:r>
    </w:p>
    <w:p>
      <w:pPr>
        <w:spacing w:after="0" w:line="92" w:lineRule="exact"/>
        <w:rPr>
          <w:rFonts w:ascii="Times New Roman" w:cs="Times New Roman" w:eastAsia="Times New Roman" w:hAnsi="Times New Roman"/>
          <w:sz w:val="13"/>
          <w:szCs w:val="13"/>
          <w:color w:val="auto"/>
        </w:rPr>
      </w:pPr>
    </w:p>
    <w:p>
      <w:pPr>
        <w:ind w:left="1000" w:hanging="505"/>
        <w:spacing w:after="0"/>
        <w:tabs>
          <w:tab w:leader="none" w:pos="10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record of any decision, and the reasons supporting the decision, to approve the acquisition by an Advisory Person of securities in an Initial Public Offering or Limited Offering for at least five</w:t>
      </w: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 years after the end of the fiscal year in which the approval is granted.</w:t>
      </w:r>
    </w:p>
    <w:p>
      <w:pPr>
        <w:spacing w:after="0" w:line="109" w:lineRule="exact"/>
        <w:rPr>
          <w:sz w:val="20"/>
          <w:szCs w:val="20"/>
          <w:color w:val="auto"/>
        </w:rPr>
      </w:pPr>
    </w:p>
    <w:p>
      <w:pPr>
        <w:ind w:left="1000" w:hanging="505"/>
        <w:spacing w:after="0"/>
        <w:tabs>
          <w:tab w:leader="none" w:pos="100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Code may not be amended or modified except in a written form that is specifically approved by majority vote of the Independent Directors.</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This Joint Code of Ethics, originally adopted December 12, 2007, is annually reviewed and approved by the Board of Directors of the Corporation, including a majority of the Independent Directors.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40"/>
          </w:cols>
          <w:pgMar w:left="320" w:top="46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340" w:type="dxa"/>
            <w:vAlign w:val="bottom"/>
            <w:gridSpan w:val="2"/>
          </w:tcPr>
          <w:p>
            <w:pPr>
              <w:ind w:left="6520"/>
              <w:spacing w:after="0"/>
              <w:rPr>
                <w:sz w:val="20"/>
                <w:szCs w:val="20"/>
                <w:color w:val="auto"/>
              </w:rPr>
            </w:pPr>
            <w:r>
              <w:rPr>
                <w:rFonts w:ascii="Times New Roman" w:cs="Times New Roman" w:eastAsia="Times New Roman" w:hAnsi="Times New Roman"/>
                <w:sz w:val="13"/>
                <w:szCs w:val="13"/>
                <w:b w:val="1"/>
                <w:bCs w:val="1"/>
                <w:color w:val="auto"/>
                <w:w w:val="97"/>
              </w:rPr>
              <w:t>EXHIBIT 21.1</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7340" w:type="dxa"/>
            <w:vAlign w:val="bottom"/>
            <w:gridSpan w:val="2"/>
          </w:tcPr>
          <w:p>
            <w:pPr>
              <w:ind w:left="880"/>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c>
          <w:tcPr>
            <w:tcW w:w="0" w:type="dxa"/>
            <w:vAlign w:val="bottom"/>
          </w:tcPr>
          <w:p>
            <w:pPr>
              <w:spacing w:after="0"/>
              <w:rPr>
                <w:sz w:val="1"/>
                <w:szCs w:val="1"/>
                <w:color w:val="auto"/>
              </w:rPr>
            </w:pPr>
          </w:p>
        </w:tc>
      </w:tr>
      <w:tr>
        <w:trPr>
          <w:trHeight w:val="235"/>
        </w:trPr>
        <w:tc>
          <w:tcPr>
            <w:tcW w:w="3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Name of entity and place of jurisdiction</w:t>
            </w:r>
          </w:p>
        </w:tc>
        <w:tc>
          <w:tcPr>
            <w:tcW w:w="7340" w:type="dxa"/>
            <w:vAlign w:val="bottom"/>
            <w:gridSpan w:val="2"/>
          </w:tcPr>
          <w:p>
            <w:pPr>
              <w:ind w:left="5640"/>
              <w:spacing w:after="0"/>
              <w:rPr>
                <w:sz w:val="20"/>
                <w:szCs w:val="20"/>
                <w:color w:val="auto"/>
              </w:rPr>
            </w:pPr>
            <w:r>
              <w:rPr>
                <w:rFonts w:ascii="Times New Roman" w:cs="Times New Roman" w:eastAsia="Times New Roman" w:hAnsi="Times New Roman"/>
                <w:sz w:val="13"/>
                <w:szCs w:val="13"/>
                <w:b w:val="1"/>
                <w:bCs w:val="1"/>
                <w:color w:val="auto"/>
              </w:rPr>
              <w:t>Voting Securities</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7340" w:type="dxa"/>
            <w:vAlign w:val="bottom"/>
            <w:gridSpan w:val="2"/>
          </w:tcPr>
          <w:p>
            <w:pPr>
              <w:ind w:left="5600"/>
              <w:spacing w:after="0"/>
              <w:rPr>
                <w:sz w:val="20"/>
                <w:szCs w:val="20"/>
                <w:color w:val="auto"/>
              </w:rPr>
            </w:pPr>
            <w:r>
              <w:rPr>
                <w:rFonts w:ascii="Times New Roman" w:cs="Times New Roman" w:eastAsia="Times New Roman" w:hAnsi="Times New Roman"/>
                <w:sz w:val="13"/>
                <w:szCs w:val="13"/>
                <w:b w:val="1"/>
                <w:bCs w:val="1"/>
                <w:color w:val="auto"/>
              </w:rPr>
              <w:t>Owned Percentage</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PennantPark Floating Rate Funding I, LLC (Delaware)</w:t>
            </w:r>
          </w:p>
        </w:tc>
        <w:tc>
          <w:tcPr>
            <w:tcW w:w="7300" w:type="dxa"/>
            <w:vAlign w:val="bottom"/>
            <w:shd w:val="clear" w:color="auto" w:fill="CCECFF"/>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PennantPark Floating Rate Funding II, LLC (Delaware)</w:t>
            </w:r>
          </w:p>
        </w:tc>
        <w:tc>
          <w:tcPr>
            <w:tcW w:w="7300" w:type="dxa"/>
            <w:vAlign w:val="bottom"/>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PennantPark CLO I, LLC (Delaware)</w:t>
            </w:r>
          </w:p>
        </w:tc>
        <w:tc>
          <w:tcPr>
            <w:tcW w:w="7300" w:type="dxa"/>
            <w:vAlign w:val="bottom"/>
            <w:shd w:val="clear" w:color="auto" w:fill="CCECFF"/>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PennantPark CLO I, Ltd. (Cayman Islands)</w:t>
            </w:r>
          </w:p>
        </w:tc>
        <w:tc>
          <w:tcPr>
            <w:tcW w:w="7300" w:type="dxa"/>
            <w:vAlign w:val="bottom"/>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PennantPark CLO I Depositor, LLC (Delaware)</w:t>
            </w:r>
          </w:p>
        </w:tc>
        <w:tc>
          <w:tcPr>
            <w:tcW w:w="7300" w:type="dxa"/>
            <w:vAlign w:val="bottom"/>
            <w:shd w:val="clear" w:color="auto" w:fill="CCECFF"/>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PFLT Investment Holdings, LLC (Delaware)</w:t>
            </w:r>
          </w:p>
        </w:tc>
        <w:tc>
          <w:tcPr>
            <w:tcW w:w="7300" w:type="dxa"/>
            <w:vAlign w:val="bottom"/>
          </w:tcPr>
          <w:p>
            <w:pPr>
              <w:ind w:left="6760"/>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60" w:type="dxa"/>
            <w:vAlign w:val="bottom"/>
            <w:gridSpan w:val="2"/>
            <w:shd w:val="clear" w:color="auto" w:fill="CCECFF"/>
          </w:tcPr>
          <w:p>
            <w:pPr>
              <w:spacing w:after="0" w:line="136" w:lineRule="exact"/>
              <w:rPr>
                <w:sz w:val="20"/>
                <w:szCs w:val="20"/>
                <w:color w:val="auto"/>
              </w:rPr>
            </w:pPr>
            <w:r>
              <w:rPr>
                <w:rFonts w:ascii="Times New Roman" w:cs="Times New Roman" w:eastAsia="Times New Roman" w:hAnsi="Times New Roman"/>
                <w:sz w:val="13"/>
                <w:szCs w:val="13"/>
                <w:color w:val="auto"/>
              </w:rPr>
              <w:t>PennantPark Senior Secured Loan Fund I LLC</w:t>
            </w:r>
          </w:p>
        </w:tc>
        <w:tc>
          <w:tcPr>
            <w:tcW w:w="7300" w:type="dxa"/>
            <w:vAlign w:val="bottom"/>
            <w:shd w:val="clear" w:color="auto" w:fill="CCECFF"/>
          </w:tcPr>
          <w:p>
            <w:pPr>
              <w:ind w:left="6760"/>
              <w:spacing w:after="0" w:line="136" w:lineRule="exact"/>
              <w:rPr>
                <w:sz w:val="20"/>
                <w:szCs w:val="20"/>
                <w:color w:val="auto"/>
              </w:rPr>
            </w:pPr>
            <w:r>
              <w:rPr>
                <w:rFonts w:ascii="Times New Roman" w:cs="Times New Roman" w:eastAsia="Times New Roman" w:hAnsi="Times New Roman"/>
                <w:sz w:val="13"/>
                <w:szCs w:val="13"/>
                <w:color w:val="auto"/>
              </w:rPr>
              <w:t xml:space="preserve">100% </w:t>
            </w: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1"/>
                <w:szCs w:val="11"/>
                <w:color w:val="auto"/>
                <w:w w:val="77"/>
              </w:rPr>
              <w:t>(1)</w:t>
            </w:r>
          </w:p>
        </w:tc>
        <w:tc>
          <w:tcPr>
            <w:tcW w:w="3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This is a controlled affiliated investment.</w:t>
            </w:r>
          </w:p>
        </w:tc>
        <w:tc>
          <w:tcPr>
            <w:tcW w:w="7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2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 on Form N-2 of PennantPark Floating Rate Capital Ltd. and Subsidiaries (the Company) of our reports dated November 18, 2020, relating to the consolidated financial statements and the effectiveness of internal control over financial reporting appearing in the accompanying Form 10-K of the Company for the year ended September 30, 2020. We also consent to the use in such Registration Statement of our report dated November 18, 2020, relating to the senior securities table appearing as Exhibit 99.2 in the accompanying Form 10-K of the Company for the year ended September 30, 2020. We also consent to the use in such Registration Statement of our report dated November 18, 2020, relating to the consolidated financial statements of PennantPark Senior Secured Loan Fund I LLC as of and for the years ended September 30, 2020 and 2019 appearing as Exhibit 99.3 in the accompanying Form 10-K of the Company for the year ended September 30, 2020.</w:t>
      </w:r>
    </w:p>
    <w:p>
      <w:pPr>
        <w:spacing w:after="0" w:line="1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3"/>
          <w:szCs w:val="13"/>
          <w:color w:val="auto"/>
        </w:rPr>
        <w:t>We also consent to the reference to our firm under the heading “Senior Securities” in the accompanying Form 10-K and “Independent Registered Public Accounting Firm” in such Registration Statement on Form N-2.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18, 2020</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Floating Rate Capital Ltd., certify that:</w:t>
      </w:r>
    </w:p>
    <w:p>
      <w:pPr>
        <w:spacing w:after="0" w:line="123" w:lineRule="exact"/>
        <w:rPr>
          <w:sz w:val="20"/>
          <w:szCs w:val="20"/>
          <w:color w:val="auto"/>
        </w:rPr>
      </w:pPr>
    </w:p>
    <w:p>
      <w:pPr>
        <w:ind w:left="380" w:hanging="132"/>
        <w:spacing w:after="0"/>
        <w:tabs>
          <w:tab w:leader="none" w:pos="3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Floating Rate Capital Ltd.;</w:t>
      </w:r>
    </w:p>
    <w:p>
      <w:pPr>
        <w:spacing w:after="0" w:line="123" w:lineRule="exact"/>
        <w:rPr>
          <w:rFonts w:ascii="Times New Roman" w:cs="Times New Roman" w:eastAsia="Times New Roman" w:hAnsi="Times New Roman"/>
          <w:sz w:val="13"/>
          <w:szCs w:val="13"/>
          <w:color w:val="auto"/>
        </w:rPr>
      </w:pPr>
    </w:p>
    <w:p>
      <w:pPr>
        <w:ind w:left="240" w:right="20" w:firstLine="8"/>
        <w:spacing w:after="0" w:line="254" w:lineRule="auto"/>
        <w:tabs>
          <w:tab w:leader="none" w:pos="37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3"/>
          <w:szCs w:val="13"/>
          <w:color w:val="auto"/>
        </w:rPr>
      </w:pPr>
    </w:p>
    <w:p>
      <w:pPr>
        <w:ind w:left="240" w:right="20" w:firstLine="8"/>
        <w:spacing w:after="0" w:line="254" w:lineRule="auto"/>
        <w:tabs>
          <w:tab w:leader="none" w:pos="37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3"/>
          <w:szCs w:val="13"/>
          <w:color w:val="auto"/>
        </w:rPr>
      </w:pPr>
    </w:p>
    <w:p>
      <w:pPr>
        <w:ind w:left="240" w:right="180" w:firstLine="8"/>
        <w:spacing w:after="0" w:line="254" w:lineRule="auto"/>
        <w:tabs>
          <w:tab w:leader="none" w:pos="37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3"/>
          <w:szCs w:val="13"/>
          <w:color w:val="auto"/>
        </w:rPr>
      </w:pPr>
    </w:p>
    <w:p>
      <w:pPr>
        <w:ind w:left="500" w:right="60" w:hanging="4"/>
        <w:spacing w:after="0" w:line="254" w:lineRule="auto"/>
        <w:tabs>
          <w:tab w:leader="none" w:pos="636"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0" w:lineRule="exact"/>
        <w:rPr>
          <w:rFonts w:ascii="Times New Roman" w:cs="Times New Roman" w:eastAsia="Times New Roman" w:hAnsi="Times New Roman"/>
          <w:sz w:val="13"/>
          <w:szCs w:val="13"/>
          <w:color w:val="auto"/>
        </w:rPr>
      </w:pPr>
    </w:p>
    <w:p>
      <w:pPr>
        <w:ind w:left="500" w:right="280" w:hanging="4"/>
        <w:spacing w:after="0" w:line="254" w:lineRule="auto"/>
        <w:tabs>
          <w:tab w:leader="none" w:pos="643"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2" w:lineRule="exact"/>
        <w:rPr>
          <w:rFonts w:ascii="Times New Roman" w:cs="Times New Roman" w:eastAsia="Times New Roman" w:hAnsi="Times New Roman"/>
          <w:sz w:val="13"/>
          <w:szCs w:val="13"/>
          <w:color w:val="auto"/>
        </w:rPr>
      </w:pPr>
    </w:p>
    <w:p>
      <w:pPr>
        <w:ind w:left="500" w:right="60" w:hanging="4"/>
        <w:spacing w:after="0" w:line="254" w:lineRule="auto"/>
        <w:tabs>
          <w:tab w:leader="none" w:pos="636"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3"/>
          <w:szCs w:val="13"/>
          <w:color w:val="auto"/>
        </w:rPr>
      </w:pPr>
    </w:p>
    <w:p>
      <w:pPr>
        <w:ind w:left="500" w:right="120" w:hanging="4"/>
        <w:spacing w:after="0" w:line="254" w:lineRule="auto"/>
        <w:tabs>
          <w:tab w:leader="none" w:pos="643"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Times New Roman" w:cs="Times New Roman" w:eastAsia="Times New Roman" w:hAnsi="Times New Roman"/>
          <w:sz w:val="13"/>
          <w:szCs w:val="13"/>
          <w:color w:val="auto"/>
        </w:rPr>
      </w:pPr>
    </w:p>
    <w:p>
      <w:pPr>
        <w:ind w:left="240" w:right="380" w:firstLine="8"/>
        <w:spacing w:after="0" w:line="254" w:lineRule="auto"/>
        <w:tabs>
          <w:tab w:leader="none" w:pos="372"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3"/>
          <w:szCs w:val="13"/>
          <w:color w:val="auto"/>
        </w:rPr>
      </w:pPr>
    </w:p>
    <w:p>
      <w:pPr>
        <w:ind w:left="500" w:right="380" w:hanging="4"/>
        <w:spacing w:after="0" w:line="254" w:lineRule="auto"/>
        <w:tabs>
          <w:tab w:leader="none" w:pos="636"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3"/>
          <w:szCs w:val="13"/>
          <w:color w:val="auto"/>
        </w:rPr>
      </w:pPr>
    </w:p>
    <w:p>
      <w:pPr>
        <w:ind w:left="640" w:hanging="144"/>
        <w:spacing w:after="0"/>
        <w:tabs>
          <w:tab w:leader="none" w:pos="640"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18, 2020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Arthur H. Penn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Name:</w:t>
            </w:r>
          </w:p>
        </w:tc>
        <w:tc>
          <w:tcPr>
            <w:tcW w:w="4080" w:type="dxa"/>
            <w:vAlign w:val="bottom"/>
            <w:tcBorders>
              <w:top w:val="single" w:sz="8" w:color="auto"/>
            </w:tcBorders>
          </w:tcPr>
          <w:p>
            <w:pPr>
              <w:ind w:left="80"/>
              <w:spacing w:after="0" w:line="109" w:lineRule="exact"/>
              <w:rPr>
                <w:sz w:val="20"/>
                <w:szCs w:val="20"/>
                <w:color w:val="auto"/>
              </w:rPr>
            </w:pPr>
            <w:r>
              <w:rPr>
                <w:rFonts w:ascii="Times New Roman" w:cs="Times New Roman" w:eastAsia="Times New Roman" w:hAnsi="Times New Roman"/>
                <w:sz w:val="12"/>
                <w:szCs w:val="12"/>
                <w:color w:val="auto"/>
              </w:rPr>
              <w:t>Arthur H. Penn</w:t>
            </w:r>
          </w:p>
        </w:tc>
      </w:tr>
      <w:tr>
        <w:trPr>
          <w:trHeight w:val="172"/>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11240"/>
          </w:cols>
          <w:pgMar w:left="320" w:top="328"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Aviv Efrat, Chief Financial Officer of PennantPark Floating Rate Capital Ltd., certify that:</w:t>
      </w:r>
    </w:p>
    <w:p>
      <w:pPr>
        <w:spacing w:after="0" w:line="123" w:lineRule="exact"/>
        <w:rPr>
          <w:sz w:val="20"/>
          <w:szCs w:val="20"/>
          <w:color w:val="auto"/>
        </w:rPr>
      </w:pPr>
    </w:p>
    <w:p>
      <w:pPr>
        <w:ind w:left="380" w:hanging="132"/>
        <w:spacing w:after="0"/>
        <w:tabs>
          <w:tab w:leader="none" w:pos="38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Floating Rate Capital Ltd.;</w:t>
      </w:r>
    </w:p>
    <w:p>
      <w:pPr>
        <w:spacing w:after="0" w:line="123" w:lineRule="exact"/>
        <w:rPr>
          <w:rFonts w:ascii="Times New Roman" w:cs="Times New Roman" w:eastAsia="Times New Roman" w:hAnsi="Times New Roman"/>
          <w:sz w:val="13"/>
          <w:szCs w:val="13"/>
          <w:color w:val="auto"/>
        </w:rPr>
      </w:pPr>
    </w:p>
    <w:p>
      <w:pPr>
        <w:ind w:left="240" w:right="20" w:firstLine="8"/>
        <w:spacing w:after="0" w:line="254" w:lineRule="auto"/>
        <w:tabs>
          <w:tab w:leader="none" w:pos="37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Times New Roman" w:cs="Times New Roman" w:eastAsia="Times New Roman" w:hAnsi="Times New Roman"/>
          <w:sz w:val="13"/>
          <w:szCs w:val="13"/>
          <w:color w:val="auto"/>
        </w:rPr>
      </w:pPr>
    </w:p>
    <w:p>
      <w:pPr>
        <w:ind w:left="240" w:right="20" w:firstLine="8"/>
        <w:spacing w:after="0" w:line="254" w:lineRule="auto"/>
        <w:tabs>
          <w:tab w:leader="none" w:pos="37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3"/>
          <w:szCs w:val="13"/>
          <w:color w:val="auto"/>
        </w:rPr>
      </w:pPr>
    </w:p>
    <w:p>
      <w:pPr>
        <w:ind w:left="240" w:right="180" w:firstLine="8"/>
        <w:spacing w:after="0" w:line="254" w:lineRule="auto"/>
        <w:tabs>
          <w:tab w:leader="none" w:pos="37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Times New Roman" w:cs="Times New Roman" w:eastAsia="Times New Roman" w:hAnsi="Times New Roman"/>
          <w:sz w:val="13"/>
          <w:szCs w:val="13"/>
          <w:color w:val="auto"/>
        </w:rPr>
      </w:pPr>
    </w:p>
    <w:p>
      <w:pPr>
        <w:ind w:left="500" w:right="60" w:hanging="4"/>
        <w:spacing w:after="0" w:line="254" w:lineRule="auto"/>
        <w:tabs>
          <w:tab w:leader="none" w:pos="636"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0" w:lineRule="exact"/>
        <w:rPr>
          <w:rFonts w:ascii="Times New Roman" w:cs="Times New Roman" w:eastAsia="Times New Roman" w:hAnsi="Times New Roman"/>
          <w:sz w:val="13"/>
          <w:szCs w:val="13"/>
          <w:color w:val="auto"/>
        </w:rPr>
      </w:pPr>
    </w:p>
    <w:p>
      <w:pPr>
        <w:ind w:left="500" w:right="280" w:hanging="4"/>
        <w:spacing w:after="0" w:line="254" w:lineRule="auto"/>
        <w:tabs>
          <w:tab w:leader="none" w:pos="643"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2" w:lineRule="exact"/>
        <w:rPr>
          <w:rFonts w:ascii="Times New Roman" w:cs="Times New Roman" w:eastAsia="Times New Roman" w:hAnsi="Times New Roman"/>
          <w:sz w:val="13"/>
          <w:szCs w:val="13"/>
          <w:color w:val="auto"/>
        </w:rPr>
      </w:pPr>
    </w:p>
    <w:p>
      <w:pPr>
        <w:ind w:left="500" w:right="60" w:hanging="4"/>
        <w:spacing w:after="0" w:line="254" w:lineRule="auto"/>
        <w:tabs>
          <w:tab w:leader="none" w:pos="636"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3"/>
          <w:szCs w:val="13"/>
          <w:color w:val="auto"/>
        </w:rPr>
      </w:pPr>
    </w:p>
    <w:p>
      <w:pPr>
        <w:ind w:left="500" w:right="120" w:hanging="4"/>
        <w:spacing w:after="0" w:line="254" w:lineRule="auto"/>
        <w:tabs>
          <w:tab w:leader="none" w:pos="643"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Times New Roman" w:cs="Times New Roman" w:eastAsia="Times New Roman" w:hAnsi="Times New Roman"/>
          <w:sz w:val="13"/>
          <w:szCs w:val="13"/>
          <w:color w:val="auto"/>
        </w:rPr>
      </w:pPr>
    </w:p>
    <w:p>
      <w:pPr>
        <w:ind w:left="240" w:right="380" w:firstLine="8"/>
        <w:spacing w:after="0" w:line="254" w:lineRule="auto"/>
        <w:tabs>
          <w:tab w:leader="none" w:pos="372"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3"/>
          <w:szCs w:val="13"/>
          <w:color w:val="auto"/>
        </w:rPr>
      </w:pPr>
    </w:p>
    <w:p>
      <w:pPr>
        <w:ind w:left="500" w:right="380" w:hanging="4"/>
        <w:spacing w:after="0" w:line="254" w:lineRule="auto"/>
        <w:tabs>
          <w:tab w:leader="none" w:pos="636"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3"/>
          <w:szCs w:val="13"/>
          <w:color w:val="auto"/>
        </w:rPr>
      </w:pPr>
    </w:p>
    <w:p>
      <w:pPr>
        <w:ind w:left="640" w:hanging="144"/>
        <w:spacing w:after="0"/>
        <w:tabs>
          <w:tab w:leader="none" w:pos="640"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November 18, 2020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Aviv Efrat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5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Borders>
              <w:top w:val="single" w:sz="8" w:color="auto"/>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Aviv Efrat</w:t>
            </w:r>
          </w:p>
        </w:tc>
      </w:t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Chief Financial Officer</w:t>
            </w:r>
          </w:p>
        </w:tc>
      </w:tr>
    </w:tbl>
    <w:p>
      <w:pPr>
        <w:sectPr>
          <w:pgSz w:w="11900" w:h="16838" w:orient="portrait"/>
          <w:cols w:equalWidth="0" w:num="1">
            <w:col w:w="11240"/>
          </w:cols>
          <w:pgMar w:left="320" w:top="32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PURSUANT TO</w:t>
      </w: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In connection with the Annual Report on Form 10-K of PennantPark Floating Rate Capital Ltd. (the “Company”) for the annual period ended September 30, 2020 as filed with the Securities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Commission on the date hereof (the “Report”), I, Arthur H. Penn, as Chief Executive Officer of the Registrant hereby certify, to the best of my knowledge that:</w:t>
      </w:r>
    </w:p>
    <w:p>
      <w:pPr>
        <w:spacing w:after="0" w:line="109" w:lineRule="exact"/>
        <w:rPr>
          <w:sz w:val="20"/>
          <w:szCs w:val="20"/>
          <w:color w:val="auto"/>
        </w:rPr>
      </w:pPr>
    </w:p>
    <w:p>
      <w:pPr>
        <w:ind w:left="440" w:hanging="192"/>
        <w:spacing w:after="0"/>
        <w:tabs>
          <w:tab w:leader="none" w:pos="44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3"/>
          <w:szCs w:val="13"/>
          <w:color w:val="auto"/>
        </w:rPr>
      </w:pPr>
    </w:p>
    <w:p>
      <w:pPr>
        <w:ind w:left="440" w:hanging="192"/>
        <w:spacing w:after="0"/>
        <w:tabs>
          <w:tab w:leader="none" w:pos="44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Arthur H. Penn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5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Borders>
              <w:top w:val="single" w:sz="8" w:color="auto"/>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Arthur H. Penn</w:t>
            </w:r>
          </w:p>
        </w:tc>
      </w:tr>
      <w:tr>
        <w:trPr>
          <w:trHeight w:val="136"/>
        </w:trPr>
        <w:tc>
          <w:tcPr>
            <w:tcW w:w="5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Title:</w:t>
            </w:r>
          </w:p>
        </w:tc>
        <w:tc>
          <w:tcPr>
            <w:tcW w:w="398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Chief Executive Officer</w:t>
            </w:r>
          </w:p>
        </w:tc>
      </w:t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3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November 18, 2020</w:t>
            </w:r>
          </w:p>
        </w:tc>
      </w:tr>
    </w:tbl>
    <w:p>
      <w:pPr>
        <w:sectPr>
          <w:pgSz w:w="11900" w:h="16838" w:orient="portrait"/>
          <w:cols w:equalWidth="0" w:num="1">
            <w:col w:w="11240"/>
          </w:cols>
          <w:pgMar w:left="320" w:top="32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jc w:val="center"/>
        <w:spacing w:after="0" w:line="223" w:lineRule="auto"/>
        <w:rPr>
          <w:sz w:val="20"/>
          <w:szCs w:val="20"/>
          <w:color w:val="auto"/>
        </w:rPr>
      </w:pPr>
      <w:r>
        <w:rPr>
          <w:rFonts w:ascii="Times New Roman" w:cs="Times New Roman" w:eastAsia="Times New Roman" w:hAnsi="Times New Roman"/>
          <w:sz w:val="13"/>
          <w:szCs w:val="13"/>
          <w:b w:val="1"/>
          <w:bCs w:val="1"/>
          <w:color w:val="auto"/>
        </w:rPr>
        <w:t>PURSUANT TO</w:t>
      </w: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In connection with the Annual Report on Form 10-K of PennantPark Floating Rate Capital Ltd. (the “Company”) for the annual period ended September 30, 2020 as filed with the Securities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Commission on the date hereof (the “Report”), I, Aviv Efrat, as Chief Financial Officer of the Registrant hereby certify, to the best of my knowledge that:</w:t>
      </w:r>
    </w:p>
    <w:p>
      <w:pPr>
        <w:spacing w:after="0" w:line="109" w:lineRule="exact"/>
        <w:rPr>
          <w:sz w:val="20"/>
          <w:szCs w:val="20"/>
          <w:color w:val="auto"/>
        </w:rPr>
      </w:pPr>
    </w:p>
    <w:p>
      <w:pPr>
        <w:ind w:left="440" w:hanging="192"/>
        <w:spacing w:after="0"/>
        <w:tabs>
          <w:tab w:leader="none" w:pos="44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3"/>
          <w:szCs w:val="13"/>
          <w:color w:val="auto"/>
        </w:rPr>
      </w:pPr>
    </w:p>
    <w:p>
      <w:pPr>
        <w:ind w:left="440" w:hanging="192"/>
        <w:spacing w:after="0"/>
        <w:tabs>
          <w:tab w:leader="none" w:pos="44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Aviv Efrat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5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Borders>
              <w:top w:val="single" w:sz="8" w:color="auto"/>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Aviv Efrat</w:t>
            </w:r>
          </w:p>
        </w:tc>
      </w:tr>
      <w:tr>
        <w:trPr>
          <w:trHeight w:val="136"/>
        </w:trPr>
        <w:tc>
          <w:tcPr>
            <w:tcW w:w="5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Title:</w:t>
            </w:r>
          </w:p>
        </w:tc>
        <w:tc>
          <w:tcPr>
            <w:tcW w:w="398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3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November 18, 2020</w:t>
            </w:r>
          </w:p>
        </w:tc>
      </w:tr>
    </w:tbl>
    <w:p>
      <w:pPr>
        <w:sectPr>
          <w:pgSz w:w="11900" w:h="16838" w:orient="portrait"/>
          <w:cols w:equalWidth="0" w:num="1">
            <w:col w:w="11240"/>
          </w:cols>
          <w:pgMar w:left="320" w:top="32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Floating Rate Capital Ltd. and its Subsidiaries</w:t>
      </w:r>
    </w:p>
    <w:p>
      <w:pPr>
        <w:spacing w:after="0" w:line="109"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3"/>
          <w:szCs w:val="13"/>
          <w:color w:val="auto"/>
        </w:rPr>
        <w:t>Our audits of the consolidated financial statements and internal control over financial reporting referred to in our reports dated November 18, 2020, (appearing in the accompanying Form 10-K) also included an audit of the senior securities table of PennantPark Floating Rate Capital Ltd.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our opinion, the senior securities table, when considered in relation to the basic consolidated financial statements taken as a whole, presents fairly in all material respects the information set forth therein.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18, 2020</w:t>
      </w:r>
    </w:p>
    <w:p>
      <w:pPr>
        <w:sectPr>
          <w:pgSz w:w="11900" w:h="16838" w:orient="portrait"/>
          <w:cols w:equalWidth="0" w:num="1">
            <w:col w:w="11240"/>
          </w:cols>
          <w:pgMar w:left="320" w:top="32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PennantPark Senior Secured Loan Fund I LLC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593090</wp:posOffset>
            </wp:positionV>
            <wp:extent cx="715962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7"/>
          <w:szCs w:val="17"/>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153670</wp:posOffset>
            </wp:positionV>
            <wp:extent cx="509778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097780" cy="762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Independent Auditor’s Report</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1</w:t>
            </w:r>
          </w:p>
        </w:tc>
      </w:tr>
      <w:tr>
        <w:trPr>
          <w:trHeight w:val="414"/>
        </w:trPr>
        <w:tc>
          <w:tcPr>
            <w:tcW w:w="1600" w:type="dxa"/>
            <w:vAlign w:val="bottom"/>
          </w:tcPr>
          <w:p>
            <w:pPr>
              <w:spacing w:after="0"/>
              <w:rPr>
                <w:sz w:val="24"/>
                <w:szCs w:val="24"/>
                <w:color w:val="auto"/>
              </w:rPr>
            </w:pPr>
          </w:p>
        </w:tc>
        <w:tc>
          <w:tcPr>
            <w:tcW w:w="7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4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46"/>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Assets, Liabilities and Members’ Equity as of September 30, 2020 and 2019</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2</w:t>
            </w:r>
          </w:p>
        </w:tc>
      </w:tr>
      <w:tr>
        <w:trPr>
          <w:trHeight w:val="421"/>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September 30, 2020 and 2019</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3</w:t>
            </w:r>
          </w:p>
        </w:tc>
      </w:tr>
      <w:tr>
        <w:trPr>
          <w:trHeight w:val="421"/>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Changes in Members’ Equity for the years ended September 30, 2020 and 2019</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4</w:t>
            </w:r>
          </w:p>
        </w:tc>
      </w:tr>
      <w:tr>
        <w:trPr>
          <w:trHeight w:val="421"/>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September 30, 2020 and 2019</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5</w:t>
            </w:r>
          </w:p>
        </w:tc>
      </w:tr>
      <w:tr>
        <w:trPr>
          <w:trHeight w:val="421"/>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Schedules of Investments as of September 30, 2020 and 2019</w:t>
            </w:r>
          </w:p>
        </w:tc>
        <w:tc>
          <w:tcPr>
            <w:tcW w:w="2120" w:type="dxa"/>
            <w:vAlign w:val="bottom"/>
            <w:gridSpan w:val="2"/>
          </w:tcPr>
          <w:p>
            <w:pPr>
              <w:jc w:val="right"/>
              <w:ind w:right="1640"/>
              <w:spacing w:after="0"/>
              <w:rPr>
                <w:sz w:val="20"/>
                <w:szCs w:val="20"/>
                <w:color w:val="auto"/>
              </w:rPr>
            </w:pPr>
            <w:r>
              <w:rPr>
                <w:rFonts w:ascii="Times New Roman" w:cs="Times New Roman" w:eastAsia="Times New Roman" w:hAnsi="Times New Roman"/>
                <w:sz w:val="17"/>
                <w:szCs w:val="17"/>
                <w:color w:val="auto"/>
              </w:rPr>
              <w:t>6</w:t>
            </w:r>
          </w:p>
        </w:tc>
      </w:tr>
      <w:tr>
        <w:trPr>
          <w:trHeight w:val="421"/>
        </w:trPr>
        <w:tc>
          <w:tcPr>
            <w:tcW w:w="1600" w:type="dxa"/>
            <w:vAlign w:val="bottom"/>
          </w:tcPr>
          <w:p>
            <w:pPr>
              <w:spacing w:after="0"/>
              <w:rPr>
                <w:sz w:val="24"/>
                <w:szCs w:val="24"/>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40" w:type="dxa"/>
            <w:vAlign w:val="bottom"/>
          </w:tcPr>
          <w:p>
            <w:pPr>
              <w:spacing w:after="0"/>
              <w:rPr>
                <w:sz w:val="24"/>
                <w:szCs w:val="24"/>
                <w:color w:val="auto"/>
              </w:rPr>
            </w:pPr>
          </w:p>
        </w:tc>
      </w:tr>
      <w:tr>
        <w:trPr>
          <w:trHeight w:val="223"/>
        </w:trPr>
        <w:tc>
          <w:tcPr>
            <w:tcW w:w="1600" w:type="dxa"/>
            <w:vAlign w:val="bottom"/>
          </w:tcPr>
          <w:p>
            <w:pPr>
              <w:spacing w:after="0"/>
              <w:rPr>
                <w:sz w:val="19"/>
                <w:szCs w:val="19"/>
                <w:color w:val="auto"/>
              </w:rPr>
            </w:pPr>
          </w:p>
        </w:tc>
        <w:tc>
          <w:tcPr>
            <w:tcW w:w="7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Pr>
          <w:p>
            <w:pPr>
              <w:spacing w:after="0"/>
              <w:rPr>
                <w:sz w:val="19"/>
                <w:szCs w:val="19"/>
                <w:color w:val="auto"/>
              </w:rPr>
            </w:pPr>
          </w:p>
        </w:tc>
      </w:tr>
      <w:tr>
        <w:trPr>
          <w:trHeight w:val="1125"/>
        </w:trPr>
        <w:tc>
          <w:tcPr>
            <w:tcW w:w="160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Senior Secured Loan Fund I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on the Financial Statements</w:t>
      </w:r>
    </w:p>
    <w:p>
      <w:pPr>
        <w:spacing w:after="0" w:line="2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financial statements of PennantPark Senior Secured Loan Fund I LLC (the Company), which comprise the consolidated statements of assets, liabilities, and members’ equity, including the consolidated schedules of investments, as of September 30, 2020 and 2019, and the related consolidated statements of operations, changes in members’ equity and cash flows for the years then ended, and the related notes to the consolidated financial statements (collectively, the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Responsibility for the Financial Statements</w:t>
      </w:r>
    </w:p>
    <w:p>
      <w:pPr>
        <w:spacing w:after="0" w:line="230"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Auditor’s Responsibility</w:t>
      </w:r>
    </w:p>
    <w:p>
      <w:pPr>
        <w:spacing w:after="0" w:line="23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7"/>
          <w:szCs w:val="17"/>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the audit evidence we have obtained is sufficient and appropriate to provide a basis for our audit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w:t>
      </w:r>
    </w:p>
    <w:p>
      <w:pPr>
        <w:spacing w:after="0" w:line="23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financial position of PennantPark Senior Secured Loan Fund I LLC as of September 30, 2020 and 2019, and the results of its operations, and its cash flows for the years then ended in accordance with accounting principles generally accepted in the United States of America.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18, 2020</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105" w:name="page106"/>
    <w:bookmarkEnd w:id="105"/>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Consolidated Statements of Assets, Liabilities and Members’ Equity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September 30, 2020</w:t>
            </w:r>
          </w:p>
        </w:tc>
        <w:tc>
          <w:tcPr>
            <w:tcW w:w="180" w:type="dxa"/>
            <w:vAlign w:val="bottom"/>
          </w:tcPr>
          <w:p>
            <w:pPr>
              <w:spacing w:after="0"/>
              <w:rPr>
                <w:sz w:val="17"/>
                <w:szCs w:val="17"/>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September 30, 2019</w:t>
            </w:r>
          </w:p>
        </w:tc>
      </w:tr>
      <w:tr>
        <w:trPr>
          <w:trHeight w:val="193"/>
        </w:trPr>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Investments (cost—$408,251,402 and $494,413,190, respectively)</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392,986,090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488,549,847</w:t>
            </w:r>
          </w:p>
        </w:tc>
        <w:tc>
          <w:tcPr>
            <w:tcW w:w="100" w:type="dxa"/>
            <w:vAlign w:val="bottom"/>
            <w:shd w:val="clear" w:color="auto" w:fill="CFF0FC"/>
          </w:tcPr>
          <w:p>
            <w:pPr>
              <w:spacing w:after="0"/>
              <w:rPr>
                <w:sz w:val="17"/>
                <w:szCs w:val="17"/>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(cost—$11,115,373 and $15,322,531, respectively)</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11,121,479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15,294,881</w:t>
            </w: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2,235,595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1,855,545</w:t>
            </w:r>
          </w:p>
        </w:tc>
        <w:tc>
          <w:tcPr>
            <w:tcW w:w="100" w:type="dxa"/>
            <w:vAlign w:val="bottom"/>
            <w:shd w:val="clear" w:color="auto" w:fill="CFF0FC"/>
          </w:tcPr>
          <w:p>
            <w:pPr>
              <w:spacing w:after="0"/>
              <w:rPr>
                <w:sz w:val="17"/>
                <w:szCs w:val="17"/>
                <w:color w:val="auto"/>
              </w:rPr>
            </w:pPr>
          </w:p>
        </w:tc>
      </w:tr>
      <w:tr>
        <w:trPr>
          <w:trHeight w:val="195"/>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3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62,812</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996,333</w:t>
            </w:r>
          </w:p>
        </w:tc>
        <w:tc>
          <w:tcPr>
            <w:tcW w:w="100" w:type="dxa"/>
            <w:vAlign w:val="bottom"/>
            <w:tcBorders>
              <w:bottom w:val="single" w:sz="8" w:color="CFF0FC"/>
            </w:tcBorders>
          </w:tcPr>
          <w:p>
            <w:pPr>
              <w:spacing w:after="0"/>
              <w:rPr>
                <w:sz w:val="16"/>
                <w:szCs w:val="16"/>
                <w:color w:val="auto"/>
              </w:rPr>
            </w:pPr>
          </w:p>
        </w:tc>
      </w:tr>
      <w:tr>
        <w:trPr>
          <w:trHeight w:val="193"/>
        </w:trPr>
        <w:tc>
          <w:tcPr>
            <w:tcW w:w="5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3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406,405,976</w:t>
            </w:r>
          </w:p>
        </w:tc>
        <w:tc>
          <w:tcPr>
            <w:tcW w:w="2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506,696,606</w:t>
            </w:r>
          </w:p>
        </w:tc>
        <w:tc>
          <w:tcPr>
            <w:tcW w:w="100" w:type="dxa"/>
            <w:vAlign w:val="bottom"/>
            <w:shd w:val="clear" w:color="auto" w:fill="CFF0FC"/>
          </w:tcPr>
          <w:p>
            <w:pPr>
              <w:spacing w:after="0"/>
              <w:rPr>
                <w:sz w:val="16"/>
                <w:szCs w:val="16"/>
                <w:color w:val="auto"/>
              </w:rPr>
            </w:pP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Credit Facility payable</w:t>
            </w: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216,969,469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308,724,305</w:t>
            </w:r>
          </w:p>
        </w:tc>
        <w:tc>
          <w:tcPr>
            <w:tcW w:w="100" w:type="dxa"/>
            <w:vAlign w:val="bottom"/>
            <w:shd w:val="clear" w:color="auto" w:fill="CFF0FC"/>
          </w:tcPr>
          <w:p>
            <w:pPr>
              <w:spacing w:after="0"/>
              <w:rPr>
                <w:sz w:val="17"/>
                <w:szCs w:val="17"/>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Notes payable to members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143,290,000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139,650,000</w:t>
            </w: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payable on Credit Facility</w:t>
            </w: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490,858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1,152,544</w:t>
            </w:r>
          </w:p>
        </w:tc>
        <w:tc>
          <w:tcPr>
            <w:tcW w:w="100" w:type="dxa"/>
            <w:vAlign w:val="bottom"/>
            <w:shd w:val="clear" w:color="auto" w:fill="CFF0FC"/>
          </w:tcPr>
          <w:p>
            <w:pPr>
              <w:spacing w:after="0"/>
              <w:rPr>
                <w:sz w:val="17"/>
                <w:szCs w:val="17"/>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Interest payable on notes to members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39,197</w:t>
            </w: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other expenses</w:t>
            </w:r>
          </w:p>
        </w:tc>
        <w:tc>
          <w:tcPr>
            <w:tcW w:w="13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10,845</w:t>
            </w:r>
          </w:p>
        </w:tc>
        <w:tc>
          <w:tcPr>
            <w:tcW w:w="2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22,754</w:t>
            </w:r>
          </w:p>
        </w:tc>
        <w:tc>
          <w:tcPr>
            <w:tcW w:w="100" w:type="dxa"/>
            <w:vAlign w:val="bottom"/>
            <w:shd w:val="clear" w:color="auto" w:fill="CFF0FC"/>
          </w:tcPr>
          <w:p>
            <w:pPr>
              <w:spacing w:after="0"/>
              <w:rPr>
                <w:sz w:val="17"/>
                <w:szCs w:val="17"/>
                <w:color w:val="auto"/>
              </w:rPr>
            </w:pPr>
          </w:p>
        </w:tc>
      </w:tr>
      <w:tr>
        <w:trPr>
          <w:trHeight w:val="188"/>
        </w:trPr>
        <w:tc>
          <w:tcPr>
            <w:tcW w:w="5940" w:type="dxa"/>
            <w:vAlign w:val="bottom"/>
            <w:tcBorders>
              <w:bottom w:val="single" w:sz="8" w:color="CFF0FC"/>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3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360,793,891</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449,588,800</w:t>
            </w:r>
          </w:p>
        </w:tc>
        <w:tc>
          <w:tcPr>
            <w:tcW w:w="100" w:type="dxa"/>
            <w:vAlign w:val="bottom"/>
            <w:tcBorders>
              <w:bottom w:val="single" w:sz="8" w:color="CFF0FC"/>
            </w:tcBorders>
          </w:tcPr>
          <w:p>
            <w:pPr>
              <w:spacing w:after="0"/>
              <w:rPr>
                <w:sz w:val="16"/>
                <w:szCs w:val="16"/>
                <w:color w:val="auto"/>
              </w:rPr>
            </w:pPr>
          </w:p>
        </w:tc>
      </w:tr>
      <w:tr>
        <w:trPr>
          <w:trHeight w:val="19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Members’ equity</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Paid-in capital</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61,410,000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59,850,000</w:t>
            </w:r>
          </w:p>
        </w:tc>
        <w:tc>
          <w:tcPr>
            <w:tcW w:w="100" w:type="dxa"/>
            <w:vAlign w:val="bottom"/>
          </w:tcPr>
          <w:p>
            <w:pPr>
              <w:spacing w:after="0"/>
              <w:rPr>
                <w:sz w:val="16"/>
                <w:szCs w:val="16"/>
                <w:color w:val="auto"/>
              </w:rPr>
            </w:pP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Undistributed net investment income</w:t>
            </w: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638,076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1,121,794</w:t>
            </w:r>
          </w:p>
        </w:tc>
        <w:tc>
          <w:tcPr>
            <w:tcW w:w="100" w:type="dxa"/>
            <w:vAlign w:val="bottom"/>
            <w:shd w:val="clear" w:color="auto" w:fill="CFF0FC"/>
          </w:tcPr>
          <w:p>
            <w:pPr>
              <w:spacing w:after="0"/>
              <w:rPr>
                <w:sz w:val="17"/>
                <w:szCs w:val="17"/>
                <w:color w:val="auto"/>
              </w:rPr>
            </w:pPr>
          </w:p>
        </w:tc>
      </w:tr>
      <w:tr>
        <w:trPr>
          <w:trHeight w:val="19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(1,665,908)</w:t>
            </w:r>
          </w:p>
        </w:tc>
        <w:tc>
          <w:tcPr>
            <w:tcW w:w="180" w:type="dxa"/>
            <w:vAlign w:val="bottom"/>
          </w:tcPr>
          <w:p>
            <w:pPr>
              <w:spacing w:after="0"/>
              <w:rPr>
                <w:sz w:val="16"/>
                <w:szCs w:val="16"/>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(672,934)</w:t>
            </w:r>
          </w:p>
        </w:tc>
      </w:tr>
      <w:tr>
        <w:trPr>
          <w:trHeight w:val="20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unrealized depreciation on investments</w:t>
            </w: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(15,259,116)</w:t>
            </w: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(5,890,994)</w:t>
            </w:r>
          </w:p>
        </w:tc>
      </w:tr>
      <w:tr>
        <w:trPr>
          <w:trHeight w:val="195"/>
        </w:trPr>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Net unrealized depreciation on Credit Facility foreign currency translations</w:t>
            </w:r>
          </w:p>
        </w:tc>
        <w:tc>
          <w:tcPr>
            <w:tcW w:w="13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489,033</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2,699,940</w:t>
            </w:r>
          </w:p>
        </w:tc>
        <w:tc>
          <w:tcPr>
            <w:tcW w:w="100" w:type="dxa"/>
            <w:vAlign w:val="bottom"/>
            <w:tcBorders>
              <w:bottom w:val="single" w:sz="8" w:color="CFF0FC"/>
            </w:tcBorders>
          </w:tcPr>
          <w:p>
            <w:pPr>
              <w:spacing w:after="0"/>
              <w:rPr>
                <w:sz w:val="16"/>
                <w:szCs w:val="16"/>
                <w:color w:val="auto"/>
              </w:rPr>
            </w:pPr>
          </w:p>
        </w:tc>
      </w:tr>
      <w:tr>
        <w:trPr>
          <w:trHeight w:val="193"/>
        </w:trPr>
        <w:tc>
          <w:tcPr>
            <w:tcW w:w="5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b w:val="1"/>
                <w:bCs w:val="1"/>
                <w:color w:val="auto"/>
              </w:rPr>
              <w:t>Total members’ equity</w:t>
            </w:r>
          </w:p>
        </w:tc>
        <w:tc>
          <w:tcPr>
            <w:tcW w:w="13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45,612,085</w:t>
            </w:r>
          </w:p>
        </w:tc>
        <w:tc>
          <w:tcPr>
            <w:tcW w:w="2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57,107,806</w:t>
            </w:r>
          </w:p>
        </w:tc>
        <w:tc>
          <w:tcPr>
            <w:tcW w:w="100" w:type="dxa"/>
            <w:vAlign w:val="bottom"/>
            <w:shd w:val="clear" w:color="auto" w:fill="CFF0FC"/>
          </w:tcPr>
          <w:p>
            <w:pPr>
              <w:spacing w:after="0"/>
              <w:rPr>
                <w:sz w:val="16"/>
                <w:szCs w:val="16"/>
                <w:color w:val="auto"/>
              </w:rPr>
            </w:pPr>
          </w:p>
        </w:tc>
      </w:tr>
      <w:tr>
        <w:trPr>
          <w:trHeight w:val="188"/>
        </w:trPr>
        <w:tc>
          <w:tcPr>
            <w:tcW w:w="5940" w:type="dxa"/>
            <w:vAlign w:val="bottom"/>
          </w:tcPr>
          <w:p>
            <w:pPr>
              <w:ind w:left="560"/>
              <w:spacing w:after="0"/>
              <w:rPr>
                <w:sz w:val="20"/>
                <w:szCs w:val="20"/>
                <w:color w:val="auto"/>
              </w:rPr>
            </w:pPr>
            <w:r>
              <w:rPr>
                <w:rFonts w:ascii="Times New Roman" w:cs="Times New Roman" w:eastAsia="Times New Roman" w:hAnsi="Times New Roman"/>
                <w:sz w:val="15"/>
                <w:szCs w:val="15"/>
                <w:b w:val="1"/>
                <w:bCs w:val="1"/>
                <w:color w:val="auto"/>
              </w:rPr>
              <w:t>Total liabilities and members’ equity</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406,405,976</w:t>
            </w:r>
          </w:p>
        </w:tc>
        <w:tc>
          <w:tcPr>
            <w:tcW w:w="26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506,696,606</w:t>
            </w:r>
          </w:p>
        </w:tc>
        <w:tc>
          <w:tcPr>
            <w:tcW w:w="10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06" w:name="page107"/>
    <w:bookmarkEnd w:id="106"/>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84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40" w:type="dxa"/>
            <w:vAlign w:val="bottom"/>
          </w:tcPr>
          <w:p>
            <w:pPr>
              <w:spacing w:after="0"/>
              <w:rPr>
                <w:sz w:val="17"/>
                <w:szCs w:val="17"/>
                <w:color w:val="auto"/>
              </w:rPr>
            </w:pPr>
          </w:p>
        </w:tc>
        <w:tc>
          <w:tcPr>
            <w:tcW w:w="192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1"/>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September 30, 2020</w:t>
            </w:r>
          </w:p>
        </w:tc>
        <w:tc>
          <w:tcPr>
            <w:tcW w:w="240" w:type="dxa"/>
            <w:vAlign w:val="bottom"/>
          </w:tcPr>
          <w:p>
            <w:pPr>
              <w:spacing w:after="0"/>
              <w:rPr>
                <w:sz w:val="17"/>
                <w:szCs w:val="17"/>
                <w:color w:val="auto"/>
              </w:rPr>
            </w:pPr>
          </w:p>
        </w:tc>
        <w:tc>
          <w:tcPr>
            <w:tcW w:w="19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0" w:type="dxa"/>
            <w:vAlign w:val="bottom"/>
          </w:tcPr>
          <w:p>
            <w:pPr>
              <w:spacing w:after="0"/>
              <w:rPr>
                <w:sz w:val="1"/>
                <w:szCs w:val="1"/>
                <w:color w:val="auto"/>
              </w:rPr>
            </w:pPr>
          </w:p>
        </w:tc>
      </w:tr>
      <w:tr>
        <w:trPr>
          <w:trHeight w:val="193"/>
        </w:trPr>
        <w:tc>
          <w:tcPr>
            <w:tcW w:w="6960" w:type="dxa"/>
            <w:vAlign w:val="bottom"/>
            <w:tcBorders>
              <w:top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Investment income:</w:t>
            </w:r>
          </w:p>
        </w:tc>
        <w:tc>
          <w:tcPr>
            <w:tcW w:w="180" w:type="dxa"/>
            <w:vAlign w:val="bottom"/>
            <w:tcBorders>
              <w:top w:val="single" w:sz="8" w:color="auto"/>
            </w:tcBorders>
            <w:shd w:val="clear" w:color="auto" w:fill="CCECFF"/>
          </w:tcPr>
          <w:p>
            <w:pPr>
              <w:spacing w:after="0"/>
              <w:rPr>
                <w:sz w:val="16"/>
                <w:szCs w:val="16"/>
                <w:color w:val="auto"/>
              </w:rPr>
            </w:pPr>
          </w:p>
        </w:tc>
        <w:tc>
          <w:tcPr>
            <w:tcW w:w="1640" w:type="dxa"/>
            <w:vAlign w:val="bottom"/>
            <w:tcBorders>
              <w:top w:val="single" w:sz="8" w:color="auto"/>
            </w:tcBorders>
            <w:shd w:val="clear" w:color="auto" w:fill="CCECFF"/>
          </w:tcPr>
          <w:p>
            <w:pPr>
              <w:spacing w:after="0"/>
              <w:rPr>
                <w:sz w:val="16"/>
                <w:szCs w:val="16"/>
                <w:color w:val="auto"/>
              </w:rPr>
            </w:pPr>
          </w:p>
        </w:tc>
        <w:tc>
          <w:tcPr>
            <w:tcW w:w="30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1820" w:type="dxa"/>
            <w:vAlign w:val="bottom"/>
            <w:tcBorders>
              <w:top w:val="single" w:sz="8" w:color="auto"/>
            </w:tcBorders>
            <w:shd w:val="clear" w:color="auto" w:fill="CCECFF"/>
          </w:tcPr>
          <w:p>
            <w:pPr>
              <w:spacing w:after="0"/>
              <w:rPr>
                <w:sz w:val="16"/>
                <w:szCs w:val="16"/>
                <w:color w:val="auto"/>
              </w:rPr>
            </w:pPr>
          </w:p>
        </w:tc>
        <w:tc>
          <w:tcPr>
            <w:tcW w:w="10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33,260,154</w:t>
            </w:r>
          </w:p>
        </w:tc>
        <w:tc>
          <w:tcPr>
            <w:tcW w:w="30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39,288,981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tcBorders>
              <w:right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5"/>
                <w:szCs w:val="15"/>
                <w:color w:val="auto"/>
              </w:rPr>
              <w:t>Other income</w:t>
            </w:r>
          </w:p>
        </w:tc>
        <w:tc>
          <w:tcPr>
            <w:tcW w:w="18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138,795</w:t>
            </w:r>
          </w:p>
        </w:tc>
        <w:tc>
          <w:tcPr>
            <w:tcW w:w="3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785,111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33,398,949</w:t>
            </w:r>
          </w:p>
        </w:tc>
        <w:tc>
          <w:tcPr>
            <w:tcW w:w="300" w:type="dxa"/>
            <w:vAlign w:val="bottom"/>
            <w:tcBorders>
              <w:bottom w:val="single" w:sz="8" w:color="CCEC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40,074,092</w:t>
            </w:r>
          </w:p>
        </w:tc>
        <w:tc>
          <w:tcPr>
            <w:tcW w:w="100" w:type="dxa"/>
            <w:vAlign w:val="bottom"/>
            <w:tcBorders>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80" w:type="dxa"/>
            <w:vAlign w:val="bottom"/>
            <w:shd w:val="clear" w:color="auto" w:fill="CCECFF"/>
          </w:tcPr>
          <w:p>
            <w:pPr>
              <w:spacing w:after="0"/>
              <w:rPr>
                <w:sz w:val="16"/>
                <w:szCs w:val="16"/>
                <w:color w:val="auto"/>
              </w:rPr>
            </w:pPr>
          </w:p>
        </w:tc>
        <w:tc>
          <w:tcPr>
            <w:tcW w:w="16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on Credit Facility</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11,865,971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16,487,783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tcBorders>
              <w:right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5"/>
                <w:szCs w:val="15"/>
                <w:color w:val="auto"/>
              </w:rPr>
              <w:t>Interest expense on notes to members</w:t>
            </w:r>
          </w:p>
        </w:tc>
        <w:tc>
          <w:tcPr>
            <w:tcW w:w="18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13,531,037</w:t>
            </w:r>
          </w:p>
        </w:tc>
        <w:tc>
          <w:tcPr>
            <w:tcW w:w="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14,247,817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Administrative services expenses</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1,200,000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tcBorders>
              <w:right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5"/>
                <w:szCs w:val="15"/>
                <w:color w:val="auto"/>
              </w:rPr>
              <w:t>Other general and administrative expenses</w:t>
            </w:r>
          </w:p>
        </w:tc>
        <w:tc>
          <w:tcPr>
            <w:tcW w:w="18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485,660</w:t>
            </w:r>
          </w:p>
        </w:tc>
        <w:tc>
          <w:tcPr>
            <w:tcW w:w="3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454,600</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960" w:type="dxa"/>
            <w:vAlign w:val="bottom"/>
            <w:tcBorders>
              <w:bottom w:val="single" w:sz="8" w:color="CCEC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27,082,668</w:t>
            </w:r>
          </w:p>
        </w:tc>
        <w:tc>
          <w:tcPr>
            <w:tcW w:w="300" w:type="dxa"/>
            <w:vAlign w:val="bottom"/>
            <w:tcBorders>
              <w:bottom w:val="single" w:sz="8" w:color="CCEC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32,340,200</w:t>
            </w:r>
          </w:p>
        </w:tc>
        <w:tc>
          <w:tcPr>
            <w:tcW w:w="100" w:type="dxa"/>
            <w:vAlign w:val="bottom"/>
            <w:tcBorders>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Net investment income</w:t>
            </w:r>
          </w:p>
        </w:tc>
        <w:tc>
          <w:tcPr>
            <w:tcW w:w="180" w:type="dxa"/>
            <w:vAlign w:val="bottom"/>
            <w:tcBorders>
              <w:bottom w:val="single" w:sz="8" w:color="auto"/>
            </w:tcBorders>
            <w:shd w:val="clear" w:color="auto" w:fill="CCECFF"/>
          </w:tcPr>
          <w:p>
            <w:pPr>
              <w:spacing w:after="0"/>
              <w:rPr>
                <w:sz w:val="16"/>
                <w:szCs w:val="16"/>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6,316,281</w:t>
            </w:r>
          </w:p>
        </w:tc>
        <w:tc>
          <w:tcPr>
            <w:tcW w:w="300" w:type="dxa"/>
            <w:vAlign w:val="bottom"/>
            <w:shd w:val="clear" w:color="auto" w:fill="CCECFF"/>
          </w:tcPr>
          <w:p>
            <w:pPr>
              <w:spacing w:after="0"/>
              <w:rPr>
                <w:sz w:val="16"/>
                <w:szCs w:val="16"/>
                <w:color w:val="auto"/>
              </w:rPr>
            </w:pPr>
          </w:p>
        </w:tc>
        <w:tc>
          <w:tcPr>
            <w:tcW w:w="240" w:type="dxa"/>
            <w:vAlign w:val="bottom"/>
            <w:tcBorders>
              <w:bottom w:val="single" w:sz="8" w:color="auto"/>
            </w:tcBorders>
            <w:shd w:val="clear" w:color="auto" w:fill="CCECFF"/>
          </w:tcPr>
          <w:p>
            <w:pPr>
              <w:spacing w:after="0"/>
              <w:rPr>
                <w:sz w:val="16"/>
                <w:szCs w:val="16"/>
                <w:color w:val="auto"/>
              </w:rPr>
            </w:pP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7,733,892</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Realized and unrealized loss on investments and Credit Facility foreign currency translation:</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80" w:type="dxa"/>
            <w:vAlign w:val="bottom"/>
            <w:shd w:val="clear" w:color="auto" w:fill="CCECFF"/>
          </w:tcPr>
          <w:p>
            <w:pPr>
              <w:spacing w:after="0"/>
              <w:rPr>
                <w:sz w:val="17"/>
                <w:szCs w:val="17"/>
                <w:color w:val="auto"/>
              </w:rPr>
            </w:pPr>
          </w:p>
        </w:tc>
        <w:tc>
          <w:tcPr>
            <w:tcW w:w="1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(992,974)</w:t>
            </w:r>
          </w:p>
        </w:tc>
        <w:tc>
          <w:tcPr>
            <w:tcW w:w="240" w:type="dxa"/>
            <w:vAlign w:val="bottom"/>
            <w:shd w:val="clear" w:color="auto" w:fill="CCECFF"/>
          </w:tcPr>
          <w:p>
            <w:pPr>
              <w:spacing w:after="0"/>
              <w:rPr>
                <w:sz w:val="17"/>
                <w:szCs w:val="17"/>
                <w:color w:val="auto"/>
              </w:rPr>
            </w:pPr>
          </w:p>
        </w:tc>
        <w:tc>
          <w:tcPr>
            <w:tcW w:w="1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(885,069)</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appreciation (depreciation) on:</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tcBorders>
              <w:right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180" w:type="dxa"/>
            <w:vAlign w:val="bottom"/>
            <w:shd w:val="clear" w:color="auto" w:fill="CCECFF"/>
          </w:tcPr>
          <w:p>
            <w:pPr>
              <w:spacing w:after="0"/>
              <w:rPr>
                <w:sz w:val="17"/>
                <w:szCs w:val="17"/>
                <w:color w:val="auto"/>
              </w:rPr>
            </w:pPr>
          </w:p>
        </w:tc>
        <w:tc>
          <w:tcPr>
            <w:tcW w:w="1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(9,368,121)</w:t>
            </w:r>
          </w:p>
        </w:tc>
        <w:tc>
          <w:tcPr>
            <w:tcW w:w="240" w:type="dxa"/>
            <w:vAlign w:val="bottom"/>
            <w:shd w:val="clear" w:color="auto" w:fill="CCECFF"/>
          </w:tcPr>
          <w:p>
            <w:pPr>
              <w:spacing w:after="0"/>
              <w:rPr>
                <w:sz w:val="17"/>
                <w:szCs w:val="17"/>
                <w:color w:val="auto"/>
              </w:rPr>
            </w:pPr>
          </w:p>
        </w:tc>
        <w:tc>
          <w:tcPr>
            <w:tcW w:w="1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(5,976,299)</w:t>
            </w:r>
          </w:p>
        </w:tc>
        <w:tc>
          <w:tcPr>
            <w:tcW w:w="0" w:type="dxa"/>
            <w:vAlign w:val="bottom"/>
          </w:tcPr>
          <w:p>
            <w:pPr>
              <w:spacing w:after="0"/>
              <w:rPr>
                <w:sz w:val="1"/>
                <w:szCs w:val="1"/>
                <w:color w:val="auto"/>
              </w:rPr>
            </w:pPr>
          </w:p>
        </w:tc>
      </w:tr>
      <w:tr>
        <w:trPr>
          <w:trHeight w:val="195"/>
        </w:trPr>
        <w:tc>
          <w:tcPr>
            <w:tcW w:w="6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Credit Facility foreign currency translation</w:t>
            </w:r>
          </w:p>
        </w:tc>
        <w:tc>
          <w:tcPr>
            <w:tcW w:w="180" w:type="dxa"/>
            <w:vAlign w:val="bottom"/>
          </w:tcPr>
          <w:p>
            <w:pPr>
              <w:spacing w:after="0"/>
              <w:rPr>
                <w:sz w:val="16"/>
                <w:szCs w:val="16"/>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(2,210,907)</w:t>
            </w:r>
          </w:p>
        </w:tc>
        <w:tc>
          <w:tcPr>
            <w:tcW w:w="2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1,887,878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right w:val="single" w:sz="8" w:color="CCECFF"/>
            </w:tcBorders>
            <w:vMerge w:val="restart"/>
            <w:shd w:val="clear" w:color="auto" w:fill="CCECFF"/>
          </w:tcPr>
          <w:p>
            <w:pPr>
              <w:ind w:left="220"/>
              <w:spacing w:after="0"/>
              <w:rPr>
                <w:sz w:val="20"/>
                <w:szCs w:val="20"/>
                <w:color w:val="auto"/>
              </w:rPr>
            </w:pPr>
            <w:r>
              <w:rPr>
                <w:rFonts w:ascii="Times New Roman" w:cs="Times New Roman" w:eastAsia="Times New Roman" w:hAnsi="Times New Roman"/>
                <w:sz w:val="15"/>
                <w:szCs w:val="15"/>
                <w:b w:val="1"/>
                <w:bCs w:val="1"/>
                <w:color w:val="auto"/>
              </w:rPr>
              <w:t>Net change in unrealized depreciation on investments and Credit Facility foreign currency translation</w:t>
            </w: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60" w:type="dxa"/>
            <w:vAlign w:val="bottom"/>
            <w:tcBorders>
              <w:right w:val="single" w:sz="8" w:color="CCECFF"/>
            </w:tcBorders>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(11,579,028)</w:t>
            </w:r>
          </w:p>
        </w:tc>
        <w:tc>
          <w:tcPr>
            <w:tcW w:w="240" w:type="dxa"/>
            <w:vAlign w:val="bottom"/>
            <w:shd w:val="clear" w:color="auto" w:fill="CCECFF"/>
          </w:tcPr>
          <w:p>
            <w:pPr>
              <w:spacing w:after="0"/>
              <w:rPr>
                <w:sz w:val="16"/>
                <w:szCs w:val="16"/>
                <w:color w:val="auto"/>
              </w:rPr>
            </w:pPr>
          </w:p>
        </w:tc>
        <w:tc>
          <w:tcPr>
            <w:tcW w:w="1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(4,088,421)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9"/>
              </w:rPr>
              <w:t>Net realized and change in unrealized loss from investments and Credit Facility foreign currency translation</w:t>
            </w: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(12,572,002)</w:t>
            </w:r>
          </w:p>
        </w:tc>
        <w:tc>
          <w:tcPr>
            <w:tcW w:w="240" w:type="dxa"/>
            <w:vAlign w:val="bottom"/>
          </w:tcPr>
          <w:p>
            <w:pPr>
              <w:spacing w:after="0"/>
              <w:rPr>
                <w:sz w:val="16"/>
                <w:szCs w:val="16"/>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(4,973,490)</w:t>
            </w:r>
          </w:p>
        </w:tc>
        <w:tc>
          <w:tcPr>
            <w:tcW w:w="0" w:type="dxa"/>
            <w:vAlign w:val="bottom"/>
          </w:tcPr>
          <w:p>
            <w:pPr>
              <w:spacing w:after="0"/>
              <w:rPr>
                <w:sz w:val="1"/>
                <w:szCs w:val="1"/>
                <w:color w:val="auto"/>
              </w:rPr>
            </w:pPr>
          </w:p>
        </w:tc>
      </w:tr>
      <w:tr>
        <w:trPr>
          <w:trHeight w:val="20"/>
        </w:trPr>
        <w:tc>
          <w:tcPr>
            <w:tcW w:w="6960" w:type="dxa"/>
            <w:vAlign w:val="bottom"/>
            <w:tcBorders>
              <w:right w:val="single" w:sz="8" w:color="CCECFF"/>
            </w:tcBorders>
            <w:vMerge w:val="restart"/>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members’ equity resulting from operations</w:t>
            </w: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60" w:type="dxa"/>
            <w:vAlign w:val="bottom"/>
            <w:tcBorders>
              <w:right w:val="single" w:sz="8" w:color="CCECFF"/>
            </w:tcBorders>
            <w:vMerge w:val="continue"/>
            <w:shd w:val="clear" w:color="auto" w:fill="CCECFF"/>
          </w:tcPr>
          <w:p>
            <w:pPr>
              <w:spacing w:after="0"/>
              <w:rPr>
                <w:sz w:val="16"/>
                <w:szCs w:val="16"/>
                <w:color w:val="auto"/>
              </w:rPr>
            </w:pPr>
          </w:p>
        </w:tc>
        <w:tc>
          <w:tcPr>
            <w:tcW w:w="18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5"/>
                <w:szCs w:val="15"/>
                <w:color w:val="auto"/>
              </w:rPr>
              <w:t>(6,255,721)</w:t>
            </w:r>
          </w:p>
        </w:tc>
        <w:tc>
          <w:tcPr>
            <w:tcW w:w="240" w:type="dxa"/>
            <w:vAlign w:val="bottom"/>
            <w:shd w:val="clear" w:color="auto" w:fill="CCEC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2,760,402</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Members’ Equity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w w:val="95"/>
              </w:rPr>
              <w:t>Year Ended</w:t>
            </w:r>
          </w:p>
        </w:tc>
        <w:tc>
          <w:tcPr>
            <w:tcW w:w="1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199"/>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September 30, 2020</w:t>
            </w:r>
          </w:p>
        </w:tc>
        <w:tc>
          <w:tcPr>
            <w:tcW w:w="140" w:type="dxa"/>
            <w:vAlign w:val="bottom"/>
          </w:tcPr>
          <w:p>
            <w:pPr>
              <w:spacing w:after="0"/>
              <w:rPr>
                <w:sz w:val="17"/>
                <w:szCs w:val="17"/>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0" w:type="dxa"/>
            <w:vAlign w:val="bottom"/>
          </w:tcPr>
          <w:p>
            <w:pPr>
              <w:spacing w:after="0"/>
              <w:rPr>
                <w:sz w:val="1"/>
                <w:szCs w:val="1"/>
                <w:color w:val="auto"/>
              </w:rPr>
            </w:pPr>
          </w:p>
        </w:tc>
      </w:tr>
      <w:tr>
        <w:trPr>
          <w:trHeight w:val="193"/>
        </w:trPr>
        <w:tc>
          <w:tcPr>
            <w:tcW w:w="68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Net change in members’ equity from operations:</w:t>
            </w:r>
          </w:p>
        </w:tc>
        <w:tc>
          <w:tcPr>
            <w:tcW w:w="260" w:type="dxa"/>
            <w:vAlign w:val="bottom"/>
            <w:tcBorders>
              <w:top w:val="single" w:sz="8" w:color="auto"/>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1660" w:type="dxa"/>
            <w:vAlign w:val="bottom"/>
            <w:tcBorders>
              <w:top w:val="single" w:sz="8" w:color="auto"/>
            </w:tcBorders>
            <w:shd w:val="clear" w:color="auto" w:fill="CCECFF"/>
          </w:tcPr>
          <w:p>
            <w:pPr>
              <w:spacing w:after="0"/>
              <w:rPr>
                <w:sz w:val="16"/>
                <w:szCs w:val="16"/>
                <w:color w:val="auto"/>
              </w:rPr>
            </w:pPr>
          </w:p>
        </w:tc>
        <w:tc>
          <w:tcPr>
            <w:tcW w:w="120" w:type="dxa"/>
            <w:vAlign w:val="bottom"/>
            <w:tcBorders>
              <w:top w:val="single" w:sz="8" w:color="CCECFF"/>
            </w:tcBorders>
            <w:shd w:val="clear" w:color="auto" w:fill="CCECFF"/>
          </w:tcPr>
          <w:p>
            <w:pPr>
              <w:spacing w:after="0"/>
              <w:rPr>
                <w:sz w:val="16"/>
                <w:szCs w:val="16"/>
                <w:color w:val="auto"/>
              </w:rPr>
            </w:pPr>
          </w:p>
        </w:tc>
        <w:tc>
          <w:tcPr>
            <w:tcW w:w="260" w:type="dxa"/>
            <w:vAlign w:val="bottom"/>
            <w:tcBorders>
              <w:top w:val="single" w:sz="8" w:color="auto"/>
            </w:tcBorders>
            <w:shd w:val="clear" w:color="auto" w:fill="CCECFF"/>
          </w:tcPr>
          <w:p>
            <w:pPr>
              <w:spacing w:after="0"/>
              <w:rPr>
                <w:sz w:val="16"/>
                <w:szCs w:val="16"/>
                <w:color w:val="auto"/>
              </w:rPr>
            </w:pPr>
          </w:p>
        </w:tc>
        <w:tc>
          <w:tcPr>
            <w:tcW w:w="140" w:type="dxa"/>
            <w:vAlign w:val="bottom"/>
            <w:tcBorders>
              <w:top w:val="single" w:sz="8" w:color="auto"/>
            </w:tcBorders>
            <w:shd w:val="clear" w:color="auto" w:fill="CCECFF"/>
          </w:tcPr>
          <w:p>
            <w:pPr>
              <w:spacing w:after="0"/>
              <w:rPr>
                <w:sz w:val="16"/>
                <w:szCs w:val="16"/>
                <w:color w:val="auto"/>
              </w:rPr>
            </w:pPr>
          </w:p>
        </w:tc>
        <w:tc>
          <w:tcPr>
            <w:tcW w:w="1500" w:type="dxa"/>
            <w:vAlign w:val="bottom"/>
            <w:tcBorders>
              <w:top w:val="single" w:sz="8" w:color="auto"/>
            </w:tcBorders>
            <w:shd w:val="clear" w:color="auto" w:fill="CCECFF"/>
          </w:tcPr>
          <w:p>
            <w:pPr>
              <w:spacing w:after="0"/>
              <w:rPr>
                <w:sz w:val="16"/>
                <w:szCs w:val="16"/>
                <w:color w:val="auto"/>
              </w:rPr>
            </w:pPr>
          </w:p>
        </w:tc>
        <w:tc>
          <w:tcPr>
            <w:tcW w:w="28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investment income</w:t>
            </w: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6,316,281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7,733,892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200" w:type="dxa"/>
            <w:vAlign w:val="bottom"/>
            <w:shd w:val="clear" w:color="auto" w:fill="CCECFF"/>
          </w:tcPr>
          <w:p>
            <w:pPr>
              <w:spacing w:after="0"/>
              <w:rPr>
                <w:sz w:val="17"/>
                <w:szCs w:val="17"/>
                <w:color w:val="auto"/>
              </w:rPr>
            </w:pPr>
          </w:p>
        </w:tc>
        <w:tc>
          <w:tcPr>
            <w:tcW w:w="1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(992,974)</w:t>
            </w:r>
          </w:p>
        </w:tc>
        <w:tc>
          <w:tcPr>
            <w:tcW w:w="2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(885,069)</w:t>
            </w:r>
          </w:p>
        </w:tc>
        <w:tc>
          <w:tcPr>
            <w:tcW w:w="0" w:type="dxa"/>
            <w:vAlign w:val="bottom"/>
          </w:tcPr>
          <w:p>
            <w:pPr>
              <w:spacing w:after="0"/>
              <w:rPr>
                <w:sz w:val="1"/>
                <w:szCs w:val="1"/>
                <w:color w:val="auto"/>
              </w:rPr>
            </w:pPr>
          </w:p>
        </w:tc>
      </w:tr>
      <w:tr>
        <w:trPr>
          <w:trHeight w:val="195"/>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unrealized depreciation on investments</w:t>
            </w:r>
          </w:p>
        </w:tc>
        <w:tc>
          <w:tcPr>
            <w:tcW w:w="20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(9,368,121)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(5,976,299)</w:t>
            </w:r>
          </w:p>
        </w:tc>
        <w:tc>
          <w:tcPr>
            <w:tcW w:w="0" w:type="dxa"/>
            <w:vAlign w:val="bottom"/>
          </w:tcPr>
          <w:p>
            <w:pPr>
              <w:spacing w:after="0"/>
              <w:rPr>
                <w:sz w:val="1"/>
                <w:szCs w:val="1"/>
                <w:color w:val="auto"/>
              </w:rPr>
            </w:pPr>
          </w:p>
        </w:tc>
      </w:tr>
      <w:tr>
        <w:trPr>
          <w:trHeight w:val="189"/>
        </w:trPr>
        <w:tc>
          <w:tcPr>
            <w:tcW w:w="7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Net change in unrealized (depreciation) appreciation on Credit Facility foreign</w:t>
            </w:r>
          </w:p>
        </w:tc>
        <w:tc>
          <w:tcPr>
            <w:tcW w:w="200" w:type="dxa"/>
            <w:vAlign w:val="bottom"/>
            <w:shd w:val="clear" w:color="auto" w:fill="CCECFF"/>
          </w:tcPr>
          <w:p>
            <w:pPr>
              <w:spacing w:after="0"/>
              <w:rPr>
                <w:sz w:val="16"/>
                <w:szCs w:val="16"/>
                <w:color w:val="auto"/>
              </w:rPr>
            </w:pPr>
          </w:p>
        </w:tc>
        <w:tc>
          <w:tcPr>
            <w:tcW w:w="178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(2,210,907)</w:t>
            </w:r>
          </w:p>
        </w:tc>
        <w:tc>
          <w:tcPr>
            <w:tcW w:w="2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1,887,878</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7080" w:type="dxa"/>
            <w:vAlign w:val="bottom"/>
            <w:gridSpan w:val="2"/>
            <w:vMerge w:val="restart"/>
            <w:shd w:val="clear" w:color="auto" w:fill="CCECFF"/>
          </w:tcPr>
          <w:p>
            <w:pPr>
              <w:ind w:left="260"/>
              <w:spacing w:after="0"/>
              <w:rPr>
                <w:sz w:val="20"/>
                <w:szCs w:val="20"/>
                <w:color w:val="auto"/>
              </w:rPr>
            </w:pPr>
            <w:r>
              <w:rPr>
                <w:rFonts w:ascii="Times New Roman" w:cs="Times New Roman" w:eastAsia="Times New Roman" w:hAnsi="Times New Roman"/>
                <w:sz w:val="15"/>
                <w:szCs w:val="15"/>
                <w:color w:val="auto"/>
              </w:rPr>
              <w:t>currency translation</w:t>
            </w:r>
          </w:p>
        </w:tc>
        <w:tc>
          <w:tcPr>
            <w:tcW w:w="200" w:type="dxa"/>
            <w:vAlign w:val="bottom"/>
            <w:shd w:val="clear" w:color="auto" w:fill="CCECFF"/>
          </w:tcPr>
          <w:p>
            <w:pPr>
              <w:spacing w:after="0"/>
              <w:rPr>
                <w:sz w:val="8"/>
                <w:szCs w:val="8"/>
                <w:color w:val="auto"/>
              </w:rPr>
            </w:pPr>
          </w:p>
        </w:tc>
        <w:tc>
          <w:tcPr>
            <w:tcW w:w="1780" w:type="dxa"/>
            <w:vAlign w:val="bottom"/>
            <w:gridSpan w:val="2"/>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500" w:type="dxa"/>
            <w:vAlign w:val="bottom"/>
            <w:vMerge w:val="continue"/>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080" w:type="dxa"/>
            <w:vAlign w:val="bottom"/>
            <w:gridSpan w:val="2"/>
            <w:vMerge w:val="continue"/>
            <w:shd w:val="clear" w:color="auto" w:fill="CCECFF"/>
          </w:tcPr>
          <w:p>
            <w:pPr>
              <w:spacing w:after="0"/>
              <w:rPr>
                <w:sz w:val="9"/>
                <w:szCs w:val="9"/>
                <w:color w:val="auto"/>
              </w:rPr>
            </w:pPr>
          </w:p>
        </w:tc>
        <w:tc>
          <w:tcPr>
            <w:tcW w:w="200" w:type="dxa"/>
            <w:vAlign w:val="bottom"/>
            <w:tcBorders>
              <w:bottom w:val="single" w:sz="8" w:color="auto"/>
            </w:tcBorders>
            <w:shd w:val="clear" w:color="auto" w:fill="CCECFF"/>
          </w:tcPr>
          <w:p>
            <w:pPr>
              <w:spacing w:after="0"/>
              <w:rPr>
                <w:sz w:val="9"/>
                <w:szCs w:val="9"/>
                <w:color w:val="auto"/>
              </w:rPr>
            </w:pPr>
          </w:p>
        </w:tc>
        <w:tc>
          <w:tcPr>
            <w:tcW w:w="1660" w:type="dxa"/>
            <w:vAlign w:val="bottom"/>
            <w:tcBorders>
              <w:bottom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40" w:type="dxa"/>
            <w:vAlign w:val="bottom"/>
            <w:tcBorders>
              <w:bottom w:val="single" w:sz="8" w:color="auto"/>
            </w:tcBorders>
            <w:shd w:val="clear" w:color="auto" w:fill="CCECFF"/>
          </w:tcPr>
          <w:p>
            <w:pPr>
              <w:spacing w:after="0"/>
              <w:rPr>
                <w:sz w:val="9"/>
                <w:szCs w:val="9"/>
                <w:color w:val="auto"/>
              </w:rPr>
            </w:pPr>
          </w:p>
        </w:tc>
        <w:tc>
          <w:tcPr>
            <w:tcW w:w="1500" w:type="dxa"/>
            <w:vAlign w:val="bottom"/>
            <w:tcBorders>
              <w:bottom w:val="single" w:sz="8" w:color="auto"/>
            </w:tcBorders>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members’ equity from operations</w:t>
            </w:r>
          </w:p>
        </w:tc>
        <w:tc>
          <w:tcPr>
            <w:tcW w:w="20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(6,255,721)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2,760,402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80" w:type="dxa"/>
            <w:vAlign w:val="bottom"/>
            <w:tcBorders>
              <w:top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Capital contributions</w:t>
            </w:r>
          </w:p>
        </w:tc>
        <w:tc>
          <w:tcPr>
            <w:tcW w:w="200" w:type="dxa"/>
            <w:vAlign w:val="bottom"/>
            <w:tcBorders>
              <w:top w:val="single" w:sz="8" w:color="auto"/>
              <w:bottom w:val="single" w:sz="8" w:color="auto"/>
            </w:tcBorders>
            <w:shd w:val="clear" w:color="auto" w:fill="CCECFF"/>
          </w:tcPr>
          <w:p>
            <w:pPr>
              <w:spacing w:after="0"/>
              <w:rPr>
                <w:sz w:val="16"/>
                <w:szCs w:val="16"/>
                <w:color w:val="auto"/>
              </w:rPr>
            </w:pP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1,560,000</w:t>
            </w:r>
          </w:p>
        </w:tc>
        <w:tc>
          <w:tcPr>
            <w:tcW w:w="120" w:type="dxa"/>
            <w:vAlign w:val="bottom"/>
            <w:tcBorders>
              <w:top w:val="single" w:sz="8" w:color="CCECFF"/>
            </w:tcBorders>
            <w:shd w:val="clear" w:color="auto" w:fill="CCECFF"/>
          </w:tcPr>
          <w:p>
            <w:pPr>
              <w:spacing w:after="0"/>
              <w:rPr>
                <w:sz w:val="16"/>
                <w:szCs w:val="16"/>
                <w:color w:val="auto"/>
              </w:rPr>
            </w:pPr>
          </w:p>
        </w:tc>
        <w:tc>
          <w:tcPr>
            <w:tcW w:w="260" w:type="dxa"/>
            <w:vAlign w:val="bottom"/>
            <w:tcBorders>
              <w:top w:val="single" w:sz="8" w:color="CCECFF"/>
            </w:tcBorders>
            <w:shd w:val="clear" w:color="auto" w:fill="CCECFF"/>
          </w:tcPr>
          <w:p>
            <w:pPr>
              <w:spacing w:after="0"/>
              <w:rPr>
                <w:sz w:val="16"/>
                <w:szCs w:val="16"/>
                <w:color w:val="auto"/>
              </w:rPr>
            </w:pPr>
          </w:p>
        </w:tc>
        <w:tc>
          <w:tcPr>
            <w:tcW w:w="140" w:type="dxa"/>
            <w:vAlign w:val="bottom"/>
            <w:tcBorders>
              <w:top w:val="single" w:sz="8" w:color="auto"/>
              <w:bottom w:val="single" w:sz="8" w:color="auto"/>
            </w:tcBorders>
            <w:shd w:val="clear" w:color="auto" w:fill="CCECFF"/>
          </w:tcPr>
          <w:p>
            <w:pPr>
              <w:spacing w:after="0"/>
              <w:rPr>
                <w:sz w:val="16"/>
                <w:szCs w:val="16"/>
                <w:color w:val="auto"/>
              </w:rPr>
            </w:pPr>
          </w:p>
        </w:tc>
        <w:tc>
          <w:tcPr>
            <w:tcW w:w="1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10,350,000</w:t>
            </w:r>
          </w:p>
        </w:tc>
        <w:tc>
          <w:tcPr>
            <w:tcW w:w="28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Distributions</w:t>
            </w:r>
          </w:p>
        </w:tc>
        <w:tc>
          <w:tcPr>
            <w:tcW w:w="20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(6,800,000)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(7,200,000)</w:t>
            </w:r>
          </w:p>
        </w:tc>
        <w:tc>
          <w:tcPr>
            <w:tcW w:w="0" w:type="dxa"/>
            <w:vAlign w:val="bottom"/>
          </w:tcPr>
          <w:p>
            <w:pPr>
              <w:spacing w:after="0"/>
              <w:rPr>
                <w:sz w:val="1"/>
                <w:szCs w:val="1"/>
                <w:color w:val="auto"/>
              </w:rPr>
            </w:pPr>
          </w:p>
        </w:tc>
      </w:tr>
      <w:tr>
        <w:trPr>
          <w:trHeight w:val="20"/>
        </w:trPr>
        <w:tc>
          <w:tcPr>
            <w:tcW w:w="7080" w:type="dxa"/>
            <w:vAlign w:val="bottom"/>
            <w:gridSpan w:val="2"/>
            <w:vMerge w:val="restart"/>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members’ equity</w:t>
            </w: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80" w:type="dxa"/>
            <w:vAlign w:val="bottom"/>
            <w:gridSpan w:val="2"/>
            <w:vMerge w:val="continue"/>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5"/>
                <w:szCs w:val="15"/>
                <w:color w:val="auto"/>
              </w:rPr>
              <w:t>(11,495,721)</w:t>
            </w:r>
          </w:p>
        </w:tc>
        <w:tc>
          <w:tcPr>
            <w:tcW w:w="2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5,910,402</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Members’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5"/>
                <w:szCs w:val="15"/>
                <w:color w:val="auto"/>
              </w:rPr>
              <w:t>Beginning of year</w:t>
            </w:r>
          </w:p>
        </w:tc>
        <w:tc>
          <w:tcPr>
            <w:tcW w:w="200" w:type="dxa"/>
            <w:vAlign w:val="bottom"/>
            <w:tcBorders>
              <w:bottom w:val="single" w:sz="8" w:color="auto"/>
            </w:tcBorders>
            <w:shd w:val="clear" w:color="auto" w:fill="CCECFF"/>
          </w:tcPr>
          <w:p>
            <w:pPr>
              <w:spacing w:after="0"/>
              <w:rPr>
                <w:sz w:val="17"/>
                <w:szCs w:val="17"/>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57,107,806</w:t>
            </w:r>
          </w:p>
        </w:tc>
        <w:tc>
          <w:tcPr>
            <w:tcW w:w="1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51,197,404</w:t>
            </w:r>
          </w:p>
        </w:tc>
        <w:tc>
          <w:tcPr>
            <w:tcW w:w="2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End of year</w:t>
            </w:r>
          </w:p>
        </w:tc>
        <w:tc>
          <w:tcPr>
            <w:tcW w:w="2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45,612,085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57,107,806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8"/>
              </w:rPr>
              <w:t>September 30, 2020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0" w:type="dxa"/>
            <w:vAlign w:val="bottom"/>
          </w:tcPr>
          <w:p>
            <w:pPr>
              <w:spacing w:after="0"/>
              <w:rPr>
                <w:sz w:val="1"/>
                <w:szCs w:val="1"/>
                <w:color w:val="auto"/>
              </w:rPr>
            </w:pPr>
          </w:p>
        </w:tc>
      </w:tr>
      <w:tr>
        <w:trPr>
          <w:trHeight w:val="193"/>
        </w:trPr>
        <w:tc>
          <w:tcPr>
            <w:tcW w:w="7560" w:type="dxa"/>
            <w:vAlign w:val="bottom"/>
            <w:tcBorders>
              <w:top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0" w:type="dxa"/>
            <w:vAlign w:val="bottom"/>
            <w:tcBorders>
              <w:top w:val="single" w:sz="8" w:color="auto"/>
            </w:tcBorders>
            <w:shd w:val="clear" w:color="auto" w:fill="CCECFF"/>
          </w:tcPr>
          <w:p>
            <w:pPr>
              <w:spacing w:after="0"/>
              <w:rPr>
                <w:sz w:val="16"/>
                <w:szCs w:val="16"/>
                <w:color w:val="auto"/>
              </w:rPr>
            </w:pPr>
          </w:p>
        </w:tc>
        <w:tc>
          <w:tcPr>
            <w:tcW w:w="1380" w:type="dxa"/>
            <w:vAlign w:val="bottom"/>
            <w:tcBorders>
              <w:top w:val="single" w:sz="8" w:color="auto"/>
            </w:tcBorders>
            <w:shd w:val="clear" w:color="auto" w:fill="CCECFF"/>
          </w:tcPr>
          <w:p>
            <w:pPr>
              <w:spacing w:after="0"/>
              <w:rPr>
                <w:sz w:val="16"/>
                <w:szCs w:val="16"/>
                <w:color w:val="auto"/>
              </w:rPr>
            </w:pPr>
          </w:p>
        </w:tc>
        <w:tc>
          <w:tcPr>
            <w:tcW w:w="220" w:type="dxa"/>
            <w:vAlign w:val="bottom"/>
            <w:tcBorders>
              <w:top w:val="single" w:sz="8" w:color="CCECFF"/>
            </w:tcBorders>
            <w:shd w:val="clear" w:color="auto" w:fill="CCECFF"/>
          </w:tcPr>
          <w:p>
            <w:pPr>
              <w:spacing w:after="0"/>
              <w:rPr>
                <w:sz w:val="16"/>
                <w:szCs w:val="16"/>
                <w:color w:val="auto"/>
              </w:rPr>
            </w:pPr>
          </w:p>
        </w:tc>
        <w:tc>
          <w:tcPr>
            <w:tcW w:w="16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auto"/>
            </w:tcBorders>
            <w:shd w:val="clear" w:color="auto" w:fill="CCECFF"/>
          </w:tcPr>
          <w:p>
            <w:pPr>
              <w:spacing w:after="0"/>
              <w:rPr>
                <w:sz w:val="16"/>
                <w:szCs w:val="16"/>
                <w:color w:val="auto"/>
              </w:rPr>
            </w:pPr>
          </w:p>
        </w:tc>
        <w:tc>
          <w:tcPr>
            <w:tcW w:w="1420" w:type="dxa"/>
            <w:vAlign w:val="bottom"/>
            <w:tcBorders>
              <w:top w:val="single" w:sz="8" w:color="auto"/>
            </w:tcBorders>
            <w:shd w:val="clear" w:color="auto" w:fill="CCECFF"/>
          </w:tcPr>
          <w:p>
            <w:pPr>
              <w:spacing w:after="0"/>
              <w:rPr>
                <w:sz w:val="16"/>
                <w:szCs w:val="16"/>
                <w:color w:val="auto"/>
              </w:rPr>
            </w:pPr>
          </w:p>
        </w:tc>
        <w:tc>
          <w:tcPr>
            <w:tcW w:w="28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(decrease) increase in members’ equity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(6,255,721)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2,760,402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(decrease) increase in members’ equity resulting from operations to net cash provided by</w:t>
            </w:r>
          </w:p>
        </w:tc>
        <w:tc>
          <w:tcPr>
            <w:tcW w:w="100" w:type="dxa"/>
            <w:vAlign w:val="bottom"/>
            <w:shd w:val="clear" w:color="auto" w:fill="CCECFF"/>
          </w:tcPr>
          <w:p>
            <w:pPr>
              <w:spacing w:after="0"/>
              <w:rPr>
                <w:sz w:val="16"/>
                <w:szCs w:val="16"/>
                <w:color w:val="auto"/>
              </w:rPr>
            </w:pPr>
          </w:p>
        </w:tc>
        <w:tc>
          <w:tcPr>
            <w:tcW w:w="1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5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5"/>
                <w:szCs w:val="15"/>
                <w:color w:val="auto"/>
              </w:rPr>
              <w:t>(used in) operating activities:</w:t>
            </w:r>
          </w:p>
        </w:tc>
        <w:tc>
          <w:tcPr>
            <w:tcW w:w="10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Net change in unrealized depreciation on investments and cash equivalents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9,368,121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5,976,299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Net change in unrealized (appreciation) depreciation on Credit Facility foreign</w:t>
            </w:r>
          </w:p>
        </w:tc>
        <w:tc>
          <w:tcPr>
            <w:tcW w:w="100" w:type="dxa"/>
            <w:vAlign w:val="bottom"/>
            <w:shd w:val="clear" w:color="auto" w:fill="CCECFF"/>
          </w:tcPr>
          <w:p>
            <w:pPr>
              <w:spacing w:after="0"/>
              <w:rPr>
                <w:sz w:val="16"/>
                <w:szCs w:val="16"/>
                <w:color w:val="auto"/>
              </w:rPr>
            </w:pPr>
          </w:p>
        </w:tc>
        <w:tc>
          <w:tcPr>
            <w:tcW w:w="1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5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5"/>
                <w:szCs w:val="15"/>
                <w:color w:val="auto"/>
              </w:rPr>
              <w:t>currency translations</w:t>
            </w:r>
          </w:p>
        </w:tc>
        <w:tc>
          <w:tcPr>
            <w:tcW w:w="100" w:type="dxa"/>
            <w:vAlign w:val="bottom"/>
            <w:shd w:val="clear" w:color="auto" w:fill="CCECFF"/>
          </w:tcPr>
          <w:p>
            <w:pPr>
              <w:spacing w:after="0"/>
              <w:rPr>
                <w:sz w:val="17"/>
                <w:szCs w:val="17"/>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2,210,907</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(1,887,878)</w:t>
            </w: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992,974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885,069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Net accretion of discount and amortization of premium</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(703,578)</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(812,111)</w:t>
            </w: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Purchases of investments</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(87,059,309)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(228,607,947)</w:t>
            </w: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Payment-in-kind interest</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(761,512)</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(438,106)</w:t>
            </w: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Proceeds from disposition of investments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172,587,943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159,930,292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Increase in interest receivable</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(380,050)</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(185,492)</w:t>
            </w: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Decrease in prepaid expenses and other assets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933,521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1,788,144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(Decrease) Increase in interest payable on Credit Facility</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(661,686)</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87,238</w:t>
            </w:r>
          </w:p>
        </w:tc>
        <w:tc>
          <w:tcPr>
            <w:tcW w:w="2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Decrease in interest payable on notes to members</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(6,478)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(60,769)</w:t>
            </w: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Decrease in accrued expenses</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(11,909)</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(224,843)</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90,253,223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(60,789,702)</w:t>
            </w:r>
          </w:p>
        </w:tc>
        <w:tc>
          <w:tcPr>
            <w:tcW w:w="0" w:type="dxa"/>
            <w:vAlign w:val="bottom"/>
          </w:tcPr>
          <w:p>
            <w:pPr>
              <w:spacing w:after="0"/>
              <w:rPr>
                <w:sz w:val="1"/>
                <w:szCs w:val="1"/>
                <w:color w:val="auto"/>
              </w:rPr>
            </w:pPr>
          </w:p>
        </w:tc>
      </w:tr>
      <w:tr>
        <w:trPr>
          <w:trHeight w:val="193"/>
        </w:trPr>
        <w:tc>
          <w:tcPr>
            <w:tcW w:w="7560" w:type="dxa"/>
            <w:vAlign w:val="bottom"/>
            <w:tcBorders>
              <w:top w:val="single" w:sz="8" w:color="CCECFF"/>
            </w:tcBorders>
            <w:gridSpan w:val="2"/>
            <w:shd w:val="clear" w:color="auto" w:fill="CCECFF"/>
          </w:tcPr>
          <w:p>
            <w:pPr>
              <w:spacing w:after="0" w:line="193"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22"/>
                <w:szCs w:val="22"/>
                <w:b w:val="1"/>
                <w:bCs w:val="1"/>
                <w:color w:val="auto"/>
                <w:vertAlign w:val="superscript"/>
              </w:rPr>
              <w:t>(1)</w:t>
            </w:r>
          </w:p>
        </w:tc>
        <w:tc>
          <w:tcPr>
            <w:tcW w:w="100" w:type="dxa"/>
            <w:vAlign w:val="bottom"/>
            <w:tcBorders>
              <w:top w:val="single" w:sz="8" w:color="auto"/>
            </w:tcBorders>
            <w:shd w:val="clear" w:color="auto" w:fill="CCECFF"/>
          </w:tcPr>
          <w:p>
            <w:pPr>
              <w:spacing w:after="0"/>
              <w:rPr>
                <w:sz w:val="16"/>
                <w:szCs w:val="16"/>
                <w:color w:val="auto"/>
              </w:rPr>
            </w:pPr>
          </w:p>
        </w:tc>
        <w:tc>
          <w:tcPr>
            <w:tcW w:w="1380" w:type="dxa"/>
            <w:vAlign w:val="bottom"/>
            <w:tcBorders>
              <w:top w:val="single" w:sz="8" w:color="auto"/>
            </w:tcBorders>
            <w:shd w:val="clear" w:color="auto" w:fill="CCECFF"/>
          </w:tcPr>
          <w:p>
            <w:pPr>
              <w:spacing w:after="0"/>
              <w:rPr>
                <w:sz w:val="16"/>
                <w:szCs w:val="16"/>
                <w:color w:val="auto"/>
              </w:rPr>
            </w:pPr>
          </w:p>
        </w:tc>
        <w:tc>
          <w:tcPr>
            <w:tcW w:w="220" w:type="dxa"/>
            <w:vAlign w:val="bottom"/>
            <w:tcBorders>
              <w:top w:val="single" w:sz="8" w:color="CCECFF"/>
            </w:tcBorders>
            <w:shd w:val="clear" w:color="auto" w:fill="CCECFF"/>
          </w:tcPr>
          <w:p>
            <w:pPr>
              <w:spacing w:after="0"/>
              <w:rPr>
                <w:sz w:val="16"/>
                <w:szCs w:val="16"/>
                <w:color w:val="auto"/>
              </w:rPr>
            </w:pPr>
          </w:p>
        </w:tc>
        <w:tc>
          <w:tcPr>
            <w:tcW w:w="16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auto"/>
            </w:tcBorders>
            <w:shd w:val="clear" w:color="auto" w:fill="CCECFF"/>
          </w:tcPr>
          <w:p>
            <w:pPr>
              <w:spacing w:after="0"/>
              <w:rPr>
                <w:sz w:val="16"/>
                <w:szCs w:val="16"/>
                <w:color w:val="auto"/>
              </w:rPr>
            </w:pPr>
          </w:p>
        </w:tc>
        <w:tc>
          <w:tcPr>
            <w:tcW w:w="1420" w:type="dxa"/>
            <w:vAlign w:val="bottom"/>
            <w:tcBorders>
              <w:top w:val="single" w:sz="8" w:color="auto"/>
            </w:tcBorders>
            <w:shd w:val="clear" w:color="auto" w:fill="CCECFF"/>
          </w:tcPr>
          <w:p>
            <w:pPr>
              <w:spacing w:after="0"/>
              <w:rPr>
                <w:sz w:val="16"/>
                <w:szCs w:val="16"/>
                <w:color w:val="auto"/>
              </w:rPr>
            </w:pPr>
          </w:p>
        </w:tc>
        <w:tc>
          <w:tcPr>
            <w:tcW w:w="28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Members’ capital contributions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1,560,000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10,350,000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Distributions to members</w:t>
            </w:r>
          </w:p>
        </w:tc>
        <w:tc>
          <w:tcPr>
            <w:tcW w:w="100" w:type="dxa"/>
            <w:vAlign w:val="bottom"/>
            <w:shd w:val="clear" w:color="auto" w:fill="CCECFF"/>
          </w:tcPr>
          <w:p>
            <w:pPr>
              <w:spacing w:after="0"/>
              <w:rPr>
                <w:sz w:val="17"/>
                <w:szCs w:val="17"/>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(6,800,000)</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(7,200,000)</w:t>
            </w: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Notes issued to members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3,640,000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24,150,000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Borrowings under Credit Facility</w:t>
            </w:r>
          </w:p>
        </w:tc>
        <w:tc>
          <w:tcPr>
            <w:tcW w:w="100" w:type="dxa"/>
            <w:vAlign w:val="bottom"/>
            <w:shd w:val="clear" w:color="auto" w:fill="CCECFF"/>
          </w:tcPr>
          <w:p>
            <w:pPr>
              <w:spacing w:after="0"/>
              <w:rPr>
                <w:sz w:val="17"/>
                <w:szCs w:val="17"/>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70,000,000</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117,526,283</w:t>
            </w:r>
          </w:p>
        </w:tc>
        <w:tc>
          <w:tcPr>
            <w:tcW w:w="2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Repayments under Credit Facility</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(163,965,743)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(82,200,000)</w:t>
            </w:r>
          </w:p>
        </w:tc>
        <w:tc>
          <w:tcPr>
            <w:tcW w:w="0" w:type="dxa"/>
            <w:vAlign w:val="bottom"/>
          </w:tcPr>
          <w:p>
            <w:pPr>
              <w:spacing w:after="0"/>
              <w:rPr>
                <w:sz w:val="1"/>
                <w:szCs w:val="1"/>
                <w:color w:val="auto"/>
              </w:rPr>
            </w:pPr>
          </w:p>
        </w:tc>
      </w:tr>
      <w:tr>
        <w:trPr>
          <w:trHeight w:val="20"/>
        </w:trPr>
        <w:tc>
          <w:tcPr>
            <w:tcW w:w="7560" w:type="dxa"/>
            <w:vAlign w:val="bottom"/>
            <w:gridSpan w:val="2"/>
            <w:vMerge w:val="restart"/>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60" w:type="dxa"/>
            <w:vAlign w:val="bottom"/>
            <w:gridSpan w:val="2"/>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5"/>
                <w:szCs w:val="15"/>
                <w:color w:val="auto"/>
              </w:rPr>
              <w:t>(95,565,743)</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62,626,283</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(5,312,520)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1,836,581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100" w:type="dxa"/>
            <w:vAlign w:val="bottom"/>
            <w:shd w:val="clear" w:color="auto" w:fill="CCECFF"/>
          </w:tcPr>
          <w:p>
            <w:pPr>
              <w:spacing w:after="0"/>
              <w:rPr>
                <w:sz w:val="17"/>
                <w:szCs w:val="17"/>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1,139,118</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7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5"/>
                <w:szCs w:val="15"/>
                <w:color w:val="auto"/>
              </w:rPr>
              <w:t>(62,460)</w:t>
            </w:r>
          </w:p>
        </w:tc>
        <w:tc>
          <w:tcPr>
            <w:tcW w:w="0" w:type="dxa"/>
            <w:vAlign w:val="bottom"/>
          </w:tcPr>
          <w:p>
            <w:pPr>
              <w:spacing w:after="0"/>
              <w:rPr>
                <w:sz w:val="1"/>
                <w:szCs w:val="1"/>
                <w:color w:val="auto"/>
              </w:rPr>
            </w:pPr>
          </w:p>
        </w:tc>
      </w:tr>
      <w:tr>
        <w:trPr>
          <w:trHeight w:val="197"/>
        </w:trPr>
        <w:tc>
          <w:tcPr>
            <w:tcW w:w="75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year</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15,294,881</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13,520,760</w:t>
            </w:r>
          </w:p>
        </w:tc>
        <w:tc>
          <w:tcPr>
            <w:tcW w:w="2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end of year</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11,121,479</w:t>
            </w:r>
          </w:p>
        </w:tc>
        <w:tc>
          <w:tcPr>
            <w:tcW w:w="220" w:type="dxa"/>
            <w:vAlign w:val="bottom"/>
            <w:shd w:val="clear" w:color="auto" w:fill="CCECFF"/>
          </w:tcPr>
          <w:p>
            <w:pPr>
              <w:spacing w:after="0"/>
              <w:rPr>
                <w:sz w:val="16"/>
                <w:szCs w:val="16"/>
                <w:color w:val="auto"/>
              </w:rPr>
            </w:pPr>
          </w:p>
        </w:tc>
        <w:tc>
          <w:tcPr>
            <w:tcW w:w="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rPr>
              <w:t>15,294,881</w:t>
            </w:r>
          </w:p>
        </w:tc>
        <w:tc>
          <w:tcPr>
            <w:tcW w:w="2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CFF"/>
            </w:tcBorders>
          </w:tcPr>
          <w:p>
            <w:pPr>
              <w:spacing w:after="0" w:line="20" w:lineRule="exact"/>
              <w:rPr>
                <w:sz w:val="1"/>
                <w:szCs w:val="1"/>
                <w:color w:val="auto"/>
              </w:rPr>
            </w:pPr>
          </w:p>
        </w:tc>
        <w:tc>
          <w:tcPr>
            <w:tcW w:w="56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1960" w:type="dxa"/>
            <w:vAlign w:val="bottom"/>
            <w:tcBorders>
              <w:bottom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1" w:hanging="401"/>
        <w:spacing w:after="0"/>
        <w:tabs>
          <w:tab w:leader="none" w:pos="401" w:val="left"/>
        </w:tabs>
        <w:numPr>
          <w:ilvl w:val="0"/>
          <w:numId w:val="11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3"/>
          <w:szCs w:val="13"/>
          <w:color w:val="auto"/>
        </w:rPr>
        <w:t>Cash paid for interest on financing activities for the years ending September 30, 2020 and 2019 was $26,065,172 and $29,001,132,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3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3"/>
              </w:rPr>
              <w:t>Current</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Fair Value as a Percentage</w:t>
            </w:r>
          </w:p>
        </w:tc>
      </w:tr>
      <w:tr>
        <w:trPr>
          <w:trHeight w:val="143"/>
        </w:trPr>
        <w:tc>
          <w:tcPr>
            <w:tcW w:w="32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80" w:type="dxa"/>
            <w:vAlign w:val="bottom"/>
          </w:tcPr>
          <w:p>
            <w:pPr>
              <w:jc w:val="center"/>
              <w:ind w:right="46"/>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Coupon </w:t>
            </w:r>
            <w:r>
              <w:rPr>
                <w:rFonts w:ascii="Times New Roman" w:cs="Times New Roman" w:eastAsia="Times New Roman" w:hAnsi="Times New Roman"/>
                <w:sz w:val="16"/>
                <w:szCs w:val="16"/>
                <w:b w:val="1"/>
                <w:bCs w:val="1"/>
                <w:color w:val="auto"/>
                <w:vertAlign w:val="superscript"/>
              </w:rPr>
              <w:t>(1)</w:t>
            </w:r>
          </w:p>
        </w:tc>
        <w:tc>
          <w:tcPr>
            <w:tcW w:w="340" w:type="dxa"/>
            <w:vAlign w:val="bottom"/>
          </w:tcPr>
          <w:p>
            <w:pPr>
              <w:spacing w:after="0"/>
              <w:rPr>
                <w:sz w:val="12"/>
                <w:szCs w:val="12"/>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Par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left="49"/>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of Members’ Equity </w:t>
            </w:r>
            <w:r>
              <w:rPr>
                <w:rFonts w:ascii="Times New Roman" w:cs="Times New Roman" w:eastAsia="Times New Roman" w:hAnsi="Times New Roman"/>
                <w:sz w:val="16"/>
                <w:szCs w:val="16"/>
                <w:b w:val="1"/>
                <w:bCs w:val="1"/>
                <w:color w:val="auto"/>
                <w:vertAlign w:val="superscript"/>
              </w:rPr>
              <w:t>(2)</w:t>
            </w:r>
          </w:p>
        </w:tc>
        <w:tc>
          <w:tcPr>
            <w:tcW w:w="100" w:type="dxa"/>
            <w:vAlign w:val="bottom"/>
          </w:tcPr>
          <w:p>
            <w:pPr>
              <w:spacing w:after="0"/>
              <w:rPr>
                <w:sz w:val="12"/>
                <w:szCs w:val="12"/>
                <w:color w:val="auto"/>
              </w:rPr>
            </w:pPr>
          </w:p>
        </w:tc>
      </w:tr>
      <w:tr>
        <w:trPr>
          <w:trHeight w:val="129"/>
        </w:trPr>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 - 838.2%</w:t>
            </w:r>
          </w:p>
        </w:tc>
        <w:tc>
          <w:tcPr>
            <w:tcW w:w="8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Aerospace and Defense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Cadence Aerospace,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11/14/23</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9.50%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11,802,082</w:t>
            </w:r>
          </w:p>
        </w:tc>
        <w:tc>
          <w:tcPr>
            <w:tcW w:w="24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11,730,187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11,322,915</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1"/>
              </w:rPr>
              <w:t>%</w:t>
            </w: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02/12/24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6.25%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5,330,847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5,330,847</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5,304,193</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IMIA Holdings,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10/26/25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5.50%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12,143,568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12,097,717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12,022,132</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10/18/22</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8.50%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254,095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250,910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251,554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Banking, Finance, Insurance and Real Estate</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line="136" w:lineRule="exact"/>
              <w:rPr>
                <w:sz w:val="20"/>
                <w:szCs w:val="20"/>
                <w:color w:val="auto"/>
              </w:rPr>
            </w:pPr>
            <w:r>
              <w:rPr>
                <w:rFonts w:ascii="Times New Roman" w:cs="Times New Roman" w:eastAsia="Times New Roman" w:hAnsi="Times New Roman"/>
                <w:sz w:val="9"/>
                <w:szCs w:val="9"/>
                <w:color w:val="auto"/>
              </w:rPr>
              <w:t xml:space="preserve">Findex Group Limited </w:t>
            </w:r>
            <w:r>
              <w:rPr>
                <w:rFonts w:ascii="Times New Roman" w:cs="Times New Roman" w:eastAsia="Times New Roman" w:hAnsi="Times New Roman"/>
                <w:sz w:val="15"/>
                <w:szCs w:val="15"/>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05/31/24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5.46%</w:t>
            </w: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AUD</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7,411,600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6,809,125</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Cardenas Markets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11/29/23</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4,779,776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4,759,527</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4,779,776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First Out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05/01/23</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179,976</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182,403</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05/01/23</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450,110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450,110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Good2Grow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11/18/24</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5.25%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9,499,183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9,429,133</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9,427,938</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Snak Club,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07/19/21</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4,561,971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4,561,971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4,493,542</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4,856,155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4,795,251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4,686,189</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08/31/23</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9,663,392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9,595,826</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8,986,954</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03/27/24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5.50%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7,803,419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7,825,029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7,101,111</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Schlesinger Global,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07/14/25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11,904,617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11,904,617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11,041,532</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Teneo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07/18/25</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6.25%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4,783,595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4,764,375</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Capital Equipment</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LAV Gear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8.50%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9,975,861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9,902,990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9,188,766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09/28/22</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5,949,731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5,927,114</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5,877,737</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UBEO,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04/03/24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5.50%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21,930,702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21,762,065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20,614,860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Chemicals, Plastics and Rubber</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10/19/22</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8,836,683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8,756,358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8,704,133</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10/19/22</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7,403,183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7,370,405</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7,292,135</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8.00%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19,650,000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19,436,214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19,217,700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10/19/22</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1,594,030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1,579,915</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1,570,120</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Construction and Building</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STV Group Incorporated</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5.40%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7,762,222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7,692,023</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7,684,600</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Durable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DRS Holdings III,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8,022,149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7,950,609</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7,875,344</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GSM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06/03/24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5.50%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19,470,523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19,354,235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19,275,817</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PlayPower,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5.72%</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3,990,707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Non-Durable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Manna Pro Products,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12/08/23</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4,313,910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4,273,019</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4,197,866</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New Milani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06/06/24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14,662,500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14,568,019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13,379,531</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11/24/25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6.25%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8,924,066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8,837,614</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8,656,344</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Diversified Consumer Services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09/29/23</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5.75%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8,587,606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8,587,606</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8,458,792</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TVC Enterprises,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01/18/24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9,747,335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9,747,335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9,674,230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06/16/25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7.25%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6,910,465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6,797,117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6,772,256</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Healthcare and Pharmaceuticals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Smile Brands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10/14/24</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4.93%</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11,175,938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11,090,654</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10,840,659</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Solutionreach,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6,214,305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6,149,172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6,145,948</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08/30/24</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6.00%</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11,463,443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11,311,325</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11,119,540</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High Tech Industries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05/16/22</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7.25%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10,901,843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10,774,172</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10,792,825</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GCOM Software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11/14/22</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7.75%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16,646,228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16,562,972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16,646,228</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Media: Advertising, Printing &amp; Publishing</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MeritDirect,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4,812,500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4,771,073</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4,583,906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Media: Broadcasting and Subscription</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The Infosoft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09/16/24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6.75%</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8,602,807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8,584,634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8,602,807</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line="136" w:lineRule="exact"/>
              <w:rPr>
                <w:sz w:val="20"/>
                <w:szCs w:val="20"/>
                <w:color w:val="auto"/>
              </w:rPr>
            </w:pPr>
            <w:r>
              <w:rPr>
                <w:rFonts w:ascii="Times New Roman" w:cs="Times New Roman" w:eastAsia="Times New Roman" w:hAnsi="Times New Roman"/>
                <w:sz w:val="9"/>
                <w:szCs w:val="9"/>
                <w:color w:val="auto"/>
              </w:rPr>
              <w:t xml:space="preserve">Marketplace Events LLC </w:t>
            </w:r>
            <w:r>
              <w:rPr>
                <w:rFonts w:ascii="Times New Roman" w:cs="Times New Roman" w:eastAsia="Times New Roman" w:hAnsi="Times New Roman"/>
                <w:sz w:val="15"/>
                <w:szCs w:val="15"/>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01/27/23</w:t>
            </w:r>
          </w:p>
        </w:tc>
        <w:tc>
          <w:tcPr>
            <w:tcW w:w="140" w:type="dxa"/>
            <w:vAlign w:val="bottom"/>
          </w:tcPr>
          <w:p>
            <w:pPr>
              <w:spacing w:after="0"/>
              <w:rPr>
                <w:sz w:val="11"/>
                <w:szCs w:val="11"/>
                <w:color w:val="auto"/>
              </w:rPr>
            </w:pPr>
          </w:p>
        </w:tc>
        <w:tc>
          <w:tcPr>
            <w:tcW w:w="1280" w:type="dxa"/>
            <w:vAlign w:val="bottom"/>
          </w:tcPr>
          <w:p>
            <w:pPr>
              <w:jc w:val="center"/>
              <w:ind w:right="326"/>
              <w:spacing w:after="0"/>
              <w:rPr>
                <w:sz w:val="20"/>
                <w:szCs w:val="20"/>
                <w:color w:val="auto"/>
              </w:rPr>
            </w:pPr>
            <w:r>
              <w:rPr>
                <w:rFonts w:ascii="Times New Roman" w:cs="Times New Roman" w:eastAsia="Times New Roman" w:hAnsi="Times New Roman"/>
                <w:sz w:val="11"/>
                <w:szCs w:val="11"/>
                <w:color w:val="auto"/>
                <w:w w:val="95"/>
              </w:rPr>
              <w:t>0.00% (5)</w:t>
            </w: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CAD</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5,730,254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4,449,786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3,623,691</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Retail</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05/01/23</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6,843,750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6,872,048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6,631,320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Telecommunications</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TeleGuam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11/20/25</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5.50%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8,309,797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8,272,104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8,060,503</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Transportation: Consumer</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01/02/24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6.00%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7,670,399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7,596,860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7,440,287</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Wholesale</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Impact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06/27/23</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8.37%</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9,290,185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9,216,206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9,336,636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09/29/25</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5.19%</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9,792,594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9,717,936</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9,156,076</w:t>
            </w:r>
          </w:p>
        </w:tc>
        <w:tc>
          <w:tcPr>
            <w:tcW w:w="14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1"/>
                <w:szCs w:val="11"/>
                <w:color w:val="auto"/>
              </w:rPr>
            </w:pPr>
          </w:p>
        </w:tc>
        <w:tc>
          <w:tcPr>
            <w:tcW w:w="128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8"/>
              </w:rPr>
              <w:t>7.00%</w:t>
            </w:r>
          </w:p>
        </w:tc>
        <w:tc>
          <w:tcPr>
            <w:tcW w:w="340" w:type="dxa"/>
            <w:vAlign w:val="bottom"/>
          </w:tcPr>
          <w:p>
            <w:pPr>
              <w:spacing w:after="0"/>
              <w:rPr>
                <w:sz w:val="11"/>
                <w:szCs w:val="11"/>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4,925,000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4,860,858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4,836,350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09/26/24</w:t>
            </w: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jc w:val="center"/>
              <w:ind w:right="346"/>
              <w:spacing w:after="0"/>
              <w:rPr>
                <w:sz w:val="20"/>
                <w:szCs w:val="20"/>
                <w:color w:val="auto"/>
              </w:rPr>
            </w:pPr>
            <w:r>
              <w:rPr>
                <w:rFonts w:ascii="Times New Roman" w:cs="Times New Roman" w:eastAsia="Times New Roman" w:hAnsi="Times New Roman"/>
                <w:sz w:val="11"/>
                <w:szCs w:val="11"/>
                <w:color w:val="auto"/>
                <w:w w:val="98"/>
              </w:rPr>
              <w:t>7.25%</w:t>
            </w:r>
          </w:p>
        </w:tc>
        <w:tc>
          <w:tcPr>
            <w:tcW w:w="3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10,594,047</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10,440,520</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10,594,047</w:t>
            </w:r>
          </w:p>
        </w:tc>
        <w:tc>
          <w:tcPr>
            <w:tcW w:w="440" w:type="dxa"/>
            <w:vAlign w:val="bottom"/>
            <w:gridSpan w:val="3"/>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392,309,961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382,299,150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838.2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Fair Value as a Percentage of</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0" w:type="dxa"/>
            <w:vAlign w:val="bottom"/>
            <w:gridSpan w:val="2"/>
          </w:tcPr>
          <w:p>
            <w:pPr>
              <w:jc w:val="center"/>
              <w:ind w:right="420"/>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Coupon </w:t>
            </w:r>
            <w:r>
              <w:rPr>
                <w:rFonts w:ascii="Times New Roman" w:cs="Times New Roman" w:eastAsia="Times New Roman" w:hAnsi="Times New Roman"/>
                <w:sz w:val="16"/>
                <w:szCs w:val="16"/>
                <w:b w:val="1"/>
                <w:bCs w:val="1"/>
                <w:color w:val="auto"/>
                <w:vertAlign w:val="superscript"/>
              </w:rPr>
              <w:t>(1)</w:t>
            </w:r>
          </w:p>
        </w:tc>
        <w:tc>
          <w:tcPr>
            <w:tcW w:w="9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80" w:type="dxa"/>
            <w:vAlign w:val="bottom"/>
            <w:gridSpan w:val="4"/>
          </w:tcPr>
          <w:p>
            <w:pPr>
              <w:jc w:val="center"/>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Members’ Equity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 - 19.5%</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Country Fresh Holdings, LLC (All PIK)</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04/29/24</w:t>
            </w: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jc w:val="center"/>
              <w:ind w:right="207"/>
              <w:spacing w:after="0"/>
              <w:rPr>
                <w:sz w:val="20"/>
                <w:szCs w:val="20"/>
                <w:color w:val="auto"/>
              </w:rPr>
            </w:pPr>
            <w:r>
              <w:rPr>
                <w:rFonts w:ascii="Times New Roman" w:cs="Times New Roman" w:eastAsia="Times New Roman" w:hAnsi="Times New Roman"/>
                <w:sz w:val="11"/>
                <w:szCs w:val="11"/>
                <w:color w:val="auto"/>
                <w:w w:val="95"/>
              </w:rPr>
              <w:t>9.5%</w:t>
            </w: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strike w:val="1"/>
                <w:w w:val="86"/>
              </w:rPr>
              <w:t>%</w:t>
            </w: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220" w:type="dxa"/>
            <w:vAlign w:val="bottom"/>
            <w:tcBorders>
              <w:bottom w:val="single" w:sz="8" w:color="CFF0FC"/>
            </w:tcBorders>
            <w:vMerge w:val="continue"/>
            <w:shd w:val="clear" w:color="auto" w:fill="CFF0FC"/>
          </w:tcPr>
          <w:p>
            <w:pPr>
              <w:spacing w:after="0"/>
              <w:rPr>
                <w:sz w:val="9"/>
                <w:szCs w:val="9"/>
                <w:color w:val="auto"/>
              </w:rPr>
            </w:pPr>
          </w:p>
        </w:tc>
        <w:tc>
          <w:tcPr>
            <w:tcW w:w="820" w:type="dxa"/>
            <w:vAlign w:val="bottom"/>
            <w:tcBorders>
              <w:bottom w:val="single" w:sz="8" w:color="CFF0FC"/>
            </w:tcBorders>
            <w:vMerge w:val="continue"/>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CFF0FC"/>
            </w:tcBorders>
            <w:gridSpan w:val="2"/>
            <w:shd w:val="clear" w:color="auto" w:fill="CFF0FC"/>
          </w:tcPr>
          <w:p>
            <w:pPr>
              <w:jc w:val="center"/>
              <w:ind w:right="660"/>
              <w:spacing w:after="0" w:line="104" w:lineRule="exact"/>
              <w:rPr>
                <w:sz w:val="20"/>
                <w:szCs w:val="20"/>
                <w:color w:val="auto"/>
              </w:rPr>
            </w:pPr>
            <w:r>
              <w:rPr>
                <w:rFonts w:ascii="Times New Roman" w:cs="Times New Roman" w:eastAsia="Times New Roman" w:hAnsi="Times New Roman"/>
                <w:sz w:val="11"/>
                <w:szCs w:val="11"/>
                <w:color w:val="auto"/>
                <w:w w:val="95"/>
              </w:rPr>
              <w:t>(PIK 9.50%)</w:t>
            </w:r>
          </w:p>
        </w:tc>
        <w:tc>
          <w:tcPr>
            <w:tcW w:w="980" w:type="dxa"/>
            <w:vAlign w:val="bottom"/>
            <w:tcBorders>
              <w:bottom w:val="single" w:sz="8" w:color="CFF0FC"/>
            </w:tcBorders>
            <w:shd w:val="clear" w:color="auto" w:fill="CFF0FC"/>
          </w:tcPr>
          <w:p>
            <w:pPr>
              <w:jc w:val="right"/>
              <w:ind w:right="86"/>
              <w:spacing w:after="0" w:line="104" w:lineRule="exact"/>
              <w:rPr>
                <w:sz w:val="20"/>
                <w:szCs w:val="20"/>
                <w:color w:val="auto"/>
              </w:rPr>
            </w:pPr>
            <w:r>
              <w:rPr>
                <w:rFonts w:ascii="Times New Roman" w:cs="Times New Roman" w:eastAsia="Times New Roman" w:hAnsi="Times New Roman"/>
                <w:sz w:val="11"/>
                <w:szCs w:val="11"/>
                <w:color w:val="auto"/>
              </w:rPr>
              <w:t>964,045</w:t>
            </w:r>
          </w:p>
        </w:tc>
        <w:tc>
          <w:tcPr>
            <w:tcW w:w="640" w:type="dxa"/>
            <w:vAlign w:val="bottom"/>
            <w:tcBorders>
              <w:bottom w:val="single" w:sz="8" w:color="CFF0FC"/>
            </w:tcBorders>
            <w:gridSpan w:val="3"/>
            <w:shd w:val="clear" w:color="auto" w:fill="CFF0FC"/>
          </w:tcPr>
          <w:p>
            <w:pPr>
              <w:jc w:val="right"/>
              <w:ind w:right="120"/>
              <w:spacing w:after="0" w:line="10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FF0FC"/>
            </w:tcBorders>
            <w:shd w:val="clear" w:color="auto" w:fill="CFF0FC"/>
          </w:tcPr>
          <w:p>
            <w:pPr>
              <w:jc w:val="right"/>
              <w:spacing w:after="0" w:line="104" w:lineRule="exact"/>
              <w:rPr>
                <w:sz w:val="20"/>
                <w:szCs w:val="20"/>
                <w:color w:val="auto"/>
              </w:rPr>
            </w:pPr>
            <w:r>
              <w:rPr>
                <w:rFonts w:ascii="Times New Roman" w:cs="Times New Roman" w:eastAsia="Times New Roman" w:hAnsi="Times New Roman"/>
                <w:sz w:val="11"/>
                <w:szCs w:val="11"/>
                <w:color w:val="auto"/>
              </w:rPr>
              <w:t>964,045</w:t>
            </w:r>
          </w:p>
        </w:tc>
        <w:tc>
          <w:tcPr>
            <w:tcW w:w="10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gridSpan w:val="3"/>
            <w:shd w:val="clear" w:color="auto" w:fill="CFF0FC"/>
          </w:tcPr>
          <w:p>
            <w:pPr>
              <w:jc w:val="right"/>
              <w:ind w:right="80"/>
              <w:spacing w:after="0" w:line="10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shd w:val="clear" w:color="auto" w:fill="CFF0FC"/>
          </w:tcPr>
          <w:p>
            <w:pPr>
              <w:jc w:val="right"/>
              <w:spacing w:after="0" w:line="104" w:lineRule="exact"/>
              <w:rPr>
                <w:sz w:val="20"/>
                <w:szCs w:val="20"/>
                <w:color w:val="auto"/>
              </w:rPr>
            </w:pPr>
            <w:r>
              <w:rPr>
                <w:rFonts w:ascii="Times New Roman" w:cs="Times New Roman" w:eastAsia="Times New Roman" w:hAnsi="Times New Roman"/>
                <w:sz w:val="11"/>
                <w:szCs w:val="11"/>
                <w:color w:val="auto"/>
              </w:rPr>
              <w:t>889,814</w:t>
            </w: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02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322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DBI Holding, LLC - Term Loan C (All PIK)</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03/26/21</w:t>
            </w: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jc w:val="center"/>
              <w:ind w:right="207"/>
              <w:spacing w:after="0"/>
              <w:rPr>
                <w:sz w:val="20"/>
                <w:szCs w:val="20"/>
                <w:color w:val="auto"/>
              </w:rPr>
            </w:pPr>
            <w:r>
              <w:rPr>
                <w:rFonts w:ascii="Times New Roman" w:cs="Times New Roman" w:eastAsia="Times New Roman" w:hAnsi="Times New Roman"/>
                <w:sz w:val="11"/>
                <w:szCs w:val="11"/>
                <w:color w:val="auto"/>
                <w:w w:val="95"/>
              </w:rPr>
              <w:t>9.0%</w:t>
            </w: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220" w:type="dxa"/>
            <w:vAlign w:val="bottom"/>
            <w:tcBorders>
              <w:bottom w:val="single" w:sz="8" w:color="CFF0FC"/>
            </w:tcBorders>
            <w:vMerge w:val="continue"/>
            <w:shd w:val="clear" w:color="auto" w:fill="CFF0FC"/>
          </w:tcPr>
          <w:p>
            <w:pPr>
              <w:spacing w:after="0"/>
              <w:rPr>
                <w:sz w:val="9"/>
                <w:szCs w:val="9"/>
                <w:color w:val="auto"/>
              </w:rPr>
            </w:pPr>
          </w:p>
        </w:tc>
        <w:tc>
          <w:tcPr>
            <w:tcW w:w="820" w:type="dxa"/>
            <w:vAlign w:val="bottom"/>
            <w:tcBorders>
              <w:bottom w:val="single" w:sz="8" w:color="CFF0FC"/>
            </w:tcBorders>
            <w:vMerge w:val="continue"/>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CFF0FC"/>
            </w:tcBorders>
            <w:gridSpan w:val="2"/>
            <w:shd w:val="clear" w:color="auto" w:fill="CFF0FC"/>
          </w:tcPr>
          <w:p>
            <w:pPr>
              <w:jc w:val="center"/>
              <w:ind w:right="660"/>
              <w:spacing w:after="0" w:line="113" w:lineRule="exact"/>
              <w:rPr>
                <w:sz w:val="20"/>
                <w:szCs w:val="20"/>
                <w:color w:val="auto"/>
              </w:rPr>
            </w:pPr>
            <w:r>
              <w:rPr>
                <w:rFonts w:ascii="Times New Roman" w:cs="Times New Roman" w:eastAsia="Times New Roman" w:hAnsi="Times New Roman"/>
                <w:sz w:val="11"/>
                <w:szCs w:val="11"/>
                <w:color w:val="auto"/>
                <w:w w:val="98"/>
              </w:rPr>
              <w:t>(PIK 9.0%)</w:t>
            </w:r>
          </w:p>
        </w:tc>
        <w:tc>
          <w:tcPr>
            <w:tcW w:w="980" w:type="dxa"/>
            <w:vAlign w:val="bottom"/>
            <w:tcBorders>
              <w:bottom w:val="single" w:sz="8" w:color="CFF0FC"/>
            </w:tcBorders>
            <w:shd w:val="clear" w:color="auto" w:fill="CFF0FC"/>
          </w:tcPr>
          <w:p>
            <w:pPr>
              <w:jc w:val="right"/>
              <w:ind w:right="86"/>
              <w:spacing w:after="0" w:line="113" w:lineRule="exact"/>
              <w:rPr>
                <w:sz w:val="20"/>
                <w:szCs w:val="20"/>
                <w:color w:val="auto"/>
              </w:rPr>
            </w:pPr>
            <w:r>
              <w:rPr>
                <w:rFonts w:ascii="Times New Roman" w:cs="Times New Roman" w:eastAsia="Times New Roman" w:hAnsi="Times New Roman"/>
                <w:sz w:val="11"/>
                <w:szCs w:val="11"/>
                <w:color w:val="auto"/>
              </w:rPr>
              <w:t>15,946</w:t>
            </w:r>
          </w:p>
        </w:tc>
        <w:tc>
          <w:tcPr>
            <w:tcW w:w="2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680" w:type="dxa"/>
            <w:vAlign w:val="bottom"/>
            <w:tcBorders>
              <w:bottom w:val="single" w:sz="8" w:color="CFF0FC"/>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1"/>
                <w:szCs w:val="11"/>
                <w:color w:val="auto"/>
              </w:rPr>
              <w:t>15,946</w:t>
            </w: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1"/>
                <w:szCs w:val="11"/>
                <w:color w:val="auto"/>
              </w:rPr>
              <w:t>15,946</w:t>
            </w: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02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2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rPr>
              <w:t>DBI Holding, LLC - Term Loan B (All PIK)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02/02/26</w:t>
            </w:r>
          </w:p>
        </w:tc>
        <w:tc>
          <w:tcPr>
            <w:tcW w:w="140" w:type="dxa"/>
            <w:vAlign w:val="bottom"/>
          </w:tcPr>
          <w:p>
            <w:pPr>
              <w:spacing w:after="0"/>
              <w:rPr>
                <w:sz w:val="11"/>
                <w:szCs w:val="11"/>
                <w:color w:val="auto"/>
              </w:rPr>
            </w:pPr>
          </w:p>
        </w:tc>
        <w:tc>
          <w:tcPr>
            <w:tcW w:w="1200" w:type="dxa"/>
            <w:vAlign w:val="bottom"/>
          </w:tcPr>
          <w:p>
            <w:pPr>
              <w:jc w:val="center"/>
              <w:ind w:right="207"/>
              <w:spacing w:after="0"/>
              <w:rPr>
                <w:sz w:val="20"/>
                <w:szCs w:val="20"/>
                <w:color w:val="auto"/>
              </w:rPr>
            </w:pPr>
            <w:r>
              <w:rPr>
                <w:rFonts w:ascii="Times New Roman" w:cs="Times New Roman" w:eastAsia="Times New Roman" w:hAnsi="Times New Roman"/>
                <w:sz w:val="11"/>
                <w:szCs w:val="11"/>
                <w:color w:val="auto"/>
                <w:w w:val="95"/>
              </w:rPr>
              <w:t>9.0%</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2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1"/>
                <w:szCs w:val="11"/>
                <w:color w:val="auto"/>
                <w:w w:val="98"/>
              </w:rPr>
              <w:t>(PIK 9.0%)</w:t>
            </w:r>
          </w:p>
        </w:tc>
        <w:tc>
          <w:tcPr>
            <w:tcW w:w="9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7,977,513</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7,977,513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220" w:type="dxa"/>
            <w:vAlign w:val="bottom"/>
            <w:tcBorders>
              <w:bottom w:val="single" w:sz="8" w:color="CFF0FC"/>
            </w:tcBorders>
          </w:tcPr>
          <w:p>
            <w:pPr>
              <w:spacing w:after="0"/>
              <w:rPr>
                <w:sz w:val="4"/>
                <w:szCs w:val="4"/>
                <w:color w:val="auto"/>
              </w:rPr>
            </w:pPr>
          </w:p>
        </w:tc>
        <w:tc>
          <w:tcPr>
            <w:tcW w:w="820" w:type="dxa"/>
            <w:vAlign w:val="bottom"/>
            <w:tcBorders>
              <w:bottom w:val="single" w:sz="8" w:color="CFF0FC"/>
            </w:tcBorders>
          </w:tcPr>
          <w:p>
            <w:pPr>
              <w:spacing w:after="0"/>
              <w:rPr>
                <w:sz w:val="4"/>
                <w:szCs w:val="4"/>
                <w:color w:val="auto"/>
              </w:rPr>
            </w:pPr>
          </w:p>
        </w:tc>
        <w:tc>
          <w:tcPr>
            <w:tcW w:w="140" w:type="dxa"/>
            <w:vAlign w:val="bottom"/>
            <w:tcBorders>
              <w:bottom w:val="single" w:sz="8" w:color="CFF0FC"/>
            </w:tcBorders>
          </w:tcPr>
          <w:p>
            <w:pPr>
              <w:spacing w:after="0"/>
              <w:rPr>
                <w:sz w:val="4"/>
                <w:szCs w:val="4"/>
                <w:color w:val="auto"/>
              </w:rPr>
            </w:pPr>
          </w:p>
        </w:tc>
        <w:tc>
          <w:tcPr>
            <w:tcW w:w="1600" w:type="dxa"/>
            <w:vAlign w:val="bottom"/>
            <w:tcBorders>
              <w:bottom w:val="single" w:sz="8" w:color="CFF0FC"/>
            </w:tcBorders>
            <w:gridSpan w:val="2"/>
            <w:vMerge w:val="continue"/>
          </w:tcPr>
          <w:p>
            <w:pPr>
              <w:spacing w:after="0"/>
              <w:rPr>
                <w:sz w:val="4"/>
                <w:szCs w:val="4"/>
                <w:color w:val="auto"/>
              </w:rPr>
            </w:pPr>
          </w:p>
        </w:tc>
        <w:tc>
          <w:tcPr>
            <w:tcW w:w="980" w:type="dxa"/>
            <w:vAlign w:val="bottom"/>
            <w:tcBorders>
              <w:bottom w:val="single" w:sz="8" w:color="CFF0FC"/>
            </w:tcBorders>
            <w:vMerge w:val="continue"/>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40" w:type="dxa"/>
            <w:vAlign w:val="bottom"/>
            <w:tcBorders>
              <w:bottom w:val="single" w:sz="8" w:color="CFF0FC"/>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6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8,957,504</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8,883,272</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Preferred Equity - 4.0%</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1"/>
                <w:szCs w:val="11"/>
                <w:color w:val="auto"/>
              </w:rPr>
              <w:t>DBI Holding, LLC - Series A-1</w:t>
            </w:r>
          </w:p>
        </w:tc>
        <w:tc>
          <w:tcPr>
            <w:tcW w:w="82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0" w:type="dxa"/>
            <w:vAlign w:val="bottom"/>
            <w:tcBorders>
              <w:bottom w:val="single" w:sz="8" w:color="CFF0FC"/>
            </w:tcBorders>
          </w:tcPr>
          <w:p>
            <w:pPr>
              <w:jc w:val="center"/>
              <w:ind w:right="207"/>
              <w:spacing w:after="0"/>
              <w:rPr>
                <w:sz w:val="20"/>
                <w:szCs w:val="20"/>
                <w:color w:val="auto"/>
              </w:rPr>
            </w:pPr>
            <w:r>
              <w:rPr>
                <w:rFonts w:ascii="Times New Roman" w:cs="Times New Roman" w:eastAsia="Times New Roman" w:hAnsi="Times New Roman"/>
                <w:sz w:val="11"/>
                <w:szCs w:val="11"/>
                <w:color w:val="auto"/>
              </w:rPr>
              <w:t>13.00%</w:t>
            </w:r>
          </w:p>
        </w:tc>
        <w:tc>
          <w:tcPr>
            <w:tcW w:w="400" w:type="dxa"/>
            <w:vAlign w:val="bottom"/>
            <w:tcBorders>
              <w:bottom w:val="single" w:sz="8" w:color="CFF0FC"/>
            </w:tcBorders>
          </w:tcPr>
          <w:p>
            <w:pPr>
              <w:spacing w:after="0"/>
              <w:rPr>
                <w:sz w:val="11"/>
                <w:szCs w:val="11"/>
                <w:color w:val="auto"/>
              </w:rPr>
            </w:pPr>
          </w:p>
        </w:tc>
        <w:tc>
          <w:tcPr>
            <w:tcW w:w="980" w:type="dxa"/>
            <w:vAlign w:val="bottom"/>
            <w:tcBorders>
              <w:bottom w:val="single" w:sz="8" w:color="CFF0FC"/>
            </w:tcBorders>
          </w:tcPr>
          <w:p>
            <w:pPr>
              <w:jc w:val="right"/>
              <w:ind w:right="86"/>
              <w:spacing w:after="0"/>
              <w:rPr>
                <w:sz w:val="20"/>
                <w:szCs w:val="20"/>
                <w:color w:val="auto"/>
              </w:rPr>
            </w:pPr>
            <w:r>
              <w:rPr>
                <w:rFonts w:ascii="Times New Roman" w:cs="Times New Roman" w:eastAsia="Times New Roman" w:hAnsi="Times New Roman"/>
                <w:sz w:val="11"/>
                <w:szCs w:val="11"/>
                <w:color w:val="auto"/>
              </w:rPr>
              <w:t>5,034</w:t>
            </w: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1,803,668</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Common Equity - 0.0%</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1,317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1,713,106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1"/>
                <w:szCs w:val="11"/>
                <w:color w:val="auto"/>
              </w:rPr>
              <w:t>DBI Holding, LLC - Series B</w:t>
            </w:r>
          </w:p>
        </w:tc>
        <w:tc>
          <w:tcPr>
            <w:tcW w:w="82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0" w:type="dxa"/>
            <w:vAlign w:val="bottom"/>
            <w:tcBorders>
              <w:bottom w:val="single" w:sz="8" w:color="CFF0FC"/>
            </w:tcBorders>
          </w:tcPr>
          <w:p>
            <w:pPr>
              <w:spacing w:after="0"/>
              <w:rPr>
                <w:sz w:val="11"/>
                <w:szCs w:val="11"/>
                <w:color w:val="auto"/>
              </w:rPr>
            </w:pPr>
          </w:p>
        </w:tc>
        <w:tc>
          <w:tcPr>
            <w:tcW w:w="400" w:type="dxa"/>
            <w:vAlign w:val="bottom"/>
            <w:tcBorders>
              <w:bottom w:val="single" w:sz="8" w:color="CFF0FC"/>
            </w:tcBorders>
          </w:tcPr>
          <w:p>
            <w:pPr>
              <w:spacing w:after="0"/>
              <w:rPr>
                <w:sz w:val="11"/>
                <w:szCs w:val="11"/>
                <w:color w:val="auto"/>
              </w:rPr>
            </w:pPr>
          </w:p>
        </w:tc>
        <w:tc>
          <w:tcPr>
            <w:tcW w:w="980" w:type="dxa"/>
            <w:vAlign w:val="bottom"/>
            <w:tcBorders>
              <w:bottom w:val="single" w:sz="8" w:color="CFF0FC"/>
            </w:tcBorders>
          </w:tcPr>
          <w:p>
            <w:pPr>
              <w:jc w:val="right"/>
              <w:ind w:right="86"/>
              <w:spacing w:after="0"/>
              <w:rPr>
                <w:sz w:val="20"/>
                <w:szCs w:val="20"/>
                <w:color w:val="auto"/>
              </w:rPr>
            </w:pPr>
            <w:r>
              <w:rPr>
                <w:rFonts w:ascii="Times New Roman" w:cs="Times New Roman" w:eastAsia="Times New Roman" w:hAnsi="Times New Roman"/>
                <w:sz w:val="11"/>
                <w:szCs w:val="11"/>
                <w:color w:val="auto"/>
              </w:rPr>
              <w:t>1,065,021</w:t>
            </w: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1,949,627</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b w:val="1"/>
                <w:bCs w:val="1"/>
                <w:color w:val="auto"/>
              </w:rPr>
              <w:t>Total Investments - 861.6%</w:t>
            </w:r>
          </w:p>
        </w:tc>
        <w:tc>
          <w:tcPr>
            <w:tcW w:w="82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0" w:type="dxa"/>
            <w:vAlign w:val="bottom"/>
            <w:tcBorders>
              <w:bottom w:val="single" w:sz="8" w:color="CFF0FC"/>
            </w:tcBorders>
          </w:tcPr>
          <w:p>
            <w:pPr>
              <w:spacing w:after="0"/>
              <w:rPr>
                <w:sz w:val="11"/>
                <w:szCs w:val="11"/>
                <w:color w:val="auto"/>
              </w:rPr>
            </w:pPr>
          </w:p>
        </w:tc>
        <w:tc>
          <w:tcPr>
            <w:tcW w:w="400" w:type="dxa"/>
            <w:vAlign w:val="bottom"/>
            <w:tcBorders>
              <w:bottom w:val="single" w:sz="8" w:color="CFF0FC"/>
            </w:tcBorders>
          </w:tcPr>
          <w:p>
            <w:pPr>
              <w:spacing w:after="0"/>
              <w:rPr>
                <w:sz w:val="11"/>
                <w:szCs w:val="11"/>
                <w:color w:val="auto"/>
              </w:rPr>
            </w:pPr>
          </w:p>
        </w:tc>
        <w:tc>
          <w:tcPr>
            <w:tcW w:w="98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408,251,402</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392,986,090</w:t>
            </w: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861.6</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Equivalents—24.4%</w:t>
            </w: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11,115,373</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11,121,479</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Equivalents—886.0%</w:t>
            </w:r>
          </w:p>
        </w:tc>
        <w:tc>
          <w:tcPr>
            <w:tcW w:w="8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419,366,775</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404,107,569</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886.0</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22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Liabilities in Excess of Other Assets—(786.0)%</w:t>
            </w:r>
          </w:p>
        </w:tc>
        <w:tc>
          <w:tcPr>
            <w:tcW w:w="8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(358,495,484</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(786.0)</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line="20" w:lineRule="exact"/>
              <w:rPr>
                <w:sz w:val="1"/>
                <w:szCs w:val="1"/>
                <w:color w:val="auto"/>
              </w:rPr>
            </w:pPr>
          </w:p>
        </w:tc>
      </w:tr>
      <w:tr>
        <w:trPr>
          <w:trHeight w:val="113"/>
        </w:trPr>
        <w:tc>
          <w:tcPr>
            <w:tcW w:w="32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45,612,085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69075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6907530" cy="7620"/>
                    </a:xfrm>
                    <a:prstGeom prst="rect">
                      <a:avLst/>
                    </a:prstGeom>
                    <a:noFill/>
                  </pic:spPr>
                </pic:pic>
              </a:graphicData>
            </a:graphic>
          </wp:anchor>
        </w:drawing>
      </w:r>
    </w:p>
    <w:p>
      <w:pPr>
        <w:spacing w:after="0" w:line="133" w:lineRule="exact"/>
        <w:rPr>
          <w:sz w:val="20"/>
          <w:szCs w:val="20"/>
          <w:color w:val="auto"/>
        </w:rPr>
      </w:pPr>
    </w:p>
    <w:p>
      <w:pPr>
        <w:ind w:left="220" w:right="640" w:firstLine="5"/>
        <w:spacing w:after="0" w:line="247" w:lineRule="auto"/>
        <w:tabs>
          <w:tab w:leader="none" w:pos="372"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30"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96"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96"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in Canadian Dollars (C$) as denoted.</w:t>
      </w:r>
    </w:p>
    <w:p>
      <w:pPr>
        <w:spacing w:after="0" w:line="59"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Non-income producing security.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5"/>
          <w:szCs w:val="15"/>
          <w:b w:val="1"/>
          <w:bCs w:val="1"/>
          <w:color w:val="auto"/>
        </w:rPr>
        <w:t>PENNANTPARK SENIOR SECURED LOAN FUND I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ectPr>
          <w:pgSz w:w="11900" w:h="16838" w:orient="portrait"/>
          <w:cols w:equalWidth="0" w:num="1">
            <w:col w:w="11240"/>
          </w:cols>
          <w:pgMar w:left="320" w:top="119" w:right="339" w:bottom="1440"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80" w:type="dxa"/>
            <w:vAlign w:val="bottom"/>
          </w:tcPr>
          <w:p>
            <w:pPr>
              <w:spacing w:after="0"/>
              <w:rPr>
                <w:sz w:val="11"/>
                <w:szCs w:val="11"/>
                <w:color w:val="auto"/>
              </w:rPr>
            </w:pPr>
          </w:p>
        </w:tc>
      </w:tr>
      <w:tr>
        <w:trPr>
          <w:trHeight w:val="134"/>
        </w:trPr>
        <w:tc>
          <w:tcPr>
            <w:tcW w:w="320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80" w:type="dxa"/>
            <w:vAlign w:val="bottom"/>
          </w:tcPr>
          <w:p>
            <w:pPr>
              <w:spacing w:after="0"/>
              <w:rPr>
                <w:sz w:val="11"/>
                <w:szCs w:val="11"/>
                <w:color w:val="auto"/>
              </w:rPr>
            </w:pPr>
          </w:p>
        </w:tc>
      </w:tr>
      <w:tr>
        <w:trPr>
          <w:trHeight w:val="17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 - 830.5%</w:t>
            </w: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Aerospace and Defense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Cadence Aerospace,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11/14/2023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8.54%</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02/12/2024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7.36%</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IMIA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10/28/2024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6.60%</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10/18/2022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9.55%</w:t>
            </w:r>
          </w:p>
        </w:tc>
        <w:tc>
          <w:tcPr>
            <w:tcW w:w="280" w:type="dxa"/>
            <w:vAlign w:val="bottom"/>
          </w:tcPr>
          <w:p>
            <w:pPr>
              <w:spacing w:after="0"/>
              <w:rPr>
                <w:sz w:val="11"/>
                <w:szCs w:val="11"/>
                <w:color w:val="auto"/>
              </w:rPr>
            </w:pPr>
          </w:p>
        </w:tc>
      </w:tr>
      <w:tr>
        <w:trPr>
          <w:trHeight w:val="128"/>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Banking, Finance, Insurance and Real Estate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5"/>
        </w:trPr>
        <w:tc>
          <w:tcPr>
            <w:tcW w:w="3200" w:type="dxa"/>
            <w:vAlign w:val="bottom"/>
          </w:tcPr>
          <w:p>
            <w:pPr>
              <w:ind w:left="220"/>
              <w:spacing w:after="0" w:line="145" w:lineRule="exact"/>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16"/>
                <w:szCs w:val="16"/>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05/31/2024</w:t>
            </w:r>
          </w:p>
        </w:tc>
        <w:tc>
          <w:tcPr>
            <w:tcW w:w="160" w:type="dxa"/>
            <w:vAlign w:val="bottom"/>
          </w:tcPr>
          <w:p>
            <w:pPr>
              <w:spacing w:after="0"/>
              <w:rPr>
                <w:sz w:val="12"/>
                <w:szCs w:val="12"/>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6.26%</w:t>
            </w:r>
          </w:p>
        </w:tc>
        <w:tc>
          <w:tcPr>
            <w:tcW w:w="28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88"/>
              </w:rPr>
              <w:t>A$</w:t>
            </w: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Cardenas Markets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11/29/2023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7.79%</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First Out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7.10%</w:t>
            </w:r>
          </w:p>
        </w:tc>
        <w:tc>
          <w:tcPr>
            <w:tcW w:w="280" w:type="dxa"/>
            <w:vAlign w:val="bottom"/>
          </w:tcPr>
          <w:p>
            <w:pPr>
              <w:spacing w:after="0"/>
              <w:rPr>
                <w:sz w:val="11"/>
                <w:szCs w:val="11"/>
                <w:color w:val="auto"/>
              </w:rPr>
            </w:pPr>
          </w:p>
        </w:tc>
      </w:tr>
      <w:tr>
        <w:trPr>
          <w:trHeight w:val="128"/>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Funded Revolver</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7.10%</w:t>
            </w:r>
          </w:p>
        </w:tc>
        <w:tc>
          <w:tcPr>
            <w:tcW w:w="280" w:type="dxa"/>
            <w:vAlign w:val="bottom"/>
          </w:tcPr>
          <w:p>
            <w:pPr>
              <w:spacing w:after="0"/>
              <w:rPr>
                <w:sz w:val="11"/>
                <w:szCs w:val="11"/>
                <w:color w:val="auto"/>
              </w:rPr>
            </w:pPr>
          </w:p>
        </w:tc>
      </w:tr>
      <w:tr>
        <w:trPr>
          <w:trHeight w:val="145"/>
        </w:trPr>
        <w:tc>
          <w:tcPr>
            <w:tcW w:w="3200" w:type="dxa"/>
            <w:vAlign w:val="bottom"/>
          </w:tcPr>
          <w:p>
            <w:pPr>
              <w:ind w:left="220"/>
              <w:spacing w:after="0" w:line="145" w:lineRule="exact"/>
              <w:rPr>
                <w:sz w:val="20"/>
                <w:szCs w:val="20"/>
                <w:color w:val="auto"/>
              </w:rPr>
            </w:pPr>
            <w:r>
              <w:rPr>
                <w:rFonts w:ascii="Times New Roman" w:cs="Times New Roman" w:eastAsia="Times New Roman" w:hAnsi="Times New Roman"/>
                <w:sz w:val="10"/>
                <w:szCs w:val="10"/>
                <w:color w:val="auto"/>
              </w:rPr>
              <w:t xml:space="preserve">Country Fresh Holdings, LLC - Unfunded Revolver </w:t>
            </w:r>
            <w:r>
              <w:rPr>
                <w:rFonts w:ascii="Times New Roman" w:cs="Times New Roman" w:eastAsia="Times New Roman" w:hAnsi="Times New Roman"/>
                <w:sz w:val="16"/>
                <w:szCs w:val="16"/>
                <w:color w:val="auto"/>
                <w:vertAlign w:val="superscript"/>
              </w:rPr>
              <w:t>(5)</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Good Source Solutions,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06/29/2023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6.37%</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Olde Thompson,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05/14/2024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6.54%</w:t>
            </w:r>
          </w:p>
        </w:tc>
        <w:tc>
          <w:tcPr>
            <w:tcW w:w="280" w:type="dxa"/>
            <w:vAlign w:val="bottom"/>
          </w:tcPr>
          <w:p>
            <w:pPr>
              <w:spacing w:after="0"/>
              <w:rPr>
                <w:sz w:val="11"/>
                <w:szCs w:val="11"/>
                <w:color w:val="auto"/>
              </w:rPr>
            </w:pPr>
          </w:p>
        </w:tc>
      </w:tr>
      <w:tr>
        <w:trPr>
          <w:trHeight w:val="128"/>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Pestell Minerals and Ingredients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7.57%</w:t>
            </w:r>
          </w:p>
        </w:tc>
        <w:tc>
          <w:tcPr>
            <w:tcW w:w="280" w:type="dxa"/>
            <w:vAlign w:val="bottom"/>
          </w:tcPr>
          <w:p>
            <w:pPr>
              <w:spacing w:after="0"/>
              <w:rPr>
                <w:sz w:val="11"/>
                <w:szCs w:val="11"/>
                <w:color w:val="auto"/>
              </w:rPr>
            </w:pPr>
          </w:p>
        </w:tc>
      </w:tr>
      <w:tr>
        <w:trPr>
          <w:trHeight w:val="145"/>
        </w:trPr>
        <w:tc>
          <w:tcPr>
            <w:tcW w:w="3200" w:type="dxa"/>
            <w:vAlign w:val="bottom"/>
          </w:tcPr>
          <w:p>
            <w:pPr>
              <w:ind w:left="220"/>
              <w:spacing w:after="0" w:line="145" w:lineRule="exact"/>
              <w:rPr>
                <w:sz w:val="20"/>
                <w:szCs w:val="20"/>
                <w:color w:val="auto"/>
              </w:rPr>
            </w:pPr>
            <w:r>
              <w:rPr>
                <w:rFonts w:ascii="Times New Roman" w:cs="Times New Roman" w:eastAsia="Times New Roman" w:hAnsi="Times New Roman"/>
                <w:sz w:val="10"/>
                <w:szCs w:val="10"/>
                <w:color w:val="auto"/>
              </w:rPr>
              <w:t xml:space="preserve">Pestell Minerals and Ingredients Inc. </w:t>
            </w:r>
            <w:r>
              <w:rPr>
                <w:rFonts w:ascii="Times New Roman" w:cs="Times New Roman" w:eastAsia="Times New Roman" w:hAnsi="Times New Roman"/>
                <w:sz w:val="16"/>
                <w:szCs w:val="16"/>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06/01/2023</w:t>
            </w:r>
          </w:p>
        </w:tc>
        <w:tc>
          <w:tcPr>
            <w:tcW w:w="160" w:type="dxa"/>
            <w:vAlign w:val="bottom"/>
          </w:tcPr>
          <w:p>
            <w:pPr>
              <w:spacing w:after="0"/>
              <w:rPr>
                <w:sz w:val="12"/>
                <w:szCs w:val="12"/>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7.23%</w:t>
            </w:r>
          </w:p>
        </w:tc>
        <w:tc>
          <w:tcPr>
            <w:tcW w:w="28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3"/>
              </w:rPr>
              <w:t>C$</w:t>
            </w: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Snak Club,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07/19/2021</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8.10%</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Beverages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Good2Grow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11/18/2024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6.35%</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08/31/2023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7.87%</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03/27/2024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6.54%</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TVC Enterprises,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01/18/2024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7.55%</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Capital Equipment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LAV Gear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10/31/2024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7.60%</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09/28/2022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7.10%</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Sonny's Enterprises,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12/01/2022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6.35%</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UBEO,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04/03/2024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6.78%</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Chemicals, Plastics and Rubber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7.85%</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7.85%</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12/20/2023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7.30%</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8.00%</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Durable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GSM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06/03/2024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6.60%</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Non-Durable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Deva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10/31/2023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7.54%</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Manna Pro Products,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12/08/2023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8.05%</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New Milani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06/06/2024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6.35%</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Diversified Consumer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09/29/2023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6.85%</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06/16/2025</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8.28%</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Teneo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07/18/2025</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7.29%</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Healthcare and Pharmaceuticals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Long's Drugs Incorporated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08/19/2022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7.10%</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Smile Brands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10/14/2024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6.66%</w:t>
            </w:r>
          </w:p>
        </w:tc>
        <w:tc>
          <w:tcPr>
            <w:tcW w:w="280" w:type="dxa"/>
            <w:vAlign w:val="bottom"/>
          </w:tcPr>
          <w:p>
            <w:pPr>
              <w:spacing w:after="0"/>
              <w:rPr>
                <w:sz w:val="11"/>
                <w:szCs w:val="11"/>
                <w:color w:val="auto"/>
              </w:rPr>
            </w:pPr>
          </w:p>
        </w:tc>
      </w:tr>
      <w:tr>
        <w:trPr>
          <w:trHeight w:val="140"/>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08/30/2024</w:t>
            </w:r>
          </w:p>
        </w:tc>
        <w:tc>
          <w:tcPr>
            <w:tcW w:w="160" w:type="dxa"/>
            <w:vAlign w:val="bottom"/>
          </w:tcPr>
          <w:p>
            <w:pPr>
              <w:spacing w:after="0"/>
              <w:rPr>
                <w:sz w:val="12"/>
                <w:szCs w:val="12"/>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7.04%</w:t>
            </w:r>
          </w:p>
        </w:tc>
        <w:tc>
          <w:tcPr>
            <w:tcW w:w="2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-4157980</wp:posOffset>
            </wp:positionV>
            <wp:extent cx="7143750" cy="863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-3984625</wp:posOffset>
            </wp:positionV>
            <wp:extent cx="7143750" cy="863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-3811905</wp:posOffset>
            </wp:positionV>
            <wp:extent cx="7143750" cy="863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-3638550</wp:posOffset>
            </wp:positionV>
            <wp:extent cx="7143750" cy="863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-3465830</wp:posOffset>
            </wp:positionV>
            <wp:extent cx="7143750" cy="863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-3292475</wp:posOffset>
            </wp:positionV>
            <wp:extent cx="7143750" cy="863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-3119755</wp:posOffset>
            </wp:positionV>
            <wp:extent cx="7143750" cy="863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-2946400</wp:posOffset>
            </wp:positionV>
            <wp:extent cx="7143750" cy="863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-2773045</wp:posOffset>
            </wp:positionV>
            <wp:extent cx="7143750" cy="863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-2600325</wp:posOffset>
            </wp:positionV>
            <wp:extent cx="7143750" cy="863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-2426970</wp:posOffset>
            </wp:positionV>
            <wp:extent cx="7143750" cy="86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-2254250</wp:posOffset>
            </wp:positionV>
            <wp:extent cx="7143750" cy="863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-2080895</wp:posOffset>
            </wp:positionV>
            <wp:extent cx="7143750" cy="86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-1908175</wp:posOffset>
            </wp:positionV>
            <wp:extent cx="7143750" cy="86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-1734820</wp:posOffset>
            </wp:positionV>
            <wp:extent cx="7143750" cy="86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-1561465</wp:posOffset>
            </wp:positionV>
            <wp:extent cx="7143750" cy="863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-1388745</wp:posOffset>
            </wp:positionV>
            <wp:extent cx="7143750" cy="863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-1215390</wp:posOffset>
            </wp:positionV>
            <wp:extent cx="7143750" cy="863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-1042670</wp:posOffset>
            </wp:positionV>
            <wp:extent cx="7143750" cy="863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-869315</wp:posOffset>
            </wp:positionV>
            <wp:extent cx="7143750" cy="863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-696595</wp:posOffset>
            </wp:positionV>
            <wp:extent cx="7143750" cy="863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7143750" cy="863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-349885</wp:posOffset>
            </wp:positionV>
            <wp:extent cx="7143750" cy="863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7143750" cy="863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43750" cy="86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Fair Value as a Percentage of</w:t>
            </w:r>
          </w:p>
        </w:tc>
      </w:tr>
      <w:tr>
        <w:trPr>
          <w:trHeight w:val="143"/>
        </w:trPr>
        <w:tc>
          <w:tcPr>
            <w:tcW w:w="1060" w:type="dxa"/>
            <w:vAlign w:val="bottom"/>
          </w:tcPr>
          <w:p>
            <w:pPr>
              <w:jc w:val="right"/>
              <w:ind w:right="326"/>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Par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2"/>
                <w:szCs w:val="12"/>
                <w:color w:val="auto"/>
              </w:rPr>
            </w:pPr>
          </w:p>
        </w:tc>
        <w:tc>
          <w:tcPr>
            <w:tcW w:w="9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460" w:type="dxa"/>
            <w:vAlign w:val="bottom"/>
          </w:tcPr>
          <w:p>
            <w:pPr>
              <w:spacing w:after="0"/>
              <w:rPr>
                <w:sz w:val="12"/>
                <w:szCs w:val="1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4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Members’ Equity </w:t>
            </w:r>
            <w:r>
              <w:rPr>
                <w:rFonts w:ascii="Times New Roman" w:cs="Times New Roman" w:eastAsia="Times New Roman" w:hAnsi="Times New Roman"/>
                <w:sz w:val="16"/>
                <w:szCs w:val="16"/>
                <w:b w:val="1"/>
                <w:bCs w:val="1"/>
                <w:color w:val="auto"/>
                <w:vertAlign w:val="superscript"/>
              </w:rPr>
              <w:t>(2)</w:t>
            </w:r>
          </w:p>
        </w:tc>
      </w:tr>
      <w:tr>
        <w:trPr>
          <w:trHeight w:val="442"/>
        </w:trPr>
        <w:tc>
          <w:tcPr>
            <w:tcW w:w="106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11,735,208</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11,644,440</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11,680,054</w:t>
            </w:r>
          </w:p>
        </w:tc>
        <w:tc>
          <w:tcPr>
            <w:tcW w:w="240" w:type="dxa"/>
            <w:vAlign w:val="bottom"/>
          </w:tcPr>
          <w:p>
            <w:pPr>
              <w:spacing w:after="0"/>
              <w:rPr>
                <w:sz w:val="24"/>
                <w:szCs w:val="24"/>
                <w:color w:val="auto"/>
              </w:rPr>
            </w:pPr>
          </w:p>
        </w:tc>
        <w:tc>
          <w:tcPr>
            <w:tcW w:w="10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3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10,422,726</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10,413,416</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10,396,669</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12,406,250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12,351,255</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12,344,219</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5,466,024</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5,389,938</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5,466,024</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300" w:type="dxa"/>
            <w:vAlign w:val="bottom"/>
          </w:tcPr>
          <w:p>
            <w:pPr>
              <w:spacing w:after="0"/>
              <w:rPr>
                <w:sz w:val="12"/>
                <w:szCs w:val="12"/>
                <w:color w:val="auto"/>
              </w:rPr>
            </w:pPr>
          </w:p>
        </w:tc>
      </w:tr>
      <w:tr>
        <w:trPr>
          <w:trHeight w:val="273"/>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10,000,000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7,376,173</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6,542,165</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w:t>
            </w:r>
          </w:p>
        </w:tc>
        <w:tc>
          <w:tcPr>
            <w:tcW w:w="300" w:type="dxa"/>
            <w:vAlign w:val="bottom"/>
          </w:tcPr>
          <w:p>
            <w:pPr>
              <w:spacing w:after="0"/>
              <w:rPr>
                <w:sz w:val="23"/>
                <w:szCs w:val="23"/>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7,348,866</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7,311,507</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7,128,400</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182,403</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179,170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126,031</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126,031</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126,031</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324,080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14,357,813</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14,241,579</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14,135,267</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11,876,667</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11,757,900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11,876,667</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20.8</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9,925,000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9,840,202</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9,825,750</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3,242,655</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2,412,626</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2,424,644</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4,687,495</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4,687,495</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4,359,370</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w:t>
            </w:r>
          </w:p>
        </w:tc>
        <w:tc>
          <w:tcPr>
            <w:tcW w:w="300" w:type="dxa"/>
            <w:vAlign w:val="bottom"/>
          </w:tcPr>
          <w:p>
            <w:pPr>
              <w:spacing w:after="0"/>
              <w:rPr>
                <w:sz w:val="12"/>
                <w:szCs w:val="12"/>
                <w:color w:val="auto"/>
              </w:rPr>
            </w:pPr>
          </w:p>
        </w:tc>
      </w:tr>
      <w:tr>
        <w:trPr>
          <w:trHeight w:val="273"/>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11,752,655</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11,649,126</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11,576,366</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w:t>
            </w:r>
          </w:p>
        </w:tc>
        <w:tc>
          <w:tcPr>
            <w:tcW w:w="300" w:type="dxa"/>
            <w:vAlign w:val="bottom"/>
          </w:tcPr>
          <w:p>
            <w:pPr>
              <w:spacing w:after="0"/>
              <w:rPr>
                <w:sz w:val="23"/>
                <w:szCs w:val="23"/>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10,127,447</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10,040,432</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9,874,261</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7,883,419</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7,909,754</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6,779,740</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w:t>
            </w:r>
          </w:p>
        </w:tc>
        <w:tc>
          <w:tcPr>
            <w:tcW w:w="300" w:type="dxa"/>
            <w:vAlign w:val="bottom"/>
          </w:tcPr>
          <w:p>
            <w:pPr>
              <w:spacing w:after="0"/>
              <w:rPr>
                <w:sz w:val="12"/>
                <w:szCs w:val="12"/>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9,925,000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9,837,686</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9,916,068</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6,009,982</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5,977,867</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6,009,982</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15,224,842</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15,227,900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15,224,842</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22,248,673</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22,045,879</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22,026,186</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38.6</w:t>
            </w:r>
          </w:p>
        </w:tc>
        <w:tc>
          <w:tcPr>
            <w:tcW w:w="300" w:type="dxa"/>
            <w:vAlign w:val="bottom"/>
          </w:tcPr>
          <w:p>
            <w:pPr>
              <w:spacing w:after="0"/>
              <w:rPr>
                <w:sz w:val="12"/>
                <w:szCs w:val="12"/>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12,312,500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12,157,345</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12,189,375</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21.3</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8,166,594</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8,116,022</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8,084,928</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300" w:type="dxa"/>
            <w:vAlign w:val="bottom"/>
          </w:tcPr>
          <w:p>
            <w:pPr>
              <w:spacing w:after="0"/>
              <w:rPr>
                <w:sz w:val="11"/>
                <w:szCs w:val="11"/>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19,850,000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19,586,294</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19,609,815</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34.3</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1,758,406</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1,736,386</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1,740,822</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w:t>
            </w:r>
          </w:p>
        </w:tc>
        <w:tc>
          <w:tcPr>
            <w:tcW w:w="300" w:type="dxa"/>
            <w:vAlign w:val="bottom"/>
          </w:tcPr>
          <w:p>
            <w:pPr>
              <w:spacing w:after="0"/>
              <w:rPr>
                <w:sz w:val="12"/>
                <w:szCs w:val="12"/>
                <w:color w:val="auto"/>
              </w:rPr>
            </w:pPr>
          </w:p>
        </w:tc>
      </w:tr>
      <w:tr>
        <w:trPr>
          <w:trHeight w:val="273"/>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19,669,098</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19,524,460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19,472,406</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34.1</w:t>
            </w:r>
          </w:p>
        </w:tc>
        <w:tc>
          <w:tcPr>
            <w:tcW w:w="300" w:type="dxa"/>
            <w:vAlign w:val="bottom"/>
          </w:tcPr>
          <w:p>
            <w:pPr>
              <w:spacing w:after="0"/>
              <w:rPr>
                <w:sz w:val="23"/>
                <w:szCs w:val="23"/>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19,748,744</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19,748,744</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19,748,744</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34.6</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6,877,500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6,797,207</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6,688,369</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14,812,500</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14,691,710</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14,664,375</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w:t>
            </w:r>
          </w:p>
        </w:tc>
        <w:tc>
          <w:tcPr>
            <w:tcW w:w="300" w:type="dxa"/>
            <w:vAlign w:val="bottom"/>
          </w:tcPr>
          <w:p>
            <w:pPr>
              <w:spacing w:after="0"/>
              <w:rPr>
                <w:sz w:val="12"/>
                <w:szCs w:val="12"/>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9,974,874</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7,075,000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6,937,888</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6,933,500</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5,000,000</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4,804,110</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4,762,500</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w:t>
            </w:r>
          </w:p>
        </w:tc>
        <w:tc>
          <w:tcPr>
            <w:tcW w:w="300" w:type="dxa"/>
            <w:vAlign w:val="bottom"/>
          </w:tcPr>
          <w:p>
            <w:pPr>
              <w:spacing w:after="0"/>
              <w:rPr>
                <w:sz w:val="12"/>
                <w:szCs w:val="12"/>
                <w:color w:val="auto"/>
              </w:rPr>
            </w:pPr>
          </w:p>
        </w:tc>
      </w:tr>
      <w:tr>
        <w:trPr>
          <w:trHeight w:val="269"/>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17,820,000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17,688,160</w:t>
            </w:r>
          </w:p>
        </w:tc>
        <w:tc>
          <w:tcPr>
            <w:tcW w:w="460" w:type="dxa"/>
            <w:vAlign w:val="bottom"/>
          </w:tcPr>
          <w:p>
            <w:pPr>
              <w:spacing w:after="0"/>
              <w:rPr>
                <w:sz w:val="23"/>
                <w:szCs w:val="2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17,641,800</w:t>
            </w:r>
          </w:p>
        </w:tc>
        <w:tc>
          <w:tcPr>
            <w:tcW w:w="24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30.9</w:t>
            </w:r>
          </w:p>
        </w:tc>
        <w:tc>
          <w:tcPr>
            <w:tcW w:w="300" w:type="dxa"/>
            <w:vAlign w:val="bottom"/>
          </w:tcPr>
          <w:p>
            <w:pPr>
              <w:spacing w:after="0"/>
              <w:rPr>
                <w:sz w:val="23"/>
                <w:szCs w:val="23"/>
                <w:color w:val="auto"/>
              </w:rPr>
            </w:pPr>
          </w:p>
        </w:tc>
      </w:tr>
      <w:tr>
        <w:trPr>
          <w:trHeight w:val="136"/>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11,289,688</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11,189,470</w:t>
            </w:r>
          </w:p>
        </w:tc>
        <w:tc>
          <w:tcPr>
            <w:tcW w:w="460" w:type="dxa"/>
            <w:vAlign w:val="bottom"/>
          </w:tcPr>
          <w:p>
            <w:pPr>
              <w:spacing w:after="0"/>
              <w:rPr>
                <w:sz w:val="11"/>
                <w:szCs w:val="11"/>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11,176,791</w:t>
            </w:r>
          </w:p>
        </w:tc>
        <w:tc>
          <w:tcPr>
            <w:tcW w:w="240" w:type="dxa"/>
            <w:vAlign w:val="bottom"/>
          </w:tcPr>
          <w:p>
            <w:pPr>
              <w:spacing w:after="0"/>
              <w:rPr>
                <w:sz w:val="11"/>
                <w:szCs w:val="11"/>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19.6</w:t>
            </w:r>
          </w:p>
        </w:tc>
        <w:tc>
          <w:tcPr>
            <w:tcW w:w="300" w:type="dxa"/>
            <w:vAlign w:val="bottom"/>
          </w:tcPr>
          <w:p>
            <w:pPr>
              <w:spacing w:after="0"/>
              <w:rPr>
                <w:sz w:val="11"/>
                <w:szCs w:val="11"/>
                <w:color w:val="auto"/>
              </w:rPr>
            </w:pPr>
          </w:p>
        </w:tc>
      </w:tr>
      <w:tr>
        <w:trPr>
          <w:trHeight w:val="140"/>
        </w:trPr>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11,572,122</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11,388,612</w:t>
            </w:r>
          </w:p>
        </w:tc>
        <w:tc>
          <w:tcPr>
            <w:tcW w:w="460" w:type="dxa"/>
            <w:vAlign w:val="bottom"/>
          </w:tcPr>
          <w:p>
            <w:pPr>
              <w:spacing w:after="0"/>
              <w:rPr>
                <w:sz w:val="12"/>
                <w:szCs w:val="12"/>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11,572,122</w:t>
            </w:r>
          </w:p>
        </w:tc>
        <w:tc>
          <w:tcPr>
            <w:tcW w:w="24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w:t>
            </w:r>
          </w:p>
        </w:tc>
        <w:tc>
          <w:tcPr>
            <w:tcW w:w="30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5640" w:space="120"/>
            <w:col w:w="54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5962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Fair Value as a Percentage of</w:t>
            </w: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400" w:type="dxa"/>
            <w:vAlign w:val="bottom"/>
          </w:tcPr>
          <w:p>
            <w:pPr>
              <w:spacing w:after="0"/>
              <w:rPr>
                <w:sz w:val="12"/>
                <w:szCs w:val="12"/>
                <w:color w:val="auto"/>
              </w:rPr>
            </w:pPr>
          </w:p>
        </w:tc>
        <w:tc>
          <w:tcPr>
            <w:tcW w:w="1060" w:type="dxa"/>
            <w:vAlign w:val="bottom"/>
          </w:tcPr>
          <w:p>
            <w:pPr>
              <w:jc w:val="right"/>
              <w:ind w:right="327"/>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Par</w:t>
            </w:r>
            <w:r>
              <w:rPr>
                <w:rFonts w:ascii="Times New Roman" w:cs="Times New Roman" w:eastAsia="Times New Roman" w:hAnsi="Times New Roman"/>
                <w:sz w:val="8"/>
                <w:szCs w:val="8"/>
                <w:b w:val="1"/>
                <w:bCs w:val="1"/>
                <w:color w:val="auto"/>
              </w:rPr>
              <w:t xml:space="preserve"> (1)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40" w:type="dxa"/>
            <w:vAlign w:val="bottom"/>
            <w:gridSpan w:val="3"/>
          </w:tcPr>
          <w:p>
            <w:pPr>
              <w:jc w:val="right"/>
              <w:ind w:right="146"/>
              <w:spacing w:after="0" w:line="143" w:lineRule="exact"/>
              <w:rPr>
                <w:sz w:val="20"/>
                <w:szCs w:val="20"/>
                <w:color w:val="auto"/>
              </w:rPr>
            </w:pPr>
            <w:r>
              <w:rPr>
                <w:rFonts w:ascii="Times New Roman" w:cs="Times New Roman" w:eastAsia="Times New Roman" w:hAnsi="Times New Roman"/>
                <w:sz w:val="10"/>
                <w:szCs w:val="10"/>
                <w:b w:val="1"/>
                <w:bCs w:val="1"/>
                <w:color w:val="auto"/>
              </w:rPr>
              <w:t xml:space="preserve">Members’ Equity </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30"/>
        </w:trPr>
        <w:tc>
          <w:tcPr>
            <w:tcW w:w="3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High Tech Industries</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07/24/2025</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8.28%</w:t>
            </w:r>
          </w:p>
        </w:tc>
        <w:tc>
          <w:tcPr>
            <w:tcW w:w="400" w:type="dxa"/>
            <w:vAlign w:val="bottom"/>
          </w:tcPr>
          <w:p>
            <w:pPr>
              <w:spacing w:after="0"/>
              <w:rPr>
                <w:sz w:val="11"/>
                <w:szCs w:val="11"/>
                <w:color w:val="auto"/>
              </w:rPr>
            </w:pP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5,000,000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4,927,149</w:t>
            </w:r>
          </w:p>
        </w:tc>
        <w:tc>
          <w:tcPr>
            <w:tcW w:w="12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1"/>
                <w:szCs w:val="11"/>
                <w:color w:val="auto"/>
              </w:rPr>
            </w:pP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05/16/2022</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8.52%</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13,772,261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13,531,751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13,772,261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GCOM Software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11/14/2022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8.37%</w:t>
            </w:r>
          </w:p>
        </w:tc>
        <w:tc>
          <w:tcPr>
            <w:tcW w:w="400" w:type="dxa"/>
            <w:vAlign w:val="bottom"/>
          </w:tcPr>
          <w:p>
            <w:pPr>
              <w:spacing w:after="0"/>
              <w:rPr>
                <w:sz w:val="11"/>
                <w:szCs w:val="11"/>
                <w:color w:val="auto"/>
              </w:rPr>
            </w:pP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17,384,864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17,263,748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17,384,864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line="136" w:lineRule="exact"/>
              <w:rPr>
                <w:sz w:val="20"/>
                <w:szCs w:val="20"/>
                <w:color w:val="auto"/>
              </w:rPr>
            </w:pPr>
            <w:r>
              <w:rPr>
                <w:rFonts w:ascii="Times New Roman" w:cs="Times New Roman" w:eastAsia="Times New Roman" w:hAnsi="Times New Roman"/>
                <w:sz w:val="9"/>
                <w:szCs w:val="9"/>
                <w:color w:val="auto"/>
              </w:rPr>
              <w:t xml:space="preserve">Leap Legal Software Pty Ltd </w:t>
            </w:r>
            <w:r>
              <w:rPr>
                <w:rFonts w:ascii="Times New Roman" w:cs="Times New Roman" w:eastAsia="Times New Roman" w:hAnsi="Times New Roman"/>
                <w:sz w:val="15"/>
                <w:szCs w:val="15"/>
                <w:color w:val="auto"/>
                <w:vertAlign w:val="superscript"/>
              </w:rPr>
              <w:t>(3,4)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09/12/2022</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6.80%</w:t>
            </w:r>
          </w:p>
        </w:tc>
        <w:tc>
          <w:tcPr>
            <w:tcW w:w="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14,755,747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10,483,859</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9,952,014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Leisure Products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PlayPower,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05/08/2026</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7.60%</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4,189,500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4,148,451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4,184,263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Media: Broadcasting and Subscription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The Infosoft Group,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09/16/2024</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7.43%</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8,823,392</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8,790,069</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8,735,157</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line="136" w:lineRule="exact"/>
              <w:rPr>
                <w:sz w:val="20"/>
                <w:szCs w:val="20"/>
                <w:color w:val="auto"/>
              </w:rPr>
            </w:pPr>
            <w:r>
              <w:rPr>
                <w:rFonts w:ascii="Times New Roman" w:cs="Times New Roman" w:eastAsia="Times New Roman" w:hAnsi="Times New Roman"/>
                <w:sz w:val="9"/>
                <w:szCs w:val="9"/>
                <w:color w:val="auto"/>
              </w:rPr>
              <w:t xml:space="preserve">Marketplace Events LLC </w:t>
            </w:r>
            <w:r>
              <w:rPr>
                <w:rFonts w:ascii="Times New Roman" w:cs="Times New Roman" w:eastAsia="Times New Roman" w:hAnsi="Times New Roman"/>
                <w:sz w:val="15"/>
                <w:szCs w:val="15"/>
                <w:color w:val="auto"/>
                <w:vertAlign w:val="superscript"/>
              </w:rPr>
              <w:t>(3,4)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01/27/2023</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7.20%</w:t>
            </w:r>
          </w:p>
        </w:tc>
        <w:tc>
          <w:tcPr>
            <w:tcW w:w="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w:t>
            </w: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5,760,254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4,461,926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4,350,645</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Retail</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8.04%</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7,078,125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7,118,977</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6,575,083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Consumer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01/02/2024</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6.85%</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7,749,274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7,674,216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7,671,781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Wholesale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Impact Group, LLC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06/27/2023</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8.60%</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9,390,185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9,296,753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9,296,283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ind w:left="220"/>
              <w:spacing w:after="0" w:line="136" w:lineRule="exact"/>
              <w:rPr>
                <w:sz w:val="20"/>
                <w:szCs w:val="20"/>
                <w:color w:val="auto"/>
              </w:rPr>
            </w:pPr>
            <w:r>
              <w:rPr>
                <w:rFonts w:ascii="Times New Roman" w:cs="Times New Roman" w:eastAsia="Times New Roman" w:hAnsi="Times New Roman"/>
                <w:sz w:val="9"/>
                <w:szCs w:val="9"/>
                <w:color w:val="auto"/>
              </w:rPr>
              <w:t>Infrastructure Supply Operations Pty Ltd.</w:t>
            </w:r>
            <w:r>
              <w:rPr>
                <w:rFonts w:ascii="Times New Roman" w:cs="Times New Roman" w:eastAsia="Times New Roman" w:hAnsi="Times New Roman"/>
                <w:sz w:val="15"/>
                <w:szCs w:val="15"/>
                <w:color w:val="auto"/>
                <w:vertAlign w:val="superscript"/>
              </w:rPr>
              <w:t>(3,4)</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12/12/2023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5.80%</w:t>
            </w:r>
          </w:p>
        </w:tc>
        <w:tc>
          <w:tcPr>
            <w:tcW w:w="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15,000,000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10,973,919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9,717,138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09/29/2025</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7.04%</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9,892,519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9,804,058</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9,397,893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1"/>
                <w:szCs w:val="11"/>
                <w:color w:val="auto"/>
                <w:w w:val="99"/>
              </w:rPr>
              <w:t>09/26/2024</w:t>
            </w:r>
          </w:p>
        </w:tc>
        <w:tc>
          <w:tcPr>
            <w:tcW w:w="160" w:type="dxa"/>
            <w:vAlign w:val="bottom"/>
            <w:tcBorders>
              <w:bottom w:val="single" w:sz="8" w:color="CFF0FC"/>
            </w:tcBorders>
          </w:tcPr>
          <w:p>
            <w:pPr>
              <w:spacing w:after="0"/>
              <w:rPr>
                <w:sz w:val="11"/>
                <w:szCs w:val="11"/>
                <w:color w:val="auto"/>
              </w:rPr>
            </w:pPr>
          </w:p>
        </w:tc>
        <w:tc>
          <w:tcPr>
            <w:tcW w:w="1180" w:type="dxa"/>
            <w:vAlign w:val="bottom"/>
            <w:tcBorders>
              <w:bottom w:val="single" w:sz="8" w:color="CFF0FC"/>
            </w:tcBorders>
          </w:tcPr>
          <w:p>
            <w:pPr>
              <w:jc w:val="right"/>
              <w:ind w:right="126"/>
              <w:spacing w:after="0"/>
              <w:rPr>
                <w:sz w:val="20"/>
                <w:szCs w:val="20"/>
                <w:color w:val="auto"/>
              </w:rPr>
            </w:pPr>
            <w:r>
              <w:rPr>
                <w:rFonts w:ascii="Times New Roman" w:cs="Times New Roman" w:eastAsia="Times New Roman" w:hAnsi="Times New Roman"/>
                <w:sz w:val="11"/>
                <w:szCs w:val="11"/>
                <w:color w:val="auto"/>
              </w:rPr>
              <w:t>8.83%</w:t>
            </w:r>
          </w:p>
        </w:tc>
        <w:tc>
          <w:tcPr>
            <w:tcW w:w="400" w:type="dxa"/>
            <w:vAlign w:val="bottom"/>
            <w:tcBorders>
              <w:bottom w:val="single" w:sz="8" w:color="CFF0FC"/>
            </w:tcBorders>
          </w:tcPr>
          <w:p>
            <w:pPr>
              <w:spacing w:after="0"/>
              <w:rPr>
                <w:sz w:val="11"/>
                <w:szCs w:val="11"/>
                <w:color w:val="auto"/>
              </w:rPr>
            </w:pPr>
          </w:p>
        </w:tc>
        <w:tc>
          <w:tcPr>
            <w:tcW w:w="1060" w:type="dxa"/>
            <w:vAlign w:val="bottom"/>
            <w:tcBorders>
              <w:bottom w:val="single" w:sz="8" w:color="CFF0FC"/>
            </w:tcBorders>
          </w:tcPr>
          <w:p>
            <w:pPr>
              <w:jc w:val="right"/>
              <w:ind w:right="87"/>
              <w:spacing w:after="0"/>
              <w:rPr>
                <w:sz w:val="20"/>
                <w:szCs w:val="20"/>
                <w:color w:val="auto"/>
              </w:rPr>
            </w:pPr>
            <w:r>
              <w:rPr>
                <w:rFonts w:ascii="Times New Roman" w:cs="Times New Roman" w:eastAsia="Times New Roman" w:hAnsi="Times New Roman"/>
                <w:sz w:val="11"/>
                <w:szCs w:val="11"/>
                <w:color w:val="auto"/>
              </w:rPr>
              <w:t>16,001,734</w:t>
            </w: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15,724,459</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16,121,748</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478,935,870</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474,289,533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830.5</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 - 14.8%</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04/29/2024</w:t>
            </w:r>
          </w:p>
        </w:tc>
        <w:tc>
          <w:tcPr>
            <w:tcW w:w="160" w:type="dxa"/>
            <w:vAlign w:val="bottom"/>
          </w:tcPr>
          <w:p>
            <w:pPr>
              <w:spacing w:after="0"/>
              <w:rPr>
                <w:sz w:val="11"/>
                <w:szCs w:val="11"/>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10.60%</w:t>
            </w:r>
          </w:p>
        </w:tc>
        <w:tc>
          <w:tcPr>
            <w:tcW w:w="400" w:type="dxa"/>
            <w:vAlign w:val="bottom"/>
          </w:tcPr>
          <w:p>
            <w:pPr>
              <w:spacing w:after="0"/>
              <w:rPr>
                <w:sz w:val="11"/>
                <w:szCs w:val="11"/>
                <w:color w:val="auto"/>
              </w:rPr>
            </w:pP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870,886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870,886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870,886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(PIK 10.60%)</w:t>
            </w: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DBI Holding, LLC - Term Loan 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03/26/2021</w:t>
            </w:r>
          </w:p>
        </w:tc>
        <w:tc>
          <w:tcPr>
            <w:tcW w:w="160" w:type="dxa"/>
            <w:vAlign w:val="bottom"/>
          </w:tcPr>
          <w:p>
            <w:pPr>
              <w:spacing w:after="0"/>
              <w:rPr>
                <w:sz w:val="11"/>
                <w:szCs w:val="11"/>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8.00%</w:t>
            </w:r>
          </w:p>
        </w:tc>
        <w:tc>
          <w:tcPr>
            <w:tcW w:w="400" w:type="dxa"/>
            <w:vAlign w:val="bottom"/>
          </w:tcPr>
          <w:p>
            <w:pPr>
              <w:spacing w:after="0"/>
              <w:rPr>
                <w:sz w:val="11"/>
                <w:szCs w:val="11"/>
                <w:color w:val="auto"/>
              </w:rPr>
            </w:pP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15,206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auto"/>
              </w:rPr>
              <w:t>(PIK 8.00%)</w:t>
            </w: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DBI Holding, LLC - Term Loan B</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02/02/2026</w:t>
            </w: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8.00%</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7,607,291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7,607,291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7,569,254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(PIK 8.00%)</w:t>
            </w:r>
          </w:p>
        </w:tc>
        <w:tc>
          <w:tcPr>
            <w:tcW w:w="40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8,493,383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8,455,346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Preferred Equity - 8.2%</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DBI Holding, LLC - Series A-1</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13.00%</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5,034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4,680,039</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(PIK 13.00%)</w:t>
            </w: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4,680,039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Common Equity - 2.0%</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Country Fresh Holding Company Inc.</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1,317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1,713,106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1,124,929</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DBI Holding, LLC - Series B</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rPr>
              <w:t>1,065,021</w:t>
            </w: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82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180" w:type="dxa"/>
            <w:vAlign w:val="bottom"/>
            <w:tcBorders>
              <w:bottom w:val="single" w:sz="8" w:color="CFF0FC"/>
            </w:tcBorders>
          </w:tcPr>
          <w:p>
            <w:pPr>
              <w:spacing w:after="0"/>
              <w:rPr>
                <w:sz w:val="11"/>
                <w:szCs w:val="11"/>
                <w:color w:val="auto"/>
              </w:rPr>
            </w:pPr>
          </w:p>
        </w:tc>
        <w:tc>
          <w:tcPr>
            <w:tcW w:w="400" w:type="dxa"/>
            <w:vAlign w:val="bottom"/>
            <w:tcBorders>
              <w:bottom w:val="single" w:sz="8" w:color="CFF0FC"/>
            </w:tcBorders>
          </w:tcPr>
          <w:p>
            <w:pPr>
              <w:spacing w:after="0"/>
              <w:rPr>
                <w:sz w:val="11"/>
                <w:szCs w:val="11"/>
                <w:color w:val="auto"/>
              </w:rPr>
            </w:pPr>
          </w:p>
        </w:tc>
        <w:tc>
          <w:tcPr>
            <w:tcW w:w="10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1,949,627</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1,124,929</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Investments - 855.5%</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494,413,190</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488,549,847</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855.5</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Equivalents—26.8%</w:t>
            </w:r>
          </w:p>
        </w:tc>
        <w:tc>
          <w:tcPr>
            <w:tcW w:w="82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180" w:type="dxa"/>
            <w:vAlign w:val="bottom"/>
            <w:tcBorders>
              <w:bottom w:val="single" w:sz="8" w:color="CFF0FC"/>
            </w:tcBorders>
          </w:tcPr>
          <w:p>
            <w:pPr>
              <w:spacing w:after="0"/>
              <w:rPr>
                <w:sz w:val="11"/>
                <w:szCs w:val="11"/>
                <w:color w:val="auto"/>
              </w:rPr>
            </w:pPr>
          </w:p>
        </w:tc>
        <w:tc>
          <w:tcPr>
            <w:tcW w:w="400" w:type="dxa"/>
            <w:vAlign w:val="bottom"/>
            <w:tcBorders>
              <w:bottom w:val="single" w:sz="8" w:color="CFF0FC"/>
            </w:tcBorders>
          </w:tcPr>
          <w:p>
            <w:pPr>
              <w:spacing w:after="0"/>
              <w:rPr>
                <w:sz w:val="11"/>
                <w:szCs w:val="11"/>
                <w:color w:val="auto"/>
              </w:rPr>
            </w:pPr>
          </w:p>
        </w:tc>
        <w:tc>
          <w:tcPr>
            <w:tcW w:w="10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15,322,531</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15,294,881</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Equivalents—882.3%</w:t>
            </w:r>
          </w:p>
        </w:tc>
        <w:tc>
          <w:tcPr>
            <w:tcW w:w="8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509,735,721</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503,844,728</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882.3</w:t>
            </w:r>
          </w:p>
        </w:tc>
        <w:tc>
          <w:tcPr>
            <w:tcW w:w="8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Assets—(782.3)%</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(446,736,922</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rPr>
              <w:t>(782.3)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00" w:type="dxa"/>
            <w:vAlign w:val="bottom"/>
            <w:tcBorders>
              <w:top w:val="single" w:sz="8" w:color="CFF0FC"/>
              <w:bottom w:val="single" w:sz="8" w:color="CFF0FC"/>
            </w:tcBorders>
            <w:shd w:val="clear" w:color="auto" w:fill="CFF0FC"/>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Members’ Equity—100.0%</w:t>
            </w:r>
          </w:p>
        </w:tc>
        <w:tc>
          <w:tcPr>
            <w:tcW w:w="82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CFF0FC"/>
              <w:bottom w:val="single" w:sz="8" w:color="CFF0FC"/>
            </w:tcBorders>
            <w:shd w:val="clear" w:color="auto" w:fill="CFF0FC"/>
          </w:tcPr>
          <w:p>
            <w:pPr>
              <w:spacing w:after="0"/>
              <w:rPr>
                <w:sz w:val="9"/>
                <w:szCs w:val="9"/>
                <w:color w:val="auto"/>
              </w:rPr>
            </w:pPr>
          </w:p>
        </w:tc>
        <w:tc>
          <w:tcPr>
            <w:tcW w:w="1180" w:type="dxa"/>
            <w:vAlign w:val="bottom"/>
            <w:tcBorders>
              <w:top w:val="single" w:sz="8" w:color="CFF0FC"/>
              <w:bottom w:val="single" w:sz="8" w:color="CFF0FC"/>
            </w:tcBorders>
            <w:shd w:val="clear" w:color="auto" w:fill="CFF0FC"/>
          </w:tcPr>
          <w:p>
            <w:pPr>
              <w:spacing w:after="0"/>
              <w:rPr>
                <w:sz w:val="9"/>
                <w:szCs w:val="9"/>
                <w:color w:val="auto"/>
              </w:rPr>
            </w:pPr>
          </w:p>
        </w:tc>
        <w:tc>
          <w:tcPr>
            <w:tcW w:w="400" w:type="dxa"/>
            <w:vAlign w:val="bottom"/>
            <w:tcBorders>
              <w:top w:val="single" w:sz="8" w:color="CFF0FC"/>
              <w:bottom w:val="single" w:sz="8" w:color="CFF0FC"/>
            </w:tcBorders>
            <w:shd w:val="clear" w:color="auto" w:fill="CFF0FC"/>
          </w:tcPr>
          <w:p>
            <w:pPr>
              <w:spacing w:after="0"/>
              <w:rPr>
                <w:sz w:val="9"/>
                <w:szCs w:val="9"/>
                <w:color w:val="auto"/>
              </w:rPr>
            </w:pPr>
          </w:p>
        </w:tc>
        <w:tc>
          <w:tcPr>
            <w:tcW w:w="106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84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240" w:type="dxa"/>
            <w:vAlign w:val="bottom"/>
            <w:tcBorders>
              <w:top w:val="single" w:sz="8" w:color="auto"/>
              <w:bottom w:val="single" w:sz="8" w:color="auto"/>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57,107,806</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20" w:type="dxa"/>
            <w:vAlign w:val="bottom"/>
            <w:tcBorders>
              <w:top w:val="single" w:sz="8" w:color="auto"/>
              <w:bottom w:val="single" w:sz="8" w:color="auto"/>
            </w:tcBorders>
            <w:shd w:val="clear" w:color="auto" w:fill="CFF0FC"/>
          </w:tcPr>
          <w:p>
            <w:pPr>
              <w:spacing w:after="0"/>
              <w:rPr>
                <w:sz w:val="9"/>
                <w:szCs w:val="9"/>
                <w:color w:val="auto"/>
              </w:rPr>
            </w:pPr>
          </w:p>
        </w:tc>
        <w:tc>
          <w:tcPr>
            <w:tcW w:w="980" w:type="dxa"/>
            <w:vAlign w:val="bottom"/>
            <w:tcBorders>
              <w:top w:val="single" w:sz="8" w:color="auto"/>
              <w:bottom w:val="single" w:sz="8" w:color="auto"/>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100.0</w:t>
            </w: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c>
          <w:tcPr>
            <w:tcW w:w="280" w:type="dxa"/>
            <w:vAlign w:val="bottom"/>
            <w:tcBorders>
              <w:top w:val="single" w:sz="8" w:color="CFF0FC"/>
              <w:bottom w:val="single" w:sz="8" w:color="CFF0FC"/>
            </w:tcBorders>
            <w:shd w:val="clear" w:color="auto" w:fill="CFF0FC"/>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69151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6915150" cy="7620"/>
                    </a:xfrm>
                    <a:prstGeom prst="rect">
                      <a:avLst/>
                    </a:prstGeom>
                    <a:noFill/>
                  </pic:spPr>
                </pic:pic>
              </a:graphicData>
            </a:graphic>
          </wp:anchor>
        </w:drawing>
      </w:r>
    </w:p>
    <w:p>
      <w:pPr>
        <w:spacing w:after="0" w:line="133" w:lineRule="exact"/>
        <w:rPr>
          <w:sz w:val="20"/>
          <w:szCs w:val="20"/>
          <w:color w:val="auto"/>
        </w:rPr>
      </w:pPr>
    </w:p>
    <w:p>
      <w:pPr>
        <w:ind w:left="220" w:right="640" w:firstLine="5"/>
        <w:spacing w:after="0" w:line="247" w:lineRule="auto"/>
        <w:tabs>
          <w:tab w:leader="none" w:pos="372"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30"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PSSL’s accounting policy.</w:t>
      </w:r>
    </w:p>
    <w:p>
      <w:pPr>
        <w:spacing w:after="0" w:line="96"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Non-U.S. company or principal place of business outside the United States.</w:t>
      </w:r>
    </w:p>
    <w:p>
      <w:pPr>
        <w:spacing w:after="0" w:line="96"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Par amount is denominated in Australian Dollars (A$) or in Canadian Dollars (C$) as denoted.</w:t>
      </w:r>
    </w:p>
    <w:p>
      <w:pPr>
        <w:spacing w:after="0" w:line="96" w:lineRule="exact"/>
        <w:rPr>
          <w:rFonts w:ascii="Times New Roman" w:cs="Times New Roman" w:eastAsia="Times New Roman" w:hAnsi="Times New Roman"/>
          <w:sz w:val="11"/>
          <w:szCs w:val="11"/>
          <w:color w:val="auto"/>
        </w:rPr>
      </w:pPr>
    </w:p>
    <w:p>
      <w:pPr>
        <w:ind w:left="380" w:hanging="155"/>
        <w:spacing w:after="0"/>
        <w:tabs>
          <w:tab w:leader="none" w:pos="38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w:t>
      </w:r>
    </w:p>
    <w:p>
      <w:pPr>
        <w:spacing w:after="0" w:line="205" w:lineRule="exact"/>
        <w:rPr>
          <w:sz w:val="20"/>
          <w:szCs w:val="20"/>
          <w:color w:val="auto"/>
        </w:rPr>
      </w:pPr>
    </w:p>
    <w:p>
      <w:pPr>
        <w:ind w:left="381" w:hanging="381"/>
        <w:spacing w:after="0"/>
        <w:tabs>
          <w:tab w:leader="none" w:pos="381"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30" w:lineRule="exact"/>
        <w:rPr>
          <w:sz w:val="20"/>
          <w:szCs w:val="20"/>
          <w:color w:val="auto"/>
        </w:rPr>
      </w:pPr>
    </w:p>
    <w:p>
      <w:pPr>
        <w:jc w:val="both"/>
        <w:ind w:left="1" w:firstLine="385"/>
        <w:spacing w:after="0" w:line="255" w:lineRule="auto"/>
        <w:rPr>
          <w:sz w:val="20"/>
          <w:szCs w:val="20"/>
          <w:color w:val="auto"/>
        </w:rPr>
      </w:pPr>
      <w:r>
        <w:rPr>
          <w:rFonts w:ascii="Times New Roman" w:cs="Times New Roman" w:eastAsia="Times New Roman" w:hAnsi="Times New Roman"/>
          <w:sz w:val="17"/>
          <w:szCs w:val="17"/>
          <w:color w:val="auto"/>
        </w:rPr>
        <w:t>PennantPark Senior Secured Loan Fund I LLC, or PSSL, is organized as a Delaware limited liability company and commenced operations in May 2017. In this report, except where the context suggests otherwise, the terms “Company,” “we,” “our,” or “us” refer to PSSL and its subsidiary. PSSL is a joint venture between PennantPark Floating Rate Capital Ltd., or PFLT, and a subsidiary of Kemper Corporation (NYSE: KMPR), Trinity Universal Insurance Company, or Kemper.</w:t>
      </w:r>
    </w:p>
    <w:p>
      <w:pPr>
        <w:spacing w:after="0" w:line="195" w:lineRule="exact"/>
        <w:rPr>
          <w:sz w:val="20"/>
          <w:szCs w:val="20"/>
          <w:color w:val="auto"/>
        </w:rPr>
      </w:pPr>
    </w:p>
    <w:p>
      <w:pPr>
        <w:jc w:val="both"/>
        <w:ind w:left="1" w:firstLine="385"/>
        <w:spacing w:after="0" w:line="251" w:lineRule="auto"/>
        <w:rPr>
          <w:sz w:val="20"/>
          <w:szCs w:val="20"/>
          <w:color w:val="auto"/>
        </w:rPr>
      </w:pPr>
      <w:r>
        <w:rPr>
          <w:rFonts w:ascii="Times New Roman" w:cs="Times New Roman" w:eastAsia="Times New Roman" w:hAnsi="Times New Roman"/>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London Interbank Offered Rate, or LIBOR, with or without a floor, plus a fixed spread.</w:t>
      </w:r>
    </w:p>
    <w:p>
      <w:pPr>
        <w:spacing w:after="0" w:line="198" w:lineRule="exact"/>
        <w:rPr>
          <w:sz w:val="20"/>
          <w:szCs w:val="20"/>
          <w:color w:val="auto"/>
        </w:rPr>
      </w:pPr>
    </w:p>
    <w:p>
      <w:pPr>
        <w:jc w:val="both"/>
        <w:ind w:left="1" w:firstLine="385"/>
        <w:spacing w:after="0" w:line="251" w:lineRule="auto"/>
        <w:rPr>
          <w:sz w:val="20"/>
          <w:szCs w:val="20"/>
          <w:color w:val="auto"/>
        </w:rPr>
      </w:pPr>
      <w:r>
        <w:rPr>
          <w:rFonts w:ascii="Times New Roman" w:cs="Times New Roman" w:eastAsia="Times New Roman" w:hAnsi="Times New Roman"/>
          <w:sz w:val="17"/>
          <w:szCs w:val="17"/>
          <w:color w:val="auto"/>
        </w:rPr>
        <w:t>PFLT and Kemper, as members of PSSL, or the Members, provide capital to PSSL in the form of notes and equity interests. As of September 30, 2020 and 2019, PFLT and Kemper owned 87.5% and 12.5%, respectively, of each of the outstanding notes and equity interests. The administrative agent of the Company is PennantPark Investment Administration, LLC, or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198" w:lineRule="exact"/>
        <w:rPr>
          <w:sz w:val="20"/>
          <w:szCs w:val="20"/>
          <w:color w:val="auto"/>
        </w:rPr>
      </w:pPr>
    </w:p>
    <w:p>
      <w:pPr>
        <w:jc w:val="both"/>
        <w:ind w:left="1" w:firstLine="385"/>
        <w:spacing w:after="0" w:line="287" w:lineRule="auto"/>
        <w:rPr>
          <w:sz w:val="20"/>
          <w:szCs w:val="20"/>
          <w:color w:val="auto"/>
        </w:rPr>
      </w:pPr>
      <w:r>
        <w:rPr>
          <w:rFonts w:ascii="Times New Roman" w:cs="Times New Roman" w:eastAsia="Times New Roman" w:hAnsi="Times New Roman"/>
          <w:sz w:val="15"/>
          <w:szCs w:val="15"/>
          <w:color w:val="auto"/>
        </w:rPr>
        <w:t>PFLT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of the members;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of the Members.</w:t>
      </w:r>
    </w:p>
    <w:p>
      <w:pPr>
        <w:spacing w:after="0" w:line="175" w:lineRule="exact"/>
        <w:rPr>
          <w:sz w:val="20"/>
          <w:szCs w:val="20"/>
          <w:color w:val="auto"/>
        </w:rPr>
      </w:pPr>
    </w:p>
    <w:p>
      <w:pPr>
        <w:jc w:val="both"/>
        <w:ind w:left="1" w:firstLine="385"/>
        <w:spacing w:after="0" w:line="255" w:lineRule="auto"/>
        <w:rPr>
          <w:sz w:val="20"/>
          <w:szCs w:val="20"/>
          <w:color w:val="auto"/>
        </w:rPr>
      </w:pPr>
      <w:r>
        <w:rPr>
          <w:rFonts w:ascii="Times New Roman" w:cs="Times New Roman" w:eastAsia="Times New Roman" w:hAnsi="Times New Roman"/>
          <w:sz w:val="17"/>
          <w:szCs w:val="17"/>
          <w:color w:val="auto"/>
        </w:rPr>
        <w:t>In May of 2017, PSSL entered into a multi-currency senior secured revolving credit facility, or the Credit Facility, with Capital One, N.A. through its wholly-owned subsidiary PennantPark Senior Secured Loan Facility LLC, or PSSL Subsidiary. The $325 million Credit Facility has a maturity date of May 2, 2023 and is priced at 2.25% over LIBOR.</w:t>
      </w:r>
    </w:p>
    <w:p>
      <w:pPr>
        <w:spacing w:after="0" w:line="19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30" w:lineRule="exact"/>
        <w:rPr>
          <w:sz w:val="20"/>
          <w:szCs w:val="20"/>
          <w:color w:val="auto"/>
        </w:rPr>
      </w:pPr>
    </w:p>
    <w:p>
      <w:pPr>
        <w:jc w:val="both"/>
        <w:ind w:left="1" w:firstLine="385"/>
        <w:spacing w:after="0" w:line="246" w:lineRule="auto"/>
        <w:rPr>
          <w:sz w:val="20"/>
          <w:szCs w:val="20"/>
          <w:color w:val="auto"/>
        </w:rPr>
      </w:pPr>
      <w:r>
        <w:rPr>
          <w:rFonts w:ascii="Times New Roman" w:cs="Times New Roman" w:eastAsia="Times New Roman" w:hAnsi="Times New Roman"/>
          <w:sz w:val="17"/>
          <w:szCs w:val="17"/>
          <w:color w:val="auto"/>
        </w:rPr>
        <w:t>PSSL is considered an investment company under U.S. generally accepted accounting principles, or GAAP, and follows the accounting and reporting guidance applicable to investment companies in the Financial Accounting Standards Board Accounting Standards Codification Topic 946. References to the Accounting Standards Codification, as amended, or ASC, serve as a source of accounting literature. Subsequent events are evaluated and recognized or disclosed as appropriate for events occurring through the date the consolidated financial statements are available to be issued. The preparation of our consolidated financial statements in conformity with GAAP requires the Members to make estimates and assumptions that affect the reported amount of our assets and liabilities at the date of the consolidated financial statements and the reported amounts of income and expenses during the reported periods. In the opinion of the Members,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20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7"/>
          <w:szCs w:val="17"/>
          <w:color w:val="auto"/>
        </w:rPr>
        <w:t>Our significant accounting policies consistently applied are as follows:</w:t>
      </w:r>
    </w:p>
    <w:p>
      <w:pPr>
        <w:spacing w:after="0" w:line="222"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7"/>
          <w:szCs w:val="17"/>
          <w:b w:val="1"/>
          <w:bCs w:val="1"/>
          <w:i w:val="1"/>
          <w:iCs w:val="1"/>
          <w:color w:val="auto"/>
        </w:rPr>
        <w:t>(a) Investment Valuations</w:t>
      </w:r>
    </w:p>
    <w:p>
      <w:pPr>
        <w:spacing w:after="0" w:line="230" w:lineRule="exact"/>
        <w:rPr>
          <w:sz w:val="20"/>
          <w:szCs w:val="20"/>
          <w:color w:val="auto"/>
        </w:rPr>
      </w:pPr>
    </w:p>
    <w:p>
      <w:pPr>
        <w:jc w:val="both"/>
        <w:ind w:left="1" w:firstLine="385"/>
        <w:spacing w:after="0" w:line="247" w:lineRule="auto"/>
        <w:rPr>
          <w:sz w:val="20"/>
          <w:szCs w:val="20"/>
          <w:color w:val="auto"/>
        </w:rPr>
      </w:pPr>
      <w:r>
        <w:rPr>
          <w:rFonts w:ascii="Times New Roman" w:cs="Times New Roman" w:eastAsia="Times New Roman" w:hAnsi="Times New Roman"/>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in determining our valuation. Due to the inherent uncertainty 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209" w:lineRule="exact"/>
        <w:rPr>
          <w:sz w:val="20"/>
          <w:szCs w:val="20"/>
          <w:color w:val="auto"/>
        </w:rPr>
      </w:pPr>
    </w:p>
    <w:p>
      <w:pPr>
        <w:jc w:val="both"/>
        <w:ind w:firstLine="385"/>
        <w:spacing w:after="0" w:line="267" w:lineRule="auto"/>
        <w:rPr>
          <w:sz w:val="20"/>
          <w:szCs w:val="20"/>
          <w:color w:val="auto"/>
        </w:rPr>
      </w:pPr>
      <w:r>
        <w:rPr>
          <w:rFonts w:ascii="Times New Roman" w:cs="Times New Roman" w:eastAsia="Times New Roman" w:hAnsi="Times New Roman"/>
          <w:sz w:val="17"/>
          <w:szCs w:val="17"/>
          <w:color w:val="auto"/>
        </w:rPr>
        <w:t>determining the fair value of investments that do not have a readily available market value, the price used in an actual transaction may be different than our valuation and the difference may be material. See Note 4.</w:t>
      </w:r>
    </w:p>
    <w:p>
      <w:pPr>
        <w:spacing w:after="0" w:line="18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0" w:lineRule="exact"/>
        <w:rPr>
          <w:sz w:val="20"/>
          <w:szCs w:val="20"/>
          <w:color w:val="auto"/>
        </w:rPr>
      </w:pPr>
    </w:p>
    <w:p>
      <w:pPr>
        <w:ind w:left="960" w:hanging="379"/>
        <w:spacing w:after="0" w:line="267" w:lineRule="auto"/>
        <w:tabs>
          <w:tab w:leader="none" w:pos="9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84" w:lineRule="exact"/>
        <w:rPr>
          <w:rFonts w:ascii="Times New Roman" w:cs="Times New Roman" w:eastAsia="Times New Roman" w:hAnsi="Times New Roman"/>
          <w:sz w:val="17"/>
          <w:szCs w:val="17"/>
          <w:color w:val="auto"/>
        </w:rPr>
      </w:pPr>
    </w:p>
    <w:p>
      <w:pPr>
        <w:ind w:left="960" w:hanging="379"/>
        <w:spacing w:after="0"/>
        <w:tabs>
          <w:tab w:leader="none" w:pos="9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valuation conclusions are then documented and discussed with the management of PennantPark Investment Advisers, LLC;</w:t>
      </w:r>
    </w:p>
    <w:p>
      <w:pPr>
        <w:spacing w:after="0" w:line="225" w:lineRule="exact"/>
        <w:rPr>
          <w:rFonts w:ascii="Times New Roman" w:cs="Times New Roman" w:eastAsia="Times New Roman" w:hAnsi="Times New Roman"/>
          <w:sz w:val="17"/>
          <w:szCs w:val="17"/>
          <w:color w:val="auto"/>
        </w:rPr>
      </w:pPr>
    </w:p>
    <w:p>
      <w:pPr>
        <w:jc w:val="both"/>
        <w:ind w:left="960" w:hanging="379"/>
        <w:spacing w:after="0" w:line="251" w:lineRule="auto"/>
        <w:tabs>
          <w:tab w:leader="none" w:pos="9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98" w:lineRule="exact"/>
        <w:rPr>
          <w:rFonts w:ascii="Times New Roman" w:cs="Times New Roman" w:eastAsia="Times New Roman" w:hAnsi="Times New Roman"/>
          <w:sz w:val="17"/>
          <w:szCs w:val="17"/>
          <w:color w:val="auto"/>
        </w:rPr>
      </w:pPr>
    </w:p>
    <w:p>
      <w:pPr>
        <w:jc w:val="both"/>
        <w:ind w:left="960" w:hanging="379"/>
        <w:spacing w:after="0" w:line="255" w:lineRule="auto"/>
        <w:tabs>
          <w:tab w:leader="none" w:pos="9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4" w:lineRule="exact"/>
        <w:rPr>
          <w:rFonts w:ascii="Times New Roman" w:cs="Times New Roman" w:eastAsia="Times New Roman" w:hAnsi="Times New Roman"/>
          <w:sz w:val="17"/>
          <w:szCs w:val="17"/>
          <w:color w:val="auto"/>
        </w:rPr>
      </w:pPr>
    </w:p>
    <w:p>
      <w:pPr>
        <w:ind w:left="960" w:hanging="379"/>
        <w:spacing w:after="0" w:line="267" w:lineRule="auto"/>
        <w:tabs>
          <w:tab w:leader="none" w:pos="9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assesses these valuations and determines the fair value of each investment in our portfolio in good faith, based on the input of PennantPark Investment Advisers, LLC and the respective independent valuation firms.</w:t>
      </w:r>
    </w:p>
    <w:p>
      <w:pPr>
        <w:spacing w:after="0" w:line="185"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(b) Security Transactions, Revenue Recognition, and Realized/Unrealized Gains or Losses</w:t>
      </w:r>
    </w:p>
    <w:p>
      <w:pPr>
        <w:spacing w:after="0" w:line="23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foreign currency translations on our Credit Facility during the reporting period, including any reversal of previously recorded unrealized appreciation or depreciation, when gains or losses are realized.</w:t>
      </w:r>
    </w:p>
    <w:p>
      <w:pPr>
        <w:spacing w:after="0" w:line="200" w:lineRule="exact"/>
        <w:rPr>
          <w:sz w:val="20"/>
          <w:szCs w:val="20"/>
          <w:color w:val="auto"/>
        </w:rPr>
      </w:pPr>
    </w:p>
    <w:p>
      <w:pPr>
        <w:jc w:val="both"/>
        <w:ind w:firstLine="462"/>
        <w:spacing w:after="0" w:line="246" w:lineRule="auto"/>
        <w:rPr>
          <w:sz w:val="20"/>
          <w:szCs w:val="20"/>
          <w:color w:val="auto"/>
        </w:rPr>
      </w:pPr>
      <w:r>
        <w:rPr>
          <w:rFonts w:ascii="Times New Roman" w:cs="Times New Roman" w:eastAsia="Times New Roman" w:hAnsi="Times New Roman"/>
          <w:sz w:val="17"/>
          <w:szCs w:val="17"/>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06"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Members’ judgment. Non-accrual loans are restored to accrual status when past due principal and interest is paid and, in the Members’ judgment, are likely to remain current. There were no loans on non-accrual status as of September 30, 2020 and 2019</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(c) Income Taxes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85" w:lineRule="exact"/>
        <w:rPr>
          <w:sz w:val="20"/>
          <w:szCs w:val="20"/>
          <w:color w:val="auto"/>
        </w:rPr>
      </w:pPr>
    </w:p>
    <w:p>
      <w:pPr>
        <w:jc w:val="both"/>
        <w:ind w:firstLine="462"/>
        <w:spacing w:after="0" w:line="251" w:lineRule="auto"/>
        <w:rPr>
          <w:sz w:val="20"/>
          <w:szCs w:val="20"/>
          <w:color w:val="auto"/>
        </w:rPr>
      </w:pPr>
      <w:r>
        <w:rPr>
          <w:rFonts w:ascii="Times New Roman" w:cs="Times New Roman" w:eastAsia="Times New Roman" w:hAnsi="Times New Roman"/>
          <w:sz w:val="17"/>
          <w:szCs w:val="17"/>
          <w:color w:val="auto"/>
        </w:rPr>
        <w:t>In accordance with FASB ASC Topic 740, the board of directors is required to determine whether a tax position of the partnership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the partnership recording a tax liability that would reduce members’ capital.</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and for the years ended September 30, 2020 and 2019 there were no material uncertain income tax positions.</w:t>
      </w: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(d) Foreign Currency Translation</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books and records are maintained in U.S. dollars. Any foreign currency amounts are translated into U.S. dollars on the following basis:</w:t>
      </w:r>
    </w:p>
    <w:p>
      <w:pPr>
        <w:spacing w:after="0" w:line="226" w:lineRule="exact"/>
        <w:rPr>
          <w:sz w:val="20"/>
          <w:szCs w:val="20"/>
          <w:color w:val="auto"/>
        </w:rPr>
      </w:pPr>
    </w:p>
    <w:p>
      <w:pPr>
        <w:ind w:left="960" w:hanging="379"/>
        <w:spacing w:after="0"/>
        <w:tabs>
          <w:tab w:leader="none" w:pos="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investment securities, other assets and liabilities – at the exchange rates prevailing at the end of the applicable period; and</w:t>
      </w:r>
    </w:p>
    <w:p>
      <w:pPr>
        <w:spacing w:after="0" w:line="225" w:lineRule="exact"/>
        <w:rPr>
          <w:rFonts w:ascii="Times New Roman" w:cs="Times New Roman" w:eastAsia="Times New Roman" w:hAnsi="Times New Roman"/>
          <w:sz w:val="17"/>
          <w:szCs w:val="17"/>
          <w:color w:val="auto"/>
        </w:rPr>
      </w:pPr>
    </w:p>
    <w:p>
      <w:pPr>
        <w:ind w:left="960" w:hanging="379"/>
        <w:spacing w:after="0"/>
        <w:tabs>
          <w:tab w:leader="none" w:pos="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and sales of investment securities, income and expenses – at the exchange rates prevailing on the respective dates of such transactions.</w:t>
      </w:r>
    </w:p>
    <w:p>
      <w:pPr>
        <w:spacing w:after="0" w:line="226"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95" w:lineRule="exact"/>
        <w:rPr>
          <w:sz w:val="20"/>
          <w:szCs w:val="20"/>
          <w:color w:val="auto"/>
        </w:rPr>
      </w:pPr>
    </w:p>
    <w:p>
      <w:pPr>
        <w:jc w:val="both"/>
        <w:ind w:firstLine="462"/>
        <w:spacing w:after="0" w:line="305" w:lineRule="auto"/>
        <w:rPr>
          <w:sz w:val="20"/>
          <w:szCs w:val="20"/>
          <w:color w:val="auto"/>
        </w:rPr>
      </w:pPr>
      <w:r>
        <w:rPr>
          <w:rFonts w:ascii="Times New Roman" w:cs="Times New Roman" w:eastAsia="Times New Roman" w:hAnsi="Times New Roman"/>
          <w:sz w:val="15"/>
          <w:szCs w:val="15"/>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(e) Consolidation</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As explained by ASC 946-810-45, PSSL will generally not consolidate its investment in a company other than an investment company subsidiary or a controlled operating company whose business consists of providing services to us.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(f) Recent Accounting Pronouncements</w:t>
      </w:r>
    </w:p>
    <w:p>
      <w:pPr>
        <w:spacing w:after="0" w:line="230"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has adopted this new accounting standard update and the impact of the adoption is not expected to be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AGREEMENTS AND RELATED PARTY TRANSACTIONS</w:t>
      </w:r>
    </w:p>
    <w:p>
      <w:pPr>
        <w:spacing w:after="0" w:line="230" w:lineRule="exact"/>
        <w:rPr>
          <w:sz w:val="20"/>
          <w:szCs w:val="20"/>
          <w:color w:val="auto"/>
        </w:rPr>
      </w:pPr>
    </w:p>
    <w:p>
      <w:pPr>
        <w:jc w:val="both"/>
        <w:ind w:firstLine="481"/>
        <w:spacing w:after="0" w:line="251" w:lineRule="auto"/>
        <w:rPr>
          <w:sz w:val="20"/>
          <w:szCs w:val="20"/>
          <w:color w:val="auto"/>
        </w:rPr>
      </w:pPr>
      <w:r>
        <w:rPr>
          <w:rFonts w:ascii="Times New Roman" w:cs="Times New Roman" w:eastAsia="Times New Roman" w:hAnsi="Times New Roman"/>
          <w:sz w:val="17"/>
          <w:szCs w:val="17"/>
          <w:color w:val="auto"/>
        </w:rPr>
        <w:t>For the years ended September 30, 2020 and 2019, PSSL purchased $86.7 million and $89.6 million, respectively, in investments from PFLT. Additionally, for each of the years ended September 30, 2020 and 2019, PSSL incurred $1.2 million in administrative services to the Administrative Agent. The Administrative Agent provides administration services to PSSL. PSSL incurred $13.5 million and $14.2 million, in interest expense related to the notes outstanding with both PFLT and Kemper for the years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OF FINANCIAL INSTRUMENTS</w:t>
      </w:r>
    </w:p>
    <w:p>
      <w:pPr>
        <w:spacing w:after="0" w:line="230"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ASC 820 classifies the inputs used to measure these fair values into the following hierarchies:</w:t>
      </w:r>
    </w:p>
    <w:p>
      <w:pPr>
        <w:spacing w:after="0" w:line="226" w:lineRule="exact"/>
        <w:rPr>
          <w:sz w:val="20"/>
          <w:szCs w:val="20"/>
          <w:color w:val="auto"/>
        </w:rPr>
      </w:pPr>
    </w:p>
    <w:p>
      <w:pPr>
        <w:ind w:left="580"/>
        <w:spacing w:after="0"/>
        <w:tabs>
          <w:tab w:leader="none" w:pos="14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5"/>
          <w:szCs w:val="15"/>
          <w:color w:val="auto"/>
        </w:rPr>
        <w:t>Inputs that are quoted prices (unadjusted) in active markets for identical assets or liabilities, accessible by us at the measurement date.</w:t>
      </w:r>
    </w:p>
    <w:p>
      <w:pPr>
        <w:spacing w:after="0" w:line="226" w:lineRule="exact"/>
        <w:rPr>
          <w:sz w:val="20"/>
          <w:szCs w:val="20"/>
          <w:color w:val="auto"/>
        </w:rPr>
      </w:pPr>
    </w:p>
    <w:p>
      <w:pPr>
        <w:jc w:val="both"/>
        <w:ind w:left="1440" w:hanging="854"/>
        <w:spacing w:after="0" w:line="255" w:lineRule="auto"/>
        <w:tabs>
          <w:tab w:leader="none" w:pos="14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95" w:lineRule="exact"/>
        <w:rPr>
          <w:sz w:val="20"/>
          <w:szCs w:val="20"/>
          <w:color w:val="auto"/>
        </w:rPr>
      </w:pPr>
    </w:p>
    <w:p>
      <w:pPr>
        <w:jc w:val="both"/>
        <w:ind w:left="1440" w:hanging="854"/>
        <w:spacing w:after="0" w:line="267" w:lineRule="auto"/>
        <w:tabs>
          <w:tab w:leader="none" w:pos="14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an asset or liability because they are based on our own assumptions about how market participants would price the asset or liability.</w:t>
      </w:r>
    </w:p>
    <w:p>
      <w:pPr>
        <w:spacing w:after="0" w:line="18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5"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20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20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A review of fair value hierarchy classifications is conducted on a quarterly basis. Changes in our ability to observe valuation inputs may result in a reclassification for certain financial assets or liabilities.</w:t>
      </w:r>
    </w:p>
    <w:p>
      <w:pPr>
        <w:spacing w:after="0" w:line="18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5"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The remainder of our portfolio is valued using a market comparable or an enterprise market value technique. With respect to investments for which there is no readily available market value, the factors that the board of directors may consider in pricing our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4"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17"/>
          <w:szCs w:val="17"/>
          <w:color w:val="auto"/>
        </w:rPr>
        <w:t>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202" w:lineRule="exact"/>
        <w:rPr>
          <w:sz w:val="20"/>
          <w:szCs w:val="20"/>
          <w:color w:val="auto"/>
        </w:rPr>
      </w:pPr>
    </w:p>
    <w:p>
      <w:pPr>
        <w:ind w:left="461"/>
        <w:spacing w:after="0"/>
        <w:rPr>
          <w:sz w:val="20"/>
          <w:szCs w:val="20"/>
          <w:color w:val="auto"/>
        </w:rPr>
      </w:pPr>
      <w:r>
        <w:rPr>
          <w:rFonts w:ascii="Times New Roman" w:cs="Times New Roman" w:eastAsia="Times New Roman" w:hAnsi="Times New Roman"/>
          <w:sz w:val="17"/>
          <w:szCs w:val="17"/>
          <w:color w:val="auto"/>
        </w:rPr>
        <w:t>Our Level 3 valuation techniques, unobservable inputs and ranges were categorized as follows for ASC 820 purposes:</w:t>
      </w:r>
    </w:p>
    <w:p>
      <w:pPr>
        <w:spacing w:after="0" w:line="200" w:lineRule="exact"/>
        <w:rPr>
          <w:sz w:val="20"/>
          <w:szCs w:val="20"/>
          <w:color w:val="auto"/>
        </w:rPr>
      </w:pPr>
    </w:p>
    <w:p>
      <w:pPr>
        <w:spacing w:after="0" w:line="25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Fair value at</w:t>
            </w: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Range of Input</w:t>
            </w:r>
          </w:p>
        </w:tc>
      </w:tr>
      <w:tr>
        <w:trPr>
          <w:trHeight w:val="219"/>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220" w:type="dxa"/>
            <w:vAlign w:val="bottom"/>
          </w:tcPr>
          <w:p>
            <w:pPr>
              <w:spacing w:after="0"/>
              <w:rPr>
                <w:sz w:val="19"/>
                <w:szCs w:val="19"/>
                <w:color w:val="auto"/>
              </w:rPr>
            </w:pP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September 30, 2020</w:t>
            </w:r>
          </w:p>
        </w:tc>
        <w:tc>
          <w:tcPr>
            <w:tcW w:w="12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Valuation Technique</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Unobservable Input</w:t>
            </w:r>
          </w:p>
        </w:tc>
        <w:tc>
          <w:tcPr>
            <w:tcW w:w="2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6"/>
              </w:rPr>
              <w:t xml:space="preserve">(Weighted Average) </w:t>
            </w:r>
            <w:r>
              <w:rPr>
                <w:rFonts w:ascii="Times New Roman" w:cs="Times New Roman" w:eastAsia="Times New Roman" w:hAnsi="Times New Roman"/>
                <w:sz w:val="14"/>
                <w:szCs w:val="14"/>
                <w:b w:val="1"/>
                <w:bCs w:val="1"/>
                <w:color w:val="auto"/>
                <w:w w:val="96"/>
              </w:rPr>
              <w:t>(1)</w:t>
            </w:r>
          </w:p>
        </w:tc>
      </w:tr>
      <w:tr>
        <w:trPr>
          <w:trHeight w:val="203"/>
        </w:trPr>
        <w:tc>
          <w:tcPr>
            <w:tcW w:w="2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72,312,542</w:t>
            </w:r>
          </w:p>
        </w:tc>
        <w:tc>
          <w:tcPr>
            <w:tcW w:w="120" w:type="dxa"/>
            <w:vAlign w:val="bottom"/>
            <w:tcBorders>
              <w:top w:val="single" w:sz="8" w:color="CFF0FC"/>
            </w:tcBorders>
            <w:shd w:val="clear" w:color="auto" w:fill="CFF0FC"/>
          </w:tcPr>
          <w:p>
            <w:pPr>
              <w:spacing w:after="0"/>
              <w:rPr>
                <w:sz w:val="17"/>
                <w:szCs w:val="17"/>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60" w:type="dxa"/>
            <w:vAlign w:val="bottom"/>
            <w:tcBorders>
              <w:top w:val="single" w:sz="8" w:color="CFF0FC"/>
            </w:tcBorders>
            <w:shd w:val="clear" w:color="auto" w:fill="CFF0FC"/>
          </w:tcPr>
          <w:p>
            <w:pPr>
              <w:spacing w:after="0"/>
              <w:rPr>
                <w:sz w:val="17"/>
                <w:szCs w:val="17"/>
                <w:color w:val="auto"/>
              </w:rPr>
            </w:pPr>
          </w:p>
        </w:tc>
        <w:tc>
          <w:tcPr>
            <w:tcW w:w="2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Broker/Dealer bids or quotes</w:t>
            </w:r>
          </w:p>
        </w:tc>
        <w:tc>
          <w:tcPr>
            <w:tcW w:w="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center"/>
              <w:ind w:right="597"/>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tcBorders>
              <w:top w:val="single" w:sz="8" w:color="CFF0FC"/>
            </w:tcBorders>
            <w:shd w:val="clear" w:color="auto" w:fill="CFF0FC"/>
          </w:tcPr>
          <w:p>
            <w:pPr>
              <w:spacing w:after="0"/>
              <w:rPr>
                <w:sz w:val="17"/>
                <w:szCs w:val="17"/>
                <w:color w:val="auto"/>
              </w:rPr>
            </w:pPr>
          </w:p>
        </w:tc>
      </w:tr>
      <w:tr>
        <w:trPr>
          <w:trHeight w:val="211"/>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lien</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309,986,608</w:t>
            </w:r>
          </w:p>
        </w:tc>
        <w:tc>
          <w:tcPr>
            <w:tcW w:w="120" w:type="dxa"/>
            <w:vAlign w:val="bottom"/>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8"/>
              </w:rPr>
              <w:t>– 16.9% (8.1%)</w:t>
            </w:r>
          </w:p>
        </w:tc>
      </w:tr>
      <w:tr>
        <w:trPr>
          <w:trHeight w:val="211"/>
        </w:trPr>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Second Lien</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8,883,272</w:t>
            </w:r>
          </w:p>
        </w:tc>
        <w:tc>
          <w:tcPr>
            <w:tcW w:w="12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25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2080" w:type="dxa"/>
            <w:vAlign w:val="bottom"/>
            <w:gridSpan w:val="2"/>
            <w:shd w:val="clear" w:color="auto" w:fill="CFF0FC"/>
          </w:tcPr>
          <w:p>
            <w:pPr>
              <w:jc w:val="right"/>
              <w:ind w:right="537"/>
              <w:spacing w:after="0"/>
              <w:rPr>
                <w:sz w:val="20"/>
                <w:szCs w:val="20"/>
                <w:color w:val="auto"/>
              </w:rPr>
            </w:pPr>
            <w:r>
              <w:rPr>
                <w:rFonts w:ascii="Times New Roman" w:cs="Times New Roman" w:eastAsia="Times New Roman" w:hAnsi="Times New Roman"/>
                <w:sz w:val="17"/>
                <w:szCs w:val="17"/>
                <w:color w:val="auto"/>
              </w:rPr>
              <w:t>9.5% (8.5%)</w:t>
            </w:r>
          </w:p>
        </w:tc>
        <w:tc>
          <w:tcPr>
            <w:tcW w:w="60" w:type="dxa"/>
            <w:vAlign w:val="bottom"/>
            <w:shd w:val="clear" w:color="auto" w:fill="CFF0FC"/>
          </w:tcPr>
          <w:p>
            <w:pPr>
              <w:spacing w:after="0"/>
              <w:rPr>
                <w:sz w:val="18"/>
                <w:szCs w:val="18"/>
                <w:color w:val="auto"/>
              </w:rPr>
            </w:pPr>
          </w:p>
        </w:tc>
      </w:tr>
      <w:tr>
        <w:trPr>
          <w:trHeight w:val="211"/>
        </w:trPr>
        <w:tc>
          <w:tcPr>
            <w:tcW w:w="2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1,803,668</w:t>
            </w:r>
          </w:p>
        </w:tc>
        <w:tc>
          <w:tcPr>
            <w:tcW w:w="120" w:type="dxa"/>
            <w:vAlign w:val="bottom"/>
            <w:tcBorders>
              <w:bottom w:val="single" w:sz="8" w:color="CFF0FC"/>
            </w:tcBorders>
          </w:tcPr>
          <w:p>
            <w:pPr>
              <w:spacing w:after="0"/>
              <w:rPr>
                <w:sz w:val="18"/>
                <w:szCs w:val="18"/>
                <w:color w:val="auto"/>
              </w:rPr>
            </w:pPr>
          </w:p>
        </w:tc>
        <w:tc>
          <w:tcPr>
            <w:tcW w:w="226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Enterprise Market Value</w:t>
            </w:r>
          </w:p>
        </w:tc>
        <w:tc>
          <w:tcPr>
            <w:tcW w:w="254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EBITDA Multiple</w:t>
            </w:r>
          </w:p>
        </w:tc>
        <w:tc>
          <w:tcPr>
            <w:tcW w:w="68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jc w:val="right"/>
              <w:ind w:right="737"/>
              <w:spacing w:after="0"/>
              <w:rPr>
                <w:sz w:val="20"/>
                <w:szCs w:val="20"/>
                <w:color w:val="auto"/>
              </w:rPr>
            </w:pPr>
            <w:r>
              <w:rPr>
                <w:rFonts w:ascii="Times New Roman" w:cs="Times New Roman" w:eastAsia="Times New Roman" w:hAnsi="Times New Roman"/>
                <w:sz w:val="17"/>
                <w:szCs w:val="17"/>
                <w:color w:val="auto"/>
              </w:rPr>
              <w:t>9.50%</w:t>
            </w:r>
          </w:p>
        </w:tc>
        <w:tc>
          <w:tcPr>
            <w:tcW w:w="60" w:type="dxa"/>
            <w:vAlign w:val="bottom"/>
            <w:tcBorders>
              <w:bottom w:val="single" w:sz="8" w:color="CFF0FC"/>
            </w:tcBorders>
          </w:tcPr>
          <w:p>
            <w:pPr>
              <w:spacing w:after="0"/>
              <w:rPr>
                <w:sz w:val="18"/>
                <w:szCs w:val="18"/>
                <w:color w:val="auto"/>
              </w:rPr>
            </w:pPr>
          </w:p>
        </w:tc>
      </w:tr>
      <w:tr>
        <w:trPr>
          <w:trHeight w:val="203"/>
        </w:trPr>
        <w:tc>
          <w:tcPr>
            <w:tcW w:w="2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3 investments</w:t>
            </w: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392,986,090</w:t>
            </w:r>
          </w:p>
        </w:tc>
        <w:tc>
          <w:tcPr>
            <w:tcW w:w="120" w:type="dxa"/>
            <w:vAlign w:val="bottom"/>
            <w:tcBorders>
              <w:bottom w:val="single" w:sz="8" w:color="CFF0FC"/>
            </w:tcBorders>
            <w:shd w:val="clear" w:color="auto" w:fill="CFF0FC"/>
          </w:tcPr>
          <w:p>
            <w:pPr>
              <w:spacing w:after="0"/>
              <w:rPr>
                <w:sz w:val="17"/>
                <w:szCs w:val="17"/>
                <w:color w:val="auto"/>
              </w:rPr>
            </w:pPr>
          </w:p>
        </w:tc>
        <w:tc>
          <w:tcPr>
            <w:tcW w:w="2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4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589"/>
        </w:trPr>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Fair value at</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Range of Input</w:t>
            </w:r>
          </w:p>
        </w:tc>
      </w:tr>
      <w:tr>
        <w:trPr>
          <w:trHeight w:val="219"/>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220" w:type="dxa"/>
            <w:vAlign w:val="bottom"/>
          </w:tcPr>
          <w:p>
            <w:pPr>
              <w:spacing w:after="0"/>
              <w:rPr>
                <w:sz w:val="19"/>
                <w:szCs w:val="19"/>
                <w:color w:val="auto"/>
              </w:rPr>
            </w:pPr>
          </w:p>
        </w:tc>
        <w:tc>
          <w:tcPr>
            <w:tcW w:w="170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7"/>
              </w:rPr>
              <w:t>September 30, 2019</w:t>
            </w:r>
          </w:p>
        </w:tc>
        <w:tc>
          <w:tcPr>
            <w:tcW w:w="12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Valuation Technique</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Unobservable Input</w:t>
            </w:r>
          </w:p>
        </w:tc>
        <w:tc>
          <w:tcPr>
            <w:tcW w:w="2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6"/>
              </w:rPr>
              <w:t xml:space="preserve">(Weighted Average) </w:t>
            </w:r>
            <w:r>
              <w:rPr>
                <w:rFonts w:ascii="Times New Roman" w:cs="Times New Roman" w:eastAsia="Times New Roman" w:hAnsi="Times New Roman"/>
                <w:sz w:val="14"/>
                <w:szCs w:val="14"/>
                <w:b w:val="1"/>
                <w:bCs w:val="1"/>
                <w:color w:val="auto"/>
                <w:w w:val="96"/>
              </w:rPr>
              <w:t>(1)</w:t>
            </w:r>
          </w:p>
        </w:tc>
      </w:tr>
      <w:tr>
        <w:trPr>
          <w:trHeight w:val="203"/>
        </w:trPr>
        <w:tc>
          <w:tcPr>
            <w:tcW w:w="2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134,655,876</w:t>
            </w:r>
          </w:p>
        </w:tc>
        <w:tc>
          <w:tcPr>
            <w:tcW w:w="120" w:type="dxa"/>
            <w:vAlign w:val="bottom"/>
            <w:tcBorders>
              <w:top w:val="single" w:sz="8" w:color="CFF0FC"/>
            </w:tcBorders>
            <w:shd w:val="clear" w:color="auto" w:fill="CFF0FC"/>
          </w:tcPr>
          <w:p>
            <w:pPr>
              <w:spacing w:after="0"/>
              <w:rPr>
                <w:sz w:val="17"/>
                <w:szCs w:val="17"/>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60" w:type="dxa"/>
            <w:vAlign w:val="bottom"/>
            <w:tcBorders>
              <w:top w:val="single" w:sz="8" w:color="CFF0FC"/>
            </w:tcBorders>
            <w:shd w:val="clear" w:color="auto" w:fill="CFF0FC"/>
          </w:tcPr>
          <w:p>
            <w:pPr>
              <w:spacing w:after="0"/>
              <w:rPr>
                <w:sz w:val="17"/>
                <w:szCs w:val="17"/>
                <w:color w:val="auto"/>
              </w:rPr>
            </w:pPr>
          </w:p>
        </w:tc>
        <w:tc>
          <w:tcPr>
            <w:tcW w:w="2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Broker/Dealer bids or quotes</w:t>
            </w:r>
          </w:p>
        </w:tc>
        <w:tc>
          <w:tcPr>
            <w:tcW w:w="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center"/>
              <w:ind w:right="597"/>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tcBorders>
              <w:top w:val="single" w:sz="8" w:color="CFF0FC"/>
            </w:tcBorders>
            <w:shd w:val="clear" w:color="auto" w:fill="CFF0FC"/>
          </w:tcPr>
          <w:p>
            <w:pPr>
              <w:spacing w:after="0"/>
              <w:rPr>
                <w:sz w:val="17"/>
                <w:szCs w:val="17"/>
                <w:color w:val="auto"/>
              </w:rPr>
            </w:pPr>
          </w:p>
        </w:tc>
      </w:tr>
      <w:tr>
        <w:trPr>
          <w:trHeight w:val="211"/>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lien</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339,633,657</w:t>
            </w:r>
          </w:p>
        </w:tc>
        <w:tc>
          <w:tcPr>
            <w:tcW w:w="120" w:type="dxa"/>
            <w:vAlign w:val="bottom"/>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8"/>
              </w:rPr>
              <w:t>– 12.8% (7.5%)</w:t>
            </w:r>
          </w:p>
        </w:tc>
      </w:tr>
      <w:tr>
        <w:trPr>
          <w:trHeight w:val="211"/>
        </w:trPr>
        <w:tc>
          <w:tcPr>
            <w:tcW w:w="2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Second Lien</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12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w w:val="98"/>
              </w:rPr>
              <w:t>Market Comparable</w:t>
            </w:r>
          </w:p>
        </w:tc>
        <w:tc>
          <w:tcPr>
            <w:tcW w:w="25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w w:val="98"/>
              </w:rPr>
              <w:t>– 14.2% (10.1%)</w:t>
            </w:r>
          </w:p>
        </w:tc>
      </w:tr>
      <w:tr>
        <w:trPr>
          <w:trHeight w:val="211"/>
        </w:trPr>
        <w:tc>
          <w:tcPr>
            <w:tcW w:w="2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20" w:type="dxa"/>
            <w:vAlign w:val="bottom"/>
            <w:tcBorders>
              <w:bottom w:val="single" w:sz="8" w:color="CFF0FC"/>
            </w:tcBorders>
          </w:tcPr>
          <w:p>
            <w:pPr>
              <w:spacing w:after="0"/>
              <w:rPr>
                <w:sz w:val="18"/>
                <w:szCs w:val="18"/>
                <w:color w:val="auto"/>
              </w:rPr>
            </w:pPr>
          </w:p>
        </w:tc>
        <w:tc>
          <w:tcPr>
            <w:tcW w:w="226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Enterprise Market Value</w:t>
            </w:r>
          </w:p>
        </w:tc>
        <w:tc>
          <w:tcPr>
            <w:tcW w:w="254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EBITDA Multiple</w:t>
            </w:r>
          </w:p>
        </w:tc>
        <w:tc>
          <w:tcPr>
            <w:tcW w:w="68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jc w:val="right"/>
              <w:ind w:right="697"/>
              <w:spacing w:after="0"/>
              <w:rPr>
                <w:sz w:val="20"/>
                <w:szCs w:val="20"/>
                <w:color w:val="auto"/>
              </w:rPr>
            </w:pPr>
            <w:r>
              <w:rPr>
                <w:rFonts w:ascii="Times New Roman" w:cs="Times New Roman" w:eastAsia="Times New Roman" w:hAnsi="Times New Roman"/>
                <w:sz w:val="17"/>
                <w:szCs w:val="17"/>
                <w:color w:val="auto"/>
              </w:rPr>
              <w:t>10.90%</w:t>
            </w:r>
          </w:p>
        </w:tc>
        <w:tc>
          <w:tcPr>
            <w:tcW w:w="60" w:type="dxa"/>
            <w:vAlign w:val="bottom"/>
            <w:tcBorders>
              <w:bottom w:val="single" w:sz="8" w:color="CFF0FC"/>
            </w:tcBorders>
          </w:tcPr>
          <w:p>
            <w:pPr>
              <w:spacing w:after="0"/>
              <w:rPr>
                <w:sz w:val="18"/>
                <w:szCs w:val="18"/>
                <w:color w:val="auto"/>
              </w:rPr>
            </w:pPr>
          </w:p>
        </w:tc>
      </w:tr>
      <w:tr>
        <w:trPr>
          <w:trHeight w:val="203"/>
        </w:trPr>
        <w:tc>
          <w:tcPr>
            <w:tcW w:w="2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3 investments</w:t>
            </w: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20" w:type="dxa"/>
            <w:vAlign w:val="bottom"/>
            <w:tcBorders>
              <w:bottom w:val="single" w:sz="8" w:color="CFF0FC"/>
            </w:tcBorders>
            <w:shd w:val="clear" w:color="auto" w:fill="CFF0FC"/>
          </w:tcPr>
          <w:p>
            <w:pPr>
              <w:spacing w:after="0"/>
              <w:rPr>
                <w:sz w:val="17"/>
                <w:szCs w:val="17"/>
                <w:color w:val="auto"/>
              </w:rPr>
            </w:pPr>
          </w:p>
        </w:tc>
        <w:tc>
          <w:tcPr>
            <w:tcW w:w="2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4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17" w:lineRule="exact"/>
        <w:rPr>
          <w:sz w:val="20"/>
          <w:szCs w:val="20"/>
          <w:color w:val="auto"/>
        </w:rPr>
      </w:pPr>
    </w:p>
    <w:p>
      <w:pPr>
        <w:ind w:left="381" w:hanging="381"/>
        <w:spacing w:after="0"/>
        <w:tabs>
          <w:tab w:leader="none" w:pos="381" w:val="left"/>
        </w:tabs>
        <w:numPr>
          <w:ilvl w:val="0"/>
          <w:numId w:val="125"/>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weighted averages disclosed in the table above were weighted by their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80" w:type="dxa"/>
            <w:vAlign w:val="bottom"/>
            <w:gridSpan w:val="11"/>
          </w:tcPr>
          <w:p>
            <w:pPr>
              <w:ind w:left="460"/>
              <w:spacing w:after="0"/>
              <w:rPr>
                <w:sz w:val="20"/>
                <w:szCs w:val="20"/>
                <w:color w:val="auto"/>
              </w:rPr>
            </w:pPr>
            <w:r>
              <w:rPr>
                <w:rFonts w:ascii="Times New Roman" w:cs="Times New Roman" w:eastAsia="Times New Roman" w:hAnsi="Times New Roman"/>
                <w:sz w:val="17"/>
                <w:szCs w:val="17"/>
                <w:color w:val="auto"/>
              </w:rPr>
              <w:t>Our investments, cash and cash equivalents were categorized as follows in the fair value hierarchy for ASC 820 purposes: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8"/>
        </w:trPr>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 at September 30, 2020</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0" w:type="dxa"/>
            <w:vAlign w:val="bottom"/>
          </w:tcPr>
          <w:p>
            <w:pPr>
              <w:spacing w:after="0"/>
              <w:rPr>
                <w:sz w:val="17"/>
                <w:szCs w:val="17"/>
                <w:color w:val="auto"/>
              </w:rPr>
            </w:pPr>
          </w:p>
        </w:tc>
        <w:tc>
          <w:tcPr>
            <w:tcW w:w="12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60" w:type="dxa"/>
            <w:vAlign w:val="bottom"/>
          </w:tcPr>
          <w:p>
            <w:pPr>
              <w:spacing w:after="0"/>
              <w:rPr>
                <w:sz w:val="17"/>
                <w:szCs w:val="17"/>
                <w:color w:val="auto"/>
              </w:rPr>
            </w:pPr>
          </w:p>
        </w:tc>
      </w:tr>
      <w:tr>
        <w:trPr>
          <w:trHeight w:val="203"/>
        </w:trPr>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382,299,150</w:t>
            </w:r>
          </w:p>
        </w:tc>
        <w:tc>
          <w:tcPr>
            <w:tcW w:w="340" w:type="dxa"/>
            <w:vAlign w:val="bottom"/>
            <w:tcBorders>
              <w:top w:val="single" w:sz="8" w:color="CFF0FC"/>
            </w:tcBorders>
            <w:gridSpan w:val="2"/>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FF0FC"/>
            </w:tcBorders>
            <w:gridSpan w:val="2"/>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10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382,299,150</w:t>
            </w:r>
          </w:p>
        </w:tc>
        <w:tc>
          <w:tcPr>
            <w:tcW w:w="60" w:type="dxa"/>
            <w:vAlign w:val="bottom"/>
            <w:tcBorders>
              <w:top w:val="single" w:sz="8" w:color="CFF0FC"/>
            </w:tcBorders>
            <w:shd w:val="clear" w:color="auto" w:fill="CFF0FC"/>
          </w:tcPr>
          <w:p>
            <w:pPr>
              <w:spacing w:after="0"/>
              <w:rPr>
                <w:sz w:val="17"/>
                <w:szCs w:val="17"/>
                <w:color w:val="auto"/>
              </w:rPr>
            </w:pPr>
          </w:p>
        </w:tc>
      </w:tr>
      <w:tr>
        <w:trPr>
          <w:trHeight w:val="211"/>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Second Lien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8,883,272</w:t>
            </w:r>
          </w:p>
        </w:tc>
        <w:tc>
          <w:tcPr>
            <w:tcW w:w="60" w:type="dxa"/>
            <w:vAlign w:val="bottom"/>
          </w:tcPr>
          <w:p>
            <w:pPr>
              <w:spacing w:after="0"/>
              <w:rPr>
                <w:sz w:val="18"/>
                <w:szCs w:val="18"/>
                <w:color w:val="auto"/>
              </w:rPr>
            </w:pPr>
          </w:p>
        </w:tc>
      </w:tr>
      <w:tr>
        <w:trPr>
          <w:trHeight w:val="211"/>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1,803,668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1,803,668</w:t>
            </w:r>
          </w:p>
        </w:tc>
        <w:tc>
          <w:tcPr>
            <w:tcW w:w="60" w:type="dxa"/>
            <w:vAlign w:val="bottom"/>
            <w:shd w:val="clear" w:color="auto" w:fill="CFF0FC"/>
          </w:tcPr>
          <w:p>
            <w:pPr>
              <w:spacing w:after="0"/>
              <w:rPr>
                <w:sz w:val="18"/>
                <w:szCs w:val="18"/>
                <w:color w:val="auto"/>
              </w:rPr>
            </w:pPr>
          </w:p>
        </w:tc>
      </w:tr>
      <w:tr>
        <w:trPr>
          <w:trHeight w:val="203"/>
        </w:trPr>
        <w:tc>
          <w:tcPr>
            <w:tcW w:w="44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392,986,090</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392,986,090</w:t>
            </w:r>
          </w:p>
        </w:tc>
        <w:tc>
          <w:tcPr>
            <w:tcW w:w="60" w:type="dxa"/>
            <w:vAlign w:val="bottom"/>
            <w:tcBorders>
              <w:bottom w:val="single" w:sz="8" w:color="CFF0FC"/>
            </w:tcBorders>
          </w:tcPr>
          <w:p>
            <w:pPr>
              <w:spacing w:after="0"/>
              <w:rPr>
                <w:sz w:val="17"/>
                <w:szCs w:val="17"/>
                <w:color w:val="auto"/>
              </w:rPr>
            </w:pPr>
          </w:p>
        </w:tc>
      </w:tr>
      <w:tr>
        <w:trPr>
          <w:trHeight w:val="203"/>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11,121,479</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11,121,479</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7"/>
                <w:szCs w:val="17"/>
                <w:color w:val="auto"/>
              </w:rPr>
            </w:pPr>
          </w:p>
        </w:tc>
      </w:tr>
      <w:tr>
        <w:trPr>
          <w:trHeight w:val="20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investments, cash and cash equivalents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404,107,569</w:t>
            </w:r>
          </w:p>
        </w:tc>
        <w:tc>
          <w:tcPr>
            <w:tcW w:w="100" w:type="dxa"/>
            <w:vAlign w:val="bottom"/>
          </w:tcPr>
          <w:p>
            <w:pPr>
              <w:spacing w:after="0"/>
              <w:rPr>
                <w:sz w:val="17"/>
                <w:szCs w:val="17"/>
                <w:color w:val="auto"/>
              </w:rPr>
            </w:pP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11,121,479</w:t>
            </w:r>
          </w:p>
        </w:tc>
        <w:tc>
          <w:tcPr>
            <w:tcW w:w="100" w:type="dxa"/>
            <w:vAlign w:val="bottom"/>
          </w:tcPr>
          <w:p>
            <w:pPr>
              <w:spacing w:after="0"/>
              <w:rPr>
                <w:sz w:val="17"/>
                <w:szCs w:val="17"/>
                <w:color w:val="auto"/>
              </w:rPr>
            </w:pPr>
          </w:p>
        </w:tc>
        <w:tc>
          <w:tcPr>
            <w:tcW w:w="1420" w:type="dxa"/>
            <w:vAlign w:val="bottom"/>
            <w:gridSpan w:val="2"/>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392,986,090</w:t>
            </w:r>
          </w:p>
        </w:tc>
        <w:tc>
          <w:tcPr>
            <w:tcW w:w="6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 at September 30, 2019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0" w:type="dxa"/>
            <w:vAlign w:val="bottom"/>
          </w:tcPr>
          <w:p>
            <w:pPr>
              <w:spacing w:after="0"/>
              <w:rPr>
                <w:sz w:val="17"/>
                <w:szCs w:val="17"/>
                <w:color w:val="auto"/>
              </w:rPr>
            </w:pPr>
          </w:p>
        </w:tc>
        <w:tc>
          <w:tcPr>
            <w:tcW w:w="12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60" w:type="dxa"/>
            <w:vAlign w:val="bottom"/>
          </w:tcPr>
          <w:p>
            <w:pPr>
              <w:spacing w:after="0"/>
              <w:rPr>
                <w:sz w:val="17"/>
                <w:szCs w:val="17"/>
                <w:color w:val="auto"/>
              </w:rPr>
            </w:pPr>
          </w:p>
        </w:tc>
      </w:tr>
      <w:tr>
        <w:trPr>
          <w:trHeight w:val="203"/>
        </w:trPr>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474,289,533</w:t>
            </w:r>
          </w:p>
        </w:tc>
        <w:tc>
          <w:tcPr>
            <w:tcW w:w="340" w:type="dxa"/>
            <w:vAlign w:val="bottom"/>
            <w:tcBorders>
              <w:top w:val="single" w:sz="8" w:color="CFF0FC"/>
            </w:tcBorders>
            <w:gridSpan w:val="2"/>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FF0FC"/>
            </w:tcBorders>
            <w:gridSpan w:val="2"/>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10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474,289,533</w:t>
            </w:r>
          </w:p>
        </w:tc>
        <w:tc>
          <w:tcPr>
            <w:tcW w:w="60" w:type="dxa"/>
            <w:vAlign w:val="bottom"/>
            <w:tcBorders>
              <w:top w:val="single" w:sz="8" w:color="CFF0FC"/>
            </w:tcBorders>
            <w:shd w:val="clear" w:color="auto" w:fill="CFF0FC"/>
          </w:tcPr>
          <w:p>
            <w:pPr>
              <w:spacing w:after="0"/>
              <w:rPr>
                <w:sz w:val="17"/>
                <w:szCs w:val="17"/>
                <w:color w:val="auto"/>
              </w:rPr>
            </w:pPr>
          </w:p>
        </w:tc>
      </w:tr>
      <w:tr>
        <w:trPr>
          <w:trHeight w:val="211"/>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Second Lien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60" w:type="dxa"/>
            <w:vAlign w:val="bottom"/>
          </w:tcPr>
          <w:p>
            <w:pPr>
              <w:spacing w:after="0"/>
              <w:rPr>
                <w:sz w:val="18"/>
                <w:szCs w:val="18"/>
                <w:color w:val="auto"/>
              </w:rPr>
            </w:pPr>
          </w:p>
        </w:tc>
      </w:tr>
      <w:tr>
        <w:trPr>
          <w:trHeight w:val="211"/>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60" w:type="dxa"/>
            <w:vAlign w:val="bottom"/>
            <w:shd w:val="clear" w:color="auto" w:fill="CFF0FC"/>
          </w:tcPr>
          <w:p>
            <w:pPr>
              <w:spacing w:after="0"/>
              <w:rPr>
                <w:sz w:val="18"/>
                <w:szCs w:val="18"/>
                <w:color w:val="auto"/>
              </w:rPr>
            </w:pPr>
          </w:p>
        </w:tc>
      </w:tr>
      <w:tr>
        <w:trPr>
          <w:trHeight w:val="203"/>
        </w:trPr>
        <w:tc>
          <w:tcPr>
            <w:tcW w:w="44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60" w:type="dxa"/>
            <w:vAlign w:val="bottom"/>
            <w:tcBorders>
              <w:bottom w:val="single" w:sz="8" w:color="CFF0FC"/>
            </w:tcBorders>
          </w:tcPr>
          <w:p>
            <w:pPr>
              <w:spacing w:after="0"/>
              <w:rPr>
                <w:sz w:val="17"/>
                <w:szCs w:val="17"/>
                <w:color w:val="auto"/>
              </w:rPr>
            </w:pPr>
          </w:p>
        </w:tc>
      </w:tr>
      <w:tr>
        <w:trPr>
          <w:trHeight w:val="203"/>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7"/>
                <w:szCs w:val="17"/>
                <w:color w:val="auto"/>
              </w:rPr>
            </w:pPr>
          </w:p>
        </w:tc>
      </w:tr>
      <w:tr>
        <w:trPr>
          <w:trHeight w:val="203"/>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investments, cash and cash equivalents</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503,844,728</w:t>
            </w:r>
          </w:p>
        </w:tc>
        <w:tc>
          <w:tcPr>
            <w:tcW w:w="100" w:type="dxa"/>
            <w:vAlign w:val="bottom"/>
          </w:tcPr>
          <w:p>
            <w:pPr>
              <w:spacing w:after="0"/>
              <w:rPr>
                <w:sz w:val="17"/>
                <w:szCs w:val="17"/>
                <w:color w:val="auto"/>
              </w:rPr>
            </w:pPr>
          </w:p>
        </w:tc>
        <w:tc>
          <w:tcPr>
            <w:tcW w:w="4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00" w:type="dxa"/>
            <w:vAlign w:val="bottom"/>
          </w:tcPr>
          <w:p>
            <w:pPr>
              <w:spacing w:after="0"/>
              <w:rPr>
                <w:sz w:val="17"/>
                <w:szCs w:val="17"/>
                <w:color w:val="auto"/>
              </w:rPr>
            </w:pPr>
          </w:p>
        </w:tc>
        <w:tc>
          <w:tcPr>
            <w:tcW w:w="1420" w:type="dxa"/>
            <w:vAlign w:val="bottom"/>
            <w:gridSpan w:val="2"/>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6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tables below show a reconciliation of the beginning and ending balances for fair valued investments measured using significant unobservable inputs (Level 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8"/>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For the Year Ended September 30, 2020</w:t>
            </w: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Debt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 Investments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8"/>
                <w:szCs w:val="18"/>
                <w:color w:val="auto"/>
              </w:rPr>
            </w:pPr>
          </w:p>
        </w:tc>
      </w:tr>
      <w:tr>
        <w:trPr>
          <w:trHeight w:val="203"/>
        </w:trPr>
        <w:tc>
          <w:tcPr>
            <w:tcW w:w="512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tcBorders>
              <w:top w:val="single" w:sz="8" w:color="CCECFF"/>
            </w:tcBorders>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482,744,879</w:t>
            </w:r>
          </w:p>
        </w:tc>
        <w:tc>
          <w:tcPr>
            <w:tcW w:w="12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40" w:type="dxa"/>
            <w:vAlign w:val="bottom"/>
            <w:tcBorders>
              <w:top w:val="single" w:sz="8" w:color="CCECFF"/>
            </w:tcBorders>
            <w:shd w:val="clear" w:color="auto" w:fill="CCECFF"/>
          </w:tcPr>
          <w:p>
            <w:pPr>
              <w:spacing w:after="0"/>
              <w:rPr>
                <w:sz w:val="17"/>
                <w:szCs w:val="17"/>
                <w:color w:val="auto"/>
              </w:rPr>
            </w:pPr>
          </w:p>
        </w:tc>
        <w:tc>
          <w:tcPr>
            <w:tcW w:w="80" w:type="dxa"/>
            <w:vAlign w:val="bottom"/>
            <w:tcBorders>
              <w:top w:val="single" w:sz="8" w:color="CCECFF"/>
            </w:tcBorders>
            <w:shd w:val="clear" w:color="auto" w:fill="CCECFF"/>
          </w:tcPr>
          <w:p>
            <w:pPr>
              <w:spacing w:after="0"/>
              <w:rPr>
                <w:sz w:val="17"/>
                <w:szCs w:val="17"/>
                <w:color w:val="auto"/>
              </w:rPr>
            </w:pPr>
          </w:p>
        </w:tc>
        <w:tc>
          <w:tcPr>
            <w:tcW w:w="500" w:type="dxa"/>
            <w:vAlign w:val="bottom"/>
            <w:tcBorders>
              <w:top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60" w:type="dxa"/>
            <w:vAlign w:val="bottom"/>
            <w:tcBorders>
              <w:top w:val="single" w:sz="8" w:color="CCECFF"/>
            </w:tcBorders>
            <w:shd w:val="clear" w:color="auto" w:fill="CCECFF"/>
          </w:tcPr>
          <w:p>
            <w:pPr>
              <w:spacing w:after="0"/>
              <w:rPr>
                <w:sz w:val="17"/>
                <w:szCs w:val="17"/>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(2,098,244)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(2,098,244)</w:t>
            </w: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unrealized depreciation</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(5,400,669)</w:t>
            </w: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7"/>
                <w:szCs w:val="17"/>
                <w:color w:val="auto"/>
              </w:rPr>
              <w:t>(4,001,300)</w:t>
            </w:r>
          </w:p>
        </w:tc>
        <w:tc>
          <w:tcPr>
            <w:tcW w:w="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(9,401,969)</w:t>
            </w: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net discount accretion and non-cash exchanges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88,524,399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88,524,399</w:t>
            </w:r>
          </w:p>
        </w:tc>
        <w:tc>
          <w:tcPr>
            <w:tcW w:w="60" w:type="dxa"/>
            <w:vAlign w:val="bottom"/>
          </w:tcPr>
          <w:p>
            <w:pPr>
              <w:spacing w:after="0"/>
              <w:rPr>
                <w:sz w:val="18"/>
                <w:szCs w:val="18"/>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Sales, repayments and non-cash exchanges</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(172,587,943)</w:t>
            </w: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(172,587,943)</w:t>
            </w: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 into and/or out of Level 3</w:t>
            </w: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2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391,182,422</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1,803,668</w:t>
            </w:r>
          </w:p>
        </w:tc>
        <w:tc>
          <w:tcPr>
            <w:tcW w:w="140" w:type="dxa"/>
            <w:vAlign w:val="bottom"/>
            <w:tcBorders>
              <w:top w:val="single" w:sz="8" w:color="CCECFF"/>
              <w:bottom w:val="single" w:sz="8" w:color="CCECFF"/>
            </w:tcBorders>
            <w:shd w:val="clear" w:color="auto" w:fill="CCECFF"/>
          </w:tcPr>
          <w:p>
            <w:pPr>
              <w:spacing w:after="0"/>
              <w:rPr>
                <w:sz w:val="17"/>
                <w:szCs w:val="17"/>
                <w:color w:val="auto"/>
              </w:rPr>
            </w:pPr>
          </w:p>
        </w:tc>
        <w:tc>
          <w:tcPr>
            <w:tcW w:w="80" w:type="dxa"/>
            <w:vAlign w:val="bottom"/>
            <w:tcBorders>
              <w:top w:val="single" w:sz="8" w:color="CCECFF"/>
              <w:bottom w:val="single" w:sz="8" w:color="CCECFF"/>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392,986,090</w:t>
            </w:r>
          </w:p>
        </w:tc>
        <w:tc>
          <w:tcPr>
            <w:tcW w:w="60" w:type="dxa"/>
            <w:vAlign w:val="bottom"/>
            <w:tcBorders>
              <w:top w:val="single" w:sz="8" w:color="CCECFF"/>
              <w:bottom w:val="single" w:sz="8" w:color="CCECFF"/>
            </w:tcBorders>
            <w:shd w:val="clear" w:color="auto" w:fill="CCECFF"/>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8"/>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For the Year Ended September 30, 2019</w:t>
            </w: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Debt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 Investments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18"/>
                <w:szCs w:val="18"/>
                <w:color w:val="auto"/>
              </w:rPr>
            </w:pPr>
          </w:p>
        </w:tc>
      </w:tr>
      <w:tr>
        <w:trPr>
          <w:trHeight w:val="203"/>
        </w:trPr>
        <w:tc>
          <w:tcPr>
            <w:tcW w:w="512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tcBorders>
              <w:top w:val="single" w:sz="8" w:color="CCECFF"/>
            </w:tcBorders>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CFF"/>
            </w:tcBorders>
            <w:shd w:val="clear" w:color="auto" w:fill="CCECFF"/>
          </w:tcPr>
          <w:p>
            <w:pPr>
              <w:spacing w:after="0"/>
              <w:rPr>
                <w:sz w:val="17"/>
                <w:szCs w:val="17"/>
                <w:color w:val="auto"/>
              </w:rPr>
            </w:pPr>
          </w:p>
        </w:tc>
        <w:tc>
          <w:tcPr>
            <w:tcW w:w="80" w:type="dxa"/>
            <w:vAlign w:val="bottom"/>
            <w:tcBorders>
              <w:top w:val="single" w:sz="8" w:color="CCECFF"/>
            </w:tcBorders>
            <w:shd w:val="clear" w:color="auto" w:fill="CCECFF"/>
          </w:tcPr>
          <w:p>
            <w:pPr>
              <w:spacing w:after="0"/>
              <w:rPr>
                <w:sz w:val="17"/>
                <w:szCs w:val="17"/>
                <w:color w:val="auto"/>
              </w:rPr>
            </w:pPr>
          </w:p>
        </w:tc>
        <w:tc>
          <w:tcPr>
            <w:tcW w:w="500" w:type="dxa"/>
            <w:vAlign w:val="bottom"/>
            <w:tcBorders>
              <w:top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60" w:type="dxa"/>
            <w:vAlign w:val="bottom"/>
            <w:tcBorders>
              <w:top w:val="single" w:sz="8" w:color="CCECFF"/>
            </w:tcBorders>
            <w:shd w:val="clear" w:color="auto" w:fill="CCECFF"/>
          </w:tcPr>
          <w:p>
            <w:pPr>
              <w:spacing w:after="0"/>
              <w:rPr>
                <w:sz w:val="17"/>
                <w:szCs w:val="17"/>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(850,892)</w:t>
            </w: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unrealized depreciation</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(4,769,047)</w:t>
            </w: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7"/>
                <w:szCs w:val="17"/>
                <w:color w:val="auto"/>
              </w:rPr>
              <w:t>(1,178,969)</w:t>
            </w:r>
          </w:p>
        </w:tc>
        <w:tc>
          <w:tcPr>
            <w:tcW w:w="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(5,948,016)</w:t>
            </w: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net discount accretion and non-cash exchanges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222,874,229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6,983,937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229,858,166</w:t>
            </w:r>
          </w:p>
        </w:tc>
        <w:tc>
          <w:tcPr>
            <w:tcW w:w="60" w:type="dxa"/>
            <w:vAlign w:val="bottom"/>
          </w:tcPr>
          <w:p>
            <w:pPr>
              <w:spacing w:after="0"/>
              <w:rPr>
                <w:sz w:val="18"/>
                <w:szCs w:val="18"/>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Sales, repayments and non-cash exchanges</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(159,930,292)</w:t>
            </w: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7"/>
                <w:szCs w:val="17"/>
                <w:color w:val="auto"/>
              </w:rPr>
              <w:t>(159,930,292)</w:t>
            </w: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 into and/or out of Level 3</w:t>
            </w: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2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482,744,879</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40" w:type="dxa"/>
            <w:vAlign w:val="bottom"/>
            <w:tcBorders>
              <w:top w:val="single" w:sz="8" w:color="CCECFF"/>
              <w:bottom w:val="single" w:sz="8" w:color="CCECFF"/>
            </w:tcBorders>
            <w:shd w:val="clear" w:color="auto" w:fill="CCECFF"/>
          </w:tcPr>
          <w:p>
            <w:pPr>
              <w:spacing w:after="0"/>
              <w:rPr>
                <w:sz w:val="17"/>
                <w:szCs w:val="17"/>
                <w:color w:val="auto"/>
              </w:rPr>
            </w:pPr>
          </w:p>
        </w:tc>
        <w:tc>
          <w:tcPr>
            <w:tcW w:w="80" w:type="dxa"/>
            <w:vAlign w:val="bottom"/>
            <w:tcBorders>
              <w:top w:val="single" w:sz="8" w:color="CCECFF"/>
              <w:bottom w:val="single" w:sz="8" w:color="CCECFF"/>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60" w:type="dxa"/>
            <w:vAlign w:val="bottom"/>
            <w:tcBorders>
              <w:top w:val="single" w:sz="8" w:color="CCECFF"/>
              <w:bottom w:val="single" w:sz="8" w:color="CCECFF"/>
            </w:tcBorders>
            <w:shd w:val="clear" w:color="auto" w:fill="CCECFF"/>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4"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As of September 30, 2020, we had outstanding non-U.S. dollar borrowings on our Credit Facility. Net change in fair value from foreign currency translation on outstanding borrowings is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40" w:type="dxa"/>
            <w:vAlign w:val="bottom"/>
          </w:tcPr>
          <w:p>
            <w:pPr>
              <w:spacing w:after="0"/>
              <w:rPr>
                <w:sz w:val="17"/>
                <w:szCs w:val="17"/>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Amount Borrowed</w:t>
            </w:r>
          </w:p>
        </w:tc>
        <w:tc>
          <w:tcPr>
            <w:tcW w:w="280" w:type="dxa"/>
            <w:vAlign w:val="bottom"/>
          </w:tcPr>
          <w:p>
            <w:pPr>
              <w:spacing w:after="0"/>
              <w:rPr>
                <w:sz w:val="17"/>
                <w:szCs w:val="17"/>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Borrowing Cost</w:t>
            </w:r>
          </w:p>
        </w:tc>
        <w:tc>
          <w:tcPr>
            <w:tcW w:w="140" w:type="dxa"/>
            <w:vAlign w:val="bottom"/>
          </w:tcPr>
          <w:p>
            <w:pPr>
              <w:spacing w:after="0"/>
              <w:rPr>
                <w:sz w:val="17"/>
                <w:szCs w:val="17"/>
                <w:color w:val="auto"/>
              </w:rPr>
            </w:pPr>
          </w:p>
        </w:tc>
        <w:tc>
          <w:tcPr>
            <w:tcW w:w="128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Current Value</w:t>
            </w:r>
          </w:p>
        </w:tc>
        <w:tc>
          <w:tcPr>
            <w:tcW w:w="260" w:type="dxa"/>
            <w:vAlign w:val="bottom"/>
          </w:tcPr>
          <w:p>
            <w:pPr>
              <w:spacing w:after="0"/>
              <w:rPr>
                <w:sz w:val="17"/>
                <w:szCs w:val="17"/>
                <w:color w:val="auto"/>
              </w:rPr>
            </w:pPr>
          </w:p>
        </w:tc>
        <w:tc>
          <w:tcPr>
            <w:tcW w:w="2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Reset Date</w:t>
            </w:r>
          </w:p>
        </w:tc>
        <w:tc>
          <w:tcPr>
            <w:tcW w:w="1300" w:type="dxa"/>
            <w:vAlign w:val="bottom"/>
            <w:gridSpan w:val="3"/>
          </w:tcPr>
          <w:p>
            <w:pPr>
              <w:jc w:val="center"/>
              <w:ind w:right="43"/>
              <w:spacing w:after="0"/>
              <w:rPr>
                <w:sz w:val="20"/>
                <w:szCs w:val="20"/>
                <w:color w:val="auto"/>
              </w:rPr>
            </w:pPr>
            <w:r>
              <w:rPr>
                <w:rFonts w:ascii="Times New Roman" w:cs="Times New Roman" w:eastAsia="Times New Roman" w:hAnsi="Times New Roman"/>
                <w:sz w:val="17"/>
                <w:szCs w:val="17"/>
                <w:b w:val="1"/>
                <w:bCs w:val="1"/>
                <w:color w:val="auto"/>
                <w:w w:val="96"/>
              </w:rPr>
              <w:t>Change in Fair</w:t>
            </w:r>
          </w:p>
        </w:tc>
        <w:tc>
          <w:tcPr>
            <w:tcW w:w="0" w:type="dxa"/>
            <w:vAlign w:val="bottom"/>
          </w:tcPr>
          <w:p>
            <w:pPr>
              <w:spacing w:after="0"/>
              <w:rPr>
                <w:sz w:val="1"/>
                <w:szCs w:val="1"/>
                <w:color w:val="auto"/>
              </w:rPr>
            </w:pPr>
          </w:p>
        </w:tc>
      </w:tr>
      <w:tr>
        <w:trPr>
          <w:trHeight w:val="120"/>
        </w:trPr>
        <w:tc>
          <w:tcPr>
            <w:tcW w:w="2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8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Australian Dollar</w:t>
            </w:r>
          </w:p>
        </w:tc>
        <w:tc>
          <w:tcPr>
            <w:tcW w:w="240" w:type="dxa"/>
            <w:vAlign w:val="bottom"/>
            <w:tcBorders>
              <w:top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7"/>
                <w:szCs w:val="17"/>
                <w:color w:val="auto"/>
                <w:w w:val="81"/>
              </w:rPr>
              <w:t>A</w:t>
            </w:r>
          </w:p>
        </w:tc>
        <w:tc>
          <w:tcPr>
            <w:tcW w:w="400" w:type="dxa"/>
            <w:vAlign w:val="bottom"/>
            <w:tcBorders>
              <w:top w:val="single" w:sz="8" w:color="auto"/>
            </w:tcBorders>
            <w:shd w:val="clear" w:color="auto" w:fill="CCEC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9,700,000</w:t>
            </w:r>
          </w:p>
        </w:tc>
        <w:tc>
          <w:tcPr>
            <w:tcW w:w="280" w:type="dxa"/>
            <w:vAlign w:val="bottom"/>
            <w:tcBorders>
              <w:top w:val="single" w:sz="8" w:color="CCECFF"/>
            </w:tcBorders>
            <w:shd w:val="clear" w:color="auto" w:fill="CCECFF"/>
          </w:tcPr>
          <w:p>
            <w:pPr>
              <w:spacing w:after="0"/>
              <w:rPr>
                <w:sz w:val="17"/>
                <w:szCs w:val="17"/>
                <w:color w:val="auto"/>
              </w:rPr>
            </w:pPr>
          </w:p>
        </w:tc>
        <w:tc>
          <w:tcPr>
            <w:tcW w:w="300" w:type="dxa"/>
            <w:vAlign w:val="bottom"/>
            <w:tcBorders>
              <w:top w:val="single" w:sz="8" w:color="auto"/>
            </w:tcBorders>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7,314,285</w:t>
            </w:r>
          </w:p>
        </w:tc>
        <w:tc>
          <w:tcPr>
            <w:tcW w:w="260" w:type="dxa"/>
            <w:vAlign w:val="bottom"/>
            <w:tcBorders>
              <w:top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6,952,475</w:t>
            </w:r>
          </w:p>
        </w:tc>
        <w:tc>
          <w:tcPr>
            <w:tcW w:w="260" w:type="dxa"/>
            <w:vAlign w:val="bottom"/>
            <w:tcBorders>
              <w:top w:val="single" w:sz="8" w:color="CCECFF"/>
            </w:tcBorders>
            <w:shd w:val="clear" w:color="auto" w:fill="CCECFF"/>
          </w:tcPr>
          <w:p>
            <w:pPr>
              <w:spacing w:after="0"/>
              <w:rPr>
                <w:sz w:val="17"/>
                <w:szCs w:val="17"/>
                <w:color w:val="auto"/>
              </w:rPr>
            </w:pPr>
          </w:p>
        </w:tc>
        <w:tc>
          <w:tcPr>
            <w:tcW w:w="22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November 30, 2020</w:t>
            </w:r>
          </w:p>
        </w:tc>
        <w:tc>
          <w:tcPr>
            <w:tcW w:w="180" w:type="dxa"/>
            <w:vAlign w:val="bottom"/>
            <w:tcBorders>
              <w:top w:val="single" w:sz="8" w:color="CCECFF"/>
            </w:tcBorders>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ind w:left="360"/>
              <w:spacing w:after="0"/>
              <w:rPr>
                <w:sz w:val="20"/>
                <w:szCs w:val="20"/>
                <w:color w:val="auto"/>
              </w:rPr>
            </w:pPr>
            <w:r>
              <w:rPr>
                <w:rFonts w:ascii="Times New Roman" w:cs="Times New Roman" w:eastAsia="Times New Roman" w:hAnsi="Times New Roman"/>
                <w:sz w:val="17"/>
                <w:szCs w:val="17"/>
                <w:color w:val="auto"/>
                <w:w w:val="95"/>
              </w:rPr>
              <w:t>(361,810</w:t>
            </w:r>
          </w:p>
        </w:tc>
        <w:tc>
          <w:tcPr>
            <w:tcW w:w="10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w:t>
            </w:r>
          </w:p>
        </w:tc>
        <w:tc>
          <w:tcPr>
            <w:tcW w:w="64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color w:val="auto"/>
              </w:rPr>
              <w:t>C$</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4,544,218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4,416,994</w:t>
            </w:r>
          </w:p>
        </w:tc>
        <w:tc>
          <w:tcPr>
            <w:tcW w:w="26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November 30, 2020</w:t>
            </w:r>
          </w:p>
        </w:tc>
        <w:tc>
          <w:tcPr>
            <w:tcW w:w="24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(127,223)</w:t>
            </w:r>
          </w:p>
        </w:tc>
        <w:tc>
          <w:tcPr>
            <w:tcW w:w="0" w:type="dxa"/>
            <w:vAlign w:val="bottom"/>
          </w:tcPr>
          <w:p>
            <w:pPr>
              <w:spacing w:after="0"/>
              <w:rPr>
                <w:sz w:val="1"/>
                <w:szCs w:val="1"/>
                <w:color w:val="auto"/>
              </w:rPr>
            </w:pPr>
          </w:p>
        </w:tc>
      </w:tr>
      <w:tr>
        <w:trPr>
          <w:trHeight w:val="203"/>
        </w:trPr>
        <w:tc>
          <w:tcPr>
            <w:tcW w:w="248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CCECFF"/>
              <w:bottom w:val="single" w:sz="8" w:color="CCECFF"/>
            </w:tcBorders>
            <w:shd w:val="clear" w:color="auto" w:fill="CCECFF"/>
          </w:tcPr>
          <w:p>
            <w:pPr>
              <w:spacing w:after="0"/>
              <w:rPr>
                <w:sz w:val="17"/>
                <w:szCs w:val="17"/>
                <w:color w:val="auto"/>
              </w:rPr>
            </w:pPr>
          </w:p>
        </w:tc>
        <w:tc>
          <w:tcPr>
            <w:tcW w:w="400" w:type="dxa"/>
            <w:vAlign w:val="bottom"/>
            <w:tcBorders>
              <w:top w:val="single" w:sz="8" w:color="CCECFF"/>
              <w:bottom w:val="single" w:sz="8" w:color="CCECFF"/>
            </w:tcBorders>
            <w:shd w:val="clear" w:color="auto" w:fill="CCECFF"/>
          </w:tcPr>
          <w:p>
            <w:pPr>
              <w:spacing w:after="0"/>
              <w:rPr>
                <w:sz w:val="17"/>
                <w:szCs w:val="17"/>
                <w:color w:val="auto"/>
              </w:rPr>
            </w:pPr>
          </w:p>
        </w:tc>
        <w:tc>
          <w:tcPr>
            <w:tcW w:w="960" w:type="dxa"/>
            <w:vAlign w:val="bottom"/>
            <w:tcBorders>
              <w:top w:val="single" w:sz="8" w:color="CCECFF"/>
              <w:bottom w:val="single" w:sz="8" w:color="CCECFF"/>
            </w:tcBorders>
            <w:shd w:val="clear" w:color="auto" w:fill="CCECFF"/>
          </w:tcPr>
          <w:p>
            <w:pPr>
              <w:spacing w:after="0"/>
              <w:rPr>
                <w:sz w:val="17"/>
                <w:szCs w:val="17"/>
                <w:color w:val="auto"/>
              </w:rPr>
            </w:pP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300" w:type="dxa"/>
            <w:vAlign w:val="bottom"/>
            <w:tcBorders>
              <w:top w:val="single" w:sz="8" w:color="auto"/>
              <w:bottom w:val="single" w:sz="8" w:color="auto"/>
            </w:tcBorders>
            <w:shd w:val="clear" w:color="auto" w:fill="CCEC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11,858,503</w:t>
            </w:r>
          </w:p>
        </w:tc>
        <w:tc>
          <w:tcPr>
            <w:tcW w:w="260" w:type="dxa"/>
            <w:vAlign w:val="bottom"/>
            <w:tcBorders>
              <w:top w:val="single" w:sz="8" w:color="CCECFF"/>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11,369,469</w:t>
            </w:r>
          </w:p>
        </w:tc>
        <w:tc>
          <w:tcPr>
            <w:tcW w:w="260" w:type="dxa"/>
            <w:vAlign w:val="bottom"/>
            <w:tcBorders>
              <w:top w:val="single" w:sz="8" w:color="CCECFF"/>
              <w:bottom w:val="single" w:sz="8" w:color="CCECFF"/>
            </w:tcBorders>
            <w:shd w:val="clear" w:color="auto" w:fill="CCECFF"/>
          </w:tcPr>
          <w:p>
            <w:pPr>
              <w:spacing w:after="0"/>
              <w:rPr>
                <w:sz w:val="17"/>
                <w:szCs w:val="17"/>
                <w:color w:val="auto"/>
              </w:rPr>
            </w:pPr>
          </w:p>
        </w:tc>
        <w:tc>
          <w:tcPr>
            <w:tcW w:w="2200" w:type="dxa"/>
            <w:vAlign w:val="bottom"/>
            <w:tcBorders>
              <w:top w:val="single" w:sz="8" w:color="CCECFF"/>
              <w:bottom w:val="single" w:sz="8" w:color="CCECFF"/>
            </w:tcBorders>
            <w:shd w:val="clear" w:color="auto" w:fill="CCECFF"/>
          </w:tcPr>
          <w:p>
            <w:pPr>
              <w:spacing w:after="0"/>
              <w:rPr>
                <w:sz w:val="17"/>
                <w:szCs w:val="17"/>
                <w:color w:val="auto"/>
              </w:rPr>
            </w:pPr>
          </w:p>
        </w:tc>
        <w:tc>
          <w:tcPr>
            <w:tcW w:w="18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auto"/>
              <w:bottom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ind w:left="360"/>
              <w:spacing w:after="0"/>
              <w:rPr>
                <w:sz w:val="20"/>
                <w:szCs w:val="20"/>
                <w:color w:val="auto"/>
              </w:rPr>
            </w:pPr>
            <w:r>
              <w:rPr>
                <w:rFonts w:ascii="Times New Roman" w:cs="Times New Roman" w:eastAsia="Times New Roman" w:hAnsi="Times New Roman"/>
                <w:sz w:val="17"/>
                <w:szCs w:val="17"/>
                <w:color w:val="auto"/>
                <w:w w:val="87"/>
              </w:rPr>
              <w:t>(489,033)</w:t>
            </w: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60" w:firstLine="462"/>
        <w:spacing w:after="0" w:line="267" w:lineRule="auto"/>
        <w:rPr>
          <w:sz w:val="20"/>
          <w:szCs w:val="20"/>
          <w:color w:val="auto"/>
        </w:rPr>
      </w:pPr>
      <w:r>
        <w:rPr>
          <w:rFonts w:ascii="Times New Roman" w:cs="Times New Roman" w:eastAsia="Times New Roman" w:hAnsi="Times New Roman"/>
          <w:sz w:val="17"/>
          <w:szCs w:val="17"/>
          <w:color w:val="auto"/>
        </w:rPr>
        <w:t>As of September 30, 2019, we had outstanding non-U.S. dollar borrowings on our Credit Facility. Net change in fair value from foreign currency translation on outstanding borrowings is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4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Amount Borrowed</w:t>
            </w:r>
          </w:p>
        </w:tc>
        <w:tc>
          <w:tcPr>
            <w:tcW w:w="300" w:type="dxa"/>
            <w:vAlign w:val="bottom"/>
          </w:tcPr>
          <w:p>
            <w:pPr>
              <w:spacing w:after="0"/>
              <w:rPr>
                <w:sz w:val="17"/>
                <w:szCs w:val="17"/>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Borrowing Cost</w:t>
            </w:r>
          </w:p>
        </w:tc>
        <w:tc>
          <w:tcPr>
            <w:tcW w:w="140" w:type="dxa"/>
            <w:vAlign w:val="bottom"/>
          </w:tcPr>
          <w:p>
            <w:pPr>
              <w:spacing w:after="0"/>
              <w:rPr>
                <w:sz w:val="17"/>
                <w:szCs w:val="17"/>
                <w:color w:val="auto"/>
              </w:rPr>
            </w:pPr>
          </w:p>
        </w:tc>
        <w:tc>
          <w:tcPr>
            <w:tcW w:w="128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Current Value</w:t>
            </w:r>
          </w:p>
        </w:tc>
        <w:tc>
          <w:tcPr>
            <w:tcW w:w="280" w:type="dxa"/>
            <w:vAlign w:val="bottom"/>
          </w:tcPr>
          <w:p>
            <w:pPr>
              <w:spacing w:after="0"/>
              <w:rPr>
                <w:sz w:val="17"/>
                <w:szCs w:val="17"/>
                <w:color w:val="auto"/>
              </w:rPr>
            </w:pPr>
          </w:p>
        </w:tc>
        <w:tc>
          <w:tcPr>
            <w:tcW w:w="2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Reset Date</w:t>
            </w:r>
          </w:p>
        </w:tc>
        <w:tc>
          <w:tcPr>
            <w:tcW w:w="1320" w:type="dxa"/>
            <w:vAlign w:val="bottom"/>
            <w:gridSpan w:val="3"/>
          </w:tcPr>
          <w:p>
            <w:pPr>
              <w:jc w:val="right"/>
              <w:ind w:right="103"/>
              <w:spacing w:after="0"/>
              <w:rPr>
                <w:sz w:val="20"/>
                <w:szCs w:val="20"/>
                <w:color w:val="auto"/>
              </w:rPr>
            </w:pPr>
            <w:r>
              <w:rPr>
                <w:rFonts w:ascii="Times New Roman" w:cs="Times New Roman" w:eastAsia="Times New Roman" w:hAnsi="Times New Roman"/>
                <w:sz w:val="17"/>
                <w:szCs w:val="17"/>
                <w:b w:val="1"/>
                <w:bCs w:val="1"/>
                <w:color w:val="auto"/>
              </w:rPr>
              <w:t>Change in Fair</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7"/>
                <w:szCs w:val="17"/>
                <w:color w:val="auto"/>
                <w:w w:val="97"/>
              </w:rPr>
              <w:t>A</w:t>
            </w:r>
          </w:p>
        </w:tc>
        <w:tc>
          <w:tcPr>
            <w:tcW w:w="360" w:type="dxa"/>
            <w:vAlign w:val="bottom"/>
            <w:tcBorders>
              <w:top w:val="single" w:sz="8" w:color="auto"/>
            </w:tcBorders>
            <w:shd w:val="clear" w:color="auto" w:fill="CCEC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39,700,000</w:t>
            </w:r>
          </w:p>
        </w:tc>
        <w:tc>
          <w:tcPr>
            <w:tcW w:w="30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29,287,152</w:t>
            </w:r>
          </w:p>
        </w:tc>
        <w:tc>
          <w:tcPr>
            <w:tcW w:w="280" w:type="dxa"/>
            <w:vAlign w:val="bottom"/>
            <w:tcBorders>
              <w:top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26,775,665</w:t>
            </w:r>
          </w:p>
        </w:tc>
        <w:tc>
          <w:tcPr>
            <w:tcW w:w="280" w:type="dxa"/>
            <w:vAlign w:val="bottom"/>
            <w:tcBorders>
              <w:top w:val="single" w:sz="8" w:color="CCECFF"/>
            </w:tcBorders>
            <w:shd w:val="clear" w:color="auto" w:fill="CCECFF"/>
          </w:tcPr>
          <w:p>
            <w:pPr>
              <w:spacing w:after="0"/>
              <w:rPr>
                <w:sz w:val="17"/>
                <w:szCs w:val="17"/>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November 30, 2019</w:t>
            </w:r>
          </w:p>
        </w:tc>
        <w:tc>
          <w:tcPr>
            <w:tcW w:w="180" w:type="dxa"/>
            <w:vAlign w:val="bottom"/>
            <w:tcBorders>
              <w:top w:val="single" w:sz="8" w:color="CCECFF"/>
            </w:tcBorders>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(2,511,487</w:t>
            </w:r>
          </w:p>
        </w:tc>
        <w:tc>
          <w:tcPr>
            <w:tcW w:w="12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w:t>
            </w:r>
          </w:p>
        </w:tc>
        <w:tc>
          <w:tcPr>
            <w:tcW w:w="60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C$</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7,137,094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6,948,640</w:t>
            </w:r>
          </w:p>
        </w:tc>
        <w:tc>
          <w:tcPr>
            <w:tcW w:w="28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November 30, 2019</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(188,454)</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CCECFF"/>
              <w:bottom w:val="single" w:sz="8" w:color="CCECFF"/>
            </w:tcBorders>
            <w:shd w:val="clear" w:color="auto" w:fill="CCECFF"/>
          </w:tcPr>
          <w:p>
            <w:pPr>
              <w:spacing w:after="0"/>
              <w:rPr>
                <w:sz w:val="17"/>
                <w:szCs w:val="17"/>
                <w:color w:val="auto"/>
              </w:rPr>
            </w:pPr>
          </w:p>
        </w:tc>
        <w:tc>
          <w:tcPr>
            <w:tcW w:w="360" w:type="dxa"/>
            <w:vAlign w:val="bottom"/>
            <w:tcBorders>
              <w:top w:val="single" w:sz="8" w:color="CCECFF"/>
              <w:bottom w:val="single" w:sz="8" w:color="CCECFF"/>
            </w:tcBorders>
            <w:shd w:val="clear" w:color="auto" w:fill="CCECFF"/>
          </w:tcPr>
          <w:p>
            <w:pPr>
              <w:spacing w:after="0"/>
              <w:rPr>
                <w:sz w:val="17"/>
                <w:szCs w:val="17"/>
                <w:color w:val="auto"/>
              </w:rPr>
            </w:pPr>
          </w:p>
        </w:tc>
        <w:tc>
          <w:tcPr>
            <w:tcW w:w="1020" w:type="dxa"/>
            <w:vAlign w:val="bottom"/>
            <w:tcBorders>
              <w:top w:val="single" w:sz="8" w:color="CCECFF"/>
              <w:bottom w:val="single" w:sz="8" w:color="CCECFF"/>
            </w:tcBorders>
            <w:shd w:val="clear" w:color="auto" w:fill="CCECFF"/>
          </w:tcPr>
          <w:p>
            <w:pPr>
              <w:spacing w:after="0"/>
              <w:rPr>
                <w:sz w:val="17"/>
                <w:szCs w:val="17"/>
                <w:color w:val="auto"/>
              </w:rPr>
            </w:pPr>
          </w:p>
        </w:tc>
        <w:tc>
          <w:tcPr>
            <w:tcW w:w="300" w:type="dxa"/>
            <w:vAlign w:val="bottom"/>
            <w:tcBorders>
              <w:top w:val="single" w:sz="8" w:color="CCECFF"/>
              <w:bottom w:val="single" w:sz="8" w:color="CCECFF"/>
            </w:tcBorders>
            <w:shd w:val="clear" w:color="auto" w:fill="CCECFF"/>
          </w:tcPr>
          <w:p>
            <w:pPr>
              <w:spacing w:after="0"/>
              <w:rPr>
                <w:sz w:val="17"/>
                <w:szCs w:val="17"/>
                <w:color w:val="auto"/>
              </w:rPr>
            </w:pPr>
          </w:p>
        </w:tc>
        <w:tc>
          <w:tcPr>
            <w:tcW w:w="260" w:type="dxa"/>
            <w:vAlign w:val="bottom"/>
            <w:tcBorders>
              <w:top w:val="single" w:sz="8" w:color="auto"/>
              <w:bottom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36,424,246</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33,724,305</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2160" w:type="dxa"/>
            <w:vAlign w:val="bottom"/>
            <w:tcBorders>
              <w:top w:val="single" w:sz="8" w:color="CCECFF"/>
              <w:bottom w:val="single" w:sz="8" w:color="CCECFF"/>
            </w:tcBorders>
            <w:shd w:val="clear" w:color="auto" w:fill="CCECFF"/>
          </w:tcPr>
          <w:p>
            <w:pPr>
              <w:spacing w:after="0"/>
              <w:rPr>
                <w:sz w:val="17"/>
                <w:szCs w:val="17"/>
                <w:color w:val="auto"/>
              </w:rPr>
            </w:pPr>
          </w:p>
        </w:tc>
        <w:tc>
          <w:tcPr>
            <w:tcW w:w="18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auto"/>
              <w:bottom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(2,699,941)</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CASH AND CASH EQUIVALENTS</w:t>
      </w:r>
    </w:p>
    <w:p>
      <w:pPr>
        <w:spacing w:after="0" w:line="23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U.S. Treasury Bills with maturities greater than 60 days from the time of purchase are valued consistent with our valuation policy. As of September 30, 2020 and 2019, cash and cash equivalents consisted of money market funds in the amounts of $11.1 million and $15.3 million at fair value,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MEMBERS’ EQUITY</w:t>
      </w:r>
    </w:p>
    <w:p>
      <w:pPr>
        <w:spacing w:after="0" w:line="230"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PFLT and Kemper provide capital to PSSL in the form of first lien secured debt and equity interests. The first lien secured debt was previously subordinated debt that were modified during the year ended September 30, 2018 to eliminate the subordination provision. As of September 30, 2020 and 2019, PFLT and Kemper owned 87.5% and 12.5%, respectively, of each of the outstanding notes and equity interests.</w:t>
      </w:r>
    </w:p>
    <w:p>
      <w:pPr>
        <w:spacing w:after="0" w:line="19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As of September 30, 2020 and 2019, PFLT had commitments to fund notes to PSSL of $140.9 million and $128.6 million, respectively, of which $15.5 million and $6.4 million, respectively, were unfunded. As of the same dates, PFLT had commitments to fund equity interests to PSSL of $60.4 million and $55.1 million, respectively, of which $6.6 million and $2.8 million were unfunded, respectively.</w:t>
      </w:r>
    </w:p>
    <w:p>
      <w:pPr>
        <w:spacing w:after="0" w:line="19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As of September 30, 2020 and 2019, Kemper had commitments to fund notes to PSSL of $20.1 million and $18.4 million, respectively, of which $2.2 million and $0.9 million, respectively, were unfunded. As of the same dates, Kemper had commitments to fund equity interests to PSSL of $8.6 million and $7.9 million, respectively, of which $0.9 million and $0.4 million were unfunded,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RISKS AND UNCERTAINTIES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first lien secured loans of privately held companies</w:t>
      </w:r>
    </w:p>
    <w:p>
      <w:pPr>
        <w:spacing w:after="0" w:line="23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 securities at the current time. The ability of PSSL to liquidate these investments and realize value is subject to significant limitations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 (Continued)</w:t>
      </w:r>
    </w:p>
    <w:p>
      <w:pPr>
        <w:spacing w:after="0" w:line="184" w:lineRule="exact"/>
        <w:rPr>
          <w:sz w:val="20"/>
          <w:szCs w:val="20"/>
          <w:color w:val="auto"/>
        </w:rPr>
      </w:pPr>
    </w:p>
    <w:p>
      <w:pPr>
        <w:jc w:val="both"/>
        <w:ind w:firstLine="462"/>
        <w:spacing w:after="0" w:line="285" w:lineRule="auto"/>
        <w:rPr>
          <w:sz w:val="20"/>
          <w:szCs w:val="20"/>
          <w:color w:val="auto"/>
        </w:rPr>
      </w:pPr>
      <w:r>
        <w:rPr>
          <w:rFonts w:ascii="Times New Roman" w:cs="Times New Roman" w:eastAsia="Times New Roman" w:hAnsi="Times New Roman"/>
          <w:sz w:val="15"/>
          <w:szCs w:val="15"/>
          <w:color w:val="auto"/>
        </w:rPr>
        <w:t>PSSL may borrow funds in order to increase the amount of capital available for investment. The use of leverage can improve the return on invested capital, however, such use may also magnify the potential for loss on invested equity capital. If the value of PSSL’s assets decreases, leveraging would cause net asset value to decline more sharply than it otherwise would have had PSSL not leveraged. Similarly, any decrease in PSSL’s income would cause net income to decline more sharply than it would have had PSSL not borrowed. Borrowings will usually be from credit facilities and will typically be secured by PSSL’s securities and other assets. Under certain circumstances, such credit facilities may demand an increase in the collateral that secures PSSL’s obligations and if PSSL was unable to provide additional collateral, the credit facilities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30"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FINANCIAL HIGHLIGHTS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The Members are responsible for all investment making and business decisions, and therefore, there is no requirement to show financial highlights per ASC 946, which have been omitted accordingly.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CREDIT FACILITY</w:t>
      </w:r>
    </w:p>
    <w:p>
      <w:pPr>
        <w:spacing w:after="0" w:line="205"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As of September 30, 2020, PSSL had a $325.0 million multi-currency Credit Facility with Capital One, N.A. as the lender and administrative agent. As of September 30, 2020 and 2019, we had $217.5 million and $311.4 million, respectively, in outstanding borrowings under the Credit Facility. The Credit Facility had a weighted average interest rate of 2.4% and 4.2%, excluding the undrawn commitment fees as of September 30, 2020 and 2019, respectively. The Credit Facility is a five-year revolving facility with a stated maturity date of May 2, 2023 and pricing set at 2.25% over LIBOR. The Credit Facility is secured by substantially all of the assets held by us. The carrying value of our Credit Facility approximates fair value. The Credit Facility contains customary financial and other covenants. As of September 30, 2020 we are in compliance with the covenants of our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SUBSEQUENT EVENTS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Subsequent events are evaluated and disclosed as appropriate for events occurring through the date the consolidated financial statements were available to be issued, November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1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PennantPark Senior Secured Loan Fund I LLC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585470</wp:posOffset>
            </wp:positionV>
            <wp:extent cx="715962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2" w:name="page123"/>
    <w:bookmarkEnd w:id="122"/>
    <w:p>
      <w:pPr>
        <w:ind w:left="5340"/>
        <w:spacing w:after="0"/>
        <w:rPr>
          <w:sz w:val="20"/>
          <w:szCs w:val="20"/>
          <w:color w:val="auto"/>
        </w:rPr>
      </w:pPr>
      <w:r>
        <w:rPr>
          <w:rFonts w:ascii="Times New Roman" w:cs="Times New Roman" w:eastAsia="Times New Roman" w:hAnsi="Times New Roman"/>
          <w:sz w:val="17"/>
          <w:szCs w:val="17"/>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2015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201535"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015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201535"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w:t>
      </w:r>
    </w:p>
    <w:p>
      <w:pPr>
        <w:spacing w:after="0" w:line="251" w:lineRule="exact"/>
        <w:rPr>
          <w:sz w:val="20"/>
          <w:szCs w:val="20"/>
          <w:color w:val="auto"/>
        </w:rPr>
      </w:pPr>
    </w:p>
    <w:p>
      <w:pPr>
        <w:ind w:left="140" w:right="3099"/>
        <w:spacing w:after="0" w:line="517" w:lineRule="auto"/>
        <w:rPr>
          <w:sz w:val="20"/>
          <w:szCs w:val="20"/>
          <w:color w:val="auto"/>
        </w:rPr>
      </w:pPr>
      <w:r>
        <w:rPr>
          <w:rFonts w:ascii="Times New Roman" w:cs="Times New Roman" w:eastAsia="Times New Roman" w:hAnsi="Times New Roman"/>
          <w:sz w:val="17"/>
          <w:szCs w:val="17"/>
          <w:color w:val="auto"/>
        </w:rPr>
        <w:t>Consolidated Statements of Assets, Liabilities and Members’ Equity as of September 30, 2019 and 2018 Consolidated Statements of Operations for the years ended September 30, 2019 and 2018</w:t>
      </w:r>
    </w:p>
    <w:p>
      <w:pPr>
        <w:ind w:left="140" w:right="2879"/>
        <w:spacing w:after="0" w:line="525" w:lineRule="auto"/>
        <w:rPr>
          <w:sz w:val="20"/>
          <w:szCs w:val="20"/>
          <w:color w:val="auto"/>
        </w:rPr>
      </w:pPr>
      <w:r>
        <w:rPr>
          <w:rFonts w:ascii="Times New Roman" w:cs="Times New Roman" w:eastAsia="Times New Roman" w:hAnsi="Times New Roman"/>
          <w:sz w:val="17"/>
          <w:szCs w:val="17"/>
          <w:color w:val="auto"/>
        </w:rPr>
        <w:t>Consolidated Statements of Changes in Members’ Equity for the years ended September 30, 2019 and 2018 Consolidated Statements of Cash Flows for the years ended September 30, 2019 and 2018 Consolidated Schedules of Investments as of September 30, 2019 and 2018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015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2015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709930</wp:posOffset>
            </wp:positionV>
            <wp:extent cx="715962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Senior Secured Loan Fund I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on the Financial Statements</w:t>
      </w:r>
    </w:p>
    <w:p>
      <w:pPr>
        <w:spacing w:after="0" w:line="23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We have audited the accompanying financial statements of PennantPark Senior Secured Loan Fund I LLC (the Company), which comprise the consolidated statements of assets, liabilities, and members’ equity, including the consolidated schedules of investments, as of September 30, 2019 and 2018, and the related consolidated statements of operations, changes in members’ equity and cash flows for the years ended September 30, 2019 and 2018, and the related notes to the consolidated financial statements (collectively, the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Responsibility for the Financial Statements</w:t>
      </w:r>
    </w:p>
    <w:p>
      <w:pPr>
        <w:spacing w:after="0" w:line="230"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Auditor’s Responsibility</w:t>
      </w:r>
    </w:p>
    <w:p>
      <w:pPr>
        <w:spacing w:after="0" w:line="230"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7"/>
          <w:szCs w:val="17"/>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the audit evidence we have obtained is sufficient and appropriate to provide a basis for our audit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w:t>
      </w:r>
    </w:p>
    <w:p>
      <w:pPr>
        <w:spacing w:after="0" w:line="2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financial position of PennantPark Senior Secured Loan Fund I LLC as of September 30, 2019 and 2018, and the results of its operations, and its cash flows for the years ended September 30, 2019 and 2018 in accordance with accounting principles generally accepted in the United States of America.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20, 2019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4" w:name="page125"/>
    <w:bookmarkEnd w:id="124"/>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Consolidated Statements of Assets, Liabilities and Members’ Equity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September 30, 2019</w:t>
            </w:r>
          </w:p>
        </w:tc>
        <w:tc>
          <w:tcPr>
            <w:tcW w:w="180" w:type="dxa"/>
            <w:vAlign w:val="bottom"/>
          </w:tcPr>
          <w:p>
            <w:pPr>
              <w:spacing w:after="0"/>
              <w:rPr>
                <w:sz w:val="17"/>
                <w:szCs w:val="17"/>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2018</w:t>
            </w:r>
          </w:p>
        </w:tc>
      </w:tr>
      <w:tr>
        <w:trPr>
          <w:trHeight w:val="193"/>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Non-controlled, non-affiliated investments (cost—$494,413,190 and $425,336,210, respectively)</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488,549,847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425,420,881</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(cost—$15,322,531 and $13,520,127, respectively)</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15,294,881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13,520,760</w:t>
            </w: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1,855,545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1,670,053</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6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996,333</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2,784,477</w:t>
            </w:r>
          </w:p>
        </w:tc>
        <w:tc>
          <w:tcPr>
            <w:tcW w:w="100" w:type="dxa"/>
            <w:vAlign w:val="bottom"/>
            <w:tcBorders>
              <w:bottom w:val="single" w:sz="8" w:color="CFF0FC"/>
            </w:tcBorders>
          </w:tcPr>
          <w:p>
            <w:pPr>
              <w:spacing w:after="0"/>
              <w:rPr>
                <w:sz w:val="16"/>
                <w:szCs w:val="16"/>
                <w:color w:val="auto"/>
              </w:rPr>
            </w:pPr>
          </w:p>
        </w:tc>
      </w:tr>
      <w:tr>
        <w:trPr>
          <w:trHeight w:val="193"/>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6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506,696,606</w:t>
            </w:r>
          </w:p>
        </w:tc>
        <w:tc>
          <w:tcPr>
            <w:tcW w:w="2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443,396,171</w:t>
            </w:r>
          </w:p>
        </w:tc>
        <w:tc>
          <w:tcPr>
            <w:tcW w:w="100" w:type="dxa"/>
            <w:vAlign w:val="bottom"/>
            <w:shd w:val="clear" w:color="auto" w:fill="CFF0FC"/>
          </w:tcPr>
          <w:p>
            <w:pPr>
              <w:spacing w:after="0"/>
              <w:rPr>
                <w:sz w:val="16"/>
                <w:szCs w:val="16"/>
                <w:color w:val="auto"/>
              </w:rPr>
            </w:pPr>
          </w:p>
        </w:tc>
      </w:tr>
      <w:tr>
        <w:trPr>
          <w:trHeight w:val="188"/>
        </w:trPr>
        <w:tc>
          <w:tcPr>
            <w:tcW w:w="6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Credit facility payable</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308,724,305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275,285,900</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Notes payable to members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139,650,000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115,500,000</w:t>
            </w: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payable on credit facility</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1,152,544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1,065,306</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Interest payable on notes to members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39,197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99,966</w:t>
            </w: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other expenses</w:t>
            </w:r>
          </w:p>
        </w:tc>
        <w:tc>
          <w:tcPr>
            <w:tcW w:w="6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22,754</w:t>
            </w:r>
          </w:p>
        </w:tc>
        <w:tc>
          <w:tcPr>
            <w:tcW w:w="26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247,595</w:t>
            </w:r>
          </w:p>
        </w:tc>
        <w:tc>
          <w:tcPr>
            <w:tcW w:w="100" w:type="dxa"/>
            <w:vAlign w:val="bottom"/>
            <w:shd w:val="clear" w:color="auto" w:fill="CFF0FC"/>
          </w:tcPr>
          <w:p>
            <w:pPr>
              <w:spacing w:after="0"/>
              <w:rPr>
                <w:sz w:val="17"/>
                <w:szCs w:val="17"/>
                <w:color w:val="auto"/>
              </w:rPr>
            </w:pPr>
          </w:p>
        </w:tc>
      </w:tr>
      <w:tr>
        <w:trPr>
          <w:trHeight w:val="188"/>
        </w:trPr>
        <w:tc>
          <w:tcPr>
            <w:tcW w:w="6620" w:type="dxa"/>
            <w:vAlign w:val="bottom"/>
            <w:tcBorders>
              <w:bottom w:val="single" w:sz="8" w:color="CFF0FC"/>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6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449,588,800</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392,198,767</w:t>
            </w:r>
          </w:p>
        </w:tc>
        <w:tc>
          <w:tcPr>
            <w:tcW w:w="100" w:type="dxa"/>
            <w:vAlign w:val="bottom"/>
            <w:tcBorders>
              <w:bottom w:val="single" w:sz="8" w:color="CFF0FC"/>
            </w:tcBorders>
          </w:tcPr>
          <w:p>
            <w:pPr>
              <w:spacing w:after="0"/>
              <w:rPr>
                <w:sz w:val="16"/>
                <w:szCs w:val="16"/>
                <w:color w:val="auto"/>
              </w:rPr>
            </w:pPr>
          </w:p>
        </w:tc>
      </w:tr>
      <w:tr>
        <w:trPr>
          <w:trHeight w:val="19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Members’ equity</w:t>
            </w: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Paid-in capital</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59,850,000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49,500,000</w:t>
            </w: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Undistributed net investment income</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1,121,794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587,902</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net realized (loss) gain on investments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(672,934)</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212,135</w:t>
            </w:r>
          </w:p>
        </w:tc>
        <w:tc>
          <w:tcPr>
            <w:tcW w:w="100" w:type="dxa"/>
            <w:vAlign w:val="bottom"/>
          </w:tcPr>
          <w:p>
            <w:pPr>
              <w:spacing w:after="0"/>
              <w:rPr>
                <w:sz w:val="16"/>
                <w:szCs w:val="16"/>
                <w:color w:val="auto"/>
              </w:rPr>
            </w:pPr>
          </w:p>
        </w:tc>
      </w:tr>
      <w:tr>
        <w:trPr>
          <w:trHeight w:val="201"/>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unrealized (depreciation) appreciation on investments</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(5,890,995)</w:t>
            </w: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85,304</w:t>
            </w:r>
          </w:p>
        </w:tc>
        <w:tc>
          <w:tcPr>
            <w:tcW w:w="100" w:type="dxa"/>
            <w:vAlign w:val="bottom"/>
            <w:shd w:val="clear" w:color="auto" w:fill="CFF0FC"/>
          </w:tcPr>
          <w:p>
            <w:pPr>
              <w:spacing w:after="0"/>
              <w:rPr>
                <w:sz w:val="17"/>
                <w:szCs w:val="17"/>
                <w:color w:val="auto"/>
              </w:rPr>
            </w:pPr>
          </w:p>
        </w:tc>
      </w:tr>
      <w:tr>
        <w:trPr>
          <w:trHeight w:val="195"/>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Net unrealized depreciation on credit facility foreign currency translations</w:t>
            </w:r>
          </w:p>
        </w:tc>
        <w:tc>
          <w:tcPr>
            <w:tcW w:w="6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2,699,941</w:t>
            </w:r>
          </w:p>
        </w:tc>
        <w:tc>
          <w:tcPr>
            <w:tcW w:w="2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812,063</w:t>
            </w:r>
          </w:p>
        </w:tc>
        <w:tc>
          <w:tcPr>
            <w:tcW w:w="100" w:type="dxa"/>
            <w:vAlign w:val="bottom"/>
            <w:tcBorders>
              <w:bottom w:val="single" w:sz="8" w:color="CFF0FC"/>
            </w:tcBorders>
          </w:tcPr>
          <w:p>
            <w:pPr>
              <w:spacing w:after="0"/>
              <w:rPr>
                <w:sz w:val="16"/>
                <w:szCs w:val="16"/>
                <w:color w:val="auto"/>
              </w:rPr>
            </w:pPr>
          </w:p>
        </w:tc>
      </w:tr>
      <w:tr>
        <w:trPr>
          <w:trHeight w:val="193"/>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b w:val="1"/>
                <w:bCs w:val="1"/>
                <w:color w:val="auto"/>
              </w:rPr>
              <w:t>Total members’ equity</w:t>
            </w:r>
          </w:p>
        </w:tc>
        <w:tc>
          <w:tcPr>
            <w:tcW w:w="6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57,107,806</w:t>
            </w:r>
          </w:p>
        </w:tc>
        <w:tc>
          <w:tcPr>
            <w:tcW w:w="2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51,197,404</w:t>
            </w:r>
          </w:p>
        </w:tc>
        <w:tc>
          <w:tcPr>
            <w:tcW w:w="100" w:type="dxa"/>
            <w:vAlign w:val="bottom"/>
            <w:shd w:val="clear" w:color="auto" w:fill="CFF0FC"/>
          </w:tcPr>
          <w:p>
            <w:pPr>
              <w:spacing w:after="0"/>
              <w:rPr>
                <w:sz w:val="16"/>
                <w:szCs w:val="16"/>
                <w:color w:val="auto"/>
              </w:rPr>
            </w:pPr>
          </w:p>
        </w:tc>
      </w:tr>
      <w:tr>
        <w:trPr>
          <w:trHeight w:val="188"/>
        </w:trPr>
        <w:tc>
          <w:tcPr>
            <w:tcW w:w="6620" w:type="dxa"/>
            <w:vAlign w:val="bottom"/>
          </w:tcPr>
          <w:p>
            <w:pPr>
              <w:ind w:left="560"/>
              <w:spacing w:after="0"/>
              <w:rPr>
                <w:sz w:val="20"/>
                <w:szCs w:val="20"/>
                <w:color w:val="auto"/>
              </w:rPr>
            </w:pPr>
            <w:r>
              <w:rPr>
                <w:rFonts w:ascii="Times New Roman" w:cs="Times New Roman" w:eastAsia="Times New Roman" w:hAnsi="Times New Roman"/>
                <w:sz w:val="15"/>
                <w:szCs w:val="15"/>
                <w:b w:val="1"/>
                <w:bCs w:val="1"/>
                <w:color w:val="auto"/>
              </w:rPr>
              <w:t>Total liabilities and members’ equity</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506,696,606</w:t>
            </w:r>
          </w:p>
        </w:tc>
        <w:tc>
          <w:tcPr>
            <w:tcW w:w="26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443,396,171</w:t>
            </w:r>
          </w:p>
        </w:tc>
        <w:tc>
          <w:tcPr>
            <w:tcW w:w="100" w:type="dxa"/>
            <w:vAlign w:val="bottom"/>
          </w:tcPr>
          <w:p>
            <w:pPr>
              <w:spacing w:after="0"/>
              <w:rPr>
                <w:sz w:val="16"/>
                <w:szCs w:val="16"/>
                <w:color w:val="auto"/>
              </w:rPr>
            </w:pPr>
          </w:p>
        </w:tc>
      </w:tr>
      <w:tr>
        <w:trPr>
          <w:trHeight w:val="20"/>
        </w:trPr>
        <w:tc>
          <w:tcPr>
            <w:tcW w:w="6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25" w:name="page126"/>
    <w:bookmarkEnd w:id="125"/>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98"/>
              </w:rPr>
              <w:t>Year Ended 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Year Ended September 30,</w:t>
            </w:r>
          </w:p>
        </w:tc>
      </w:tr>
      <w:tr>
        <w:trPr>
          <w:trHeight w:val="199"/>
        </w:trPr>
        <w:tc>
          <w:tcPr>
            <w:tcW w:w="68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5"/>
                <w:szCs w:val="15"/>
                <w:b w:val="1"/>
                <w:bCs w:val="1"/>
                <w:color w:val="auto"/>
              </w:rPr>
              <w:t>2019</w:t>
            </w:r>
          </w:p>
        </w:tc>
        <w:tc>
          <w:tcPr>
            <w:tcW w:w="4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Borders>
              <w:bottom w:val="single" w:sz="8" w:color="CFF0FC"/>
            </w:tcBorders>
          </w:tcPr>
          <w:p>
            <w:pPr>
              <w:spacing w:after="0"/>
              <w:rPr>
                <w:sz w:val="17"/>
                <w:szCs w:val="17"/>
                <w:color w:val="auto"/>
              </w:rPr>
            </w:pPr>
          </w:p>
        </w:tc>
      </w:tr>
      <w:tr>
        <w:trPr>
          <w:trHeight w:val="19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Investment income:</w:t>
            </w:r>
          </w:p>
        </w:tc>
        <w:tc>
          <w:tcPr>
            <w:tcW w:w="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5"/>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From non-controlled, non-affiliated investments</w:t>
            </w: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39,288,981</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17,744,486</w:t>
            </w:r>
          </w:p>
        </w:tc>
        <w:tc>
          <w:tcPr>
            <w:tcW w:w="120" w:type="dxa"/>
            <w:vAlign w:val="bottom"/>
            <w:shd w:val="clear" w:color="auto" w:fill="CFF0FC"/>
          </w:tcPr>
          <w:p>
            <w:pPr>
              <w:spacing w:after="0"/>
              <w:rPr>
                <w:sz w:val="17"/>
                <w:szCs w:val="17"/>
                <w:color w:val="auto"/>
              </w:rPr>
            </w:pPr>
          </w:p>
        </w:tc>
      </w:tr>
      <w:tr>
        <w:trPr>
          <w:trHeight w:val="195"/>
        </w:trPr>
        <w:tc>
          <w:tcPr>
            <w:tcW w:w="68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5"/>
                <w:szCs w:val="15"/>
                <w:color w:val="auto"/>
              </w:rPr>
              <w:t>Other income</w:t>
            </w: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785,111</w:t>
            </w:r>
          </w:p>
        </w:tc>
        <w:tc>
          <w:tcPr>
            <w:tcW w:w="4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280,080</w:t>
            </w:r>
          </w:p>
        </w:tc>
        <w:tc>
          <w:tcPr>
            <w:tcW w:w="120" w:type="dxa"/>
            <w:vAlign w:val="bottom"/>
            <w:tcBorders>
              <w:bottom w:val="single" w:sz="8" w:color="CFF0FC"/>
            </w:tcBorders>
          </w:tcPr>
          <w:p>
            <w:pPr>
              <w:spacing w:after="0"/>
              <w:rPr>
                <w:sz w:val="16"/>
                <w:szCs w:val="16"/>
                <w:color w:val="auto"/>
              </w:rPr>
            </w:pPr>
          </w:p>
        </w:tc>
      </w:tr>
      <w:tr>
        <w:trPr>
          <w:trHeight w:val="19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8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40,074,092</w:t>
            </w:r>
          </w:p>
        </w:tc>
        <w:tc>
          <w:tcPr>
            <w:tcW w:w="4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18,024,566</w:t>
            </w:r>
          </w:p>
        </w:tc>
        <w:tc>
          <w:tcPr>
            <w:tcW w:w="120" w:type="dxa"/>
            <w:vAlign w:val="bottom"/>
            <w:shd w:val="clear" w:color="auto" w:fill="CFF0FC"/>
          </w:tcPr>
          <w:p>
            <w:pPr>
              <w:spacing w:after="0"/>
              <w:rPr>
                <w:sz w:val="16"/>
                <w:szCs w:val="16"/>
                <w:color w:val="auto"/>
              </w:rPr>
            </w:pPr>
          </w:p>
        </w:tc>
      </w:tr>
      <w:tr>
        <w:trPr>
          <w:trHeight w:val="188"/>
        </w:trPr>
        <w:tc>
          <w:tcPr>
            <w:tcW w:w="6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Interest and other credit facility expenses</w:t>
            </w:r>
          </w:p>
        </w:tc>
        <w:tc>
          <w:tcPr>
            <w:tcW w:w="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16,487,783</w:t>
            </w: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7,654,035</w:t>
            </w:r>
          </w:p>
        </w:tc>
        <w:tc>
          <w:tcPr>
            <w:tcW w:w="120" w:type="dxa"/>
            <w:vAlign w:val="bottom"/>
            <w:shd w:val="clear" w:color="auto" w:fill="CFF0FC"/>
          </w:tcPr>
          <w:p>
            <w:pPr>
              <w:spacing w:after="0"/>
              <w:rPr>
                <w:sz w:val="17"/>
                <w:szCs w:val="17"/>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on notes to members</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14,247,817</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6,060,468</w:t>
            </w:r>
          </w:p>
        </w:tc>
        <w:tc>
          <w:tcPr>
            <w:tcW w:w="120" w:type="dxa"/>
            <w:vAlign w:val="bottom"/>
          </w:tcPr>
          <w:p>
            <w:pPr>
              <w:spacing w:after="0"/>
              <w:rPr>
                <w:sz w:val="16"/>
                <w:szCs w:val="16"/>
                <w:color w:val="auto"/>
              </w:rPr>
            </w:pPr>
          </w:p>
        </w:tc>
      </w:tr>
      <w:tr>
        <w:trPr>
          <w:trHeight w:val="201"/>
        </w:trPr>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Administrative services expenses</w:t>
            </w:r>
          </w:p>
        </w:tc>
        <w:tc>
          <w:tcPr>
            <w:tcW w:w="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1,150,000</w:t>
            </w: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650,000</w:t>
            </w:r>
          </w:p>
        </w:tc>
        <w:tc>
          <w:tcPr>
            <w:tcW w:w="120" w:type="dxa"/>
            <w:vAlign w:val="bottom"/>
            <w:shd w:val="clear" w:color="auto" w:fill="CFF0FC"/>
          </w:tcPr>
          <w:p>
            <w:pPr>
              <w:spacing w:after="0"/>
              <w:rPr>
                <w:sz w:val="17"/>
                <w:szCs w:val="17"/>
                <w:color w:val="auto"/>
              </w:rPr>
            </w:pPr>
          </w:p>
        </w:tc>
      </w:tr>
      <w:tr>
        <w:trPr>
          <w:trHeight w:val="195"/>
        </w:trPr>
        <w:tc>
          <w:tcPr>
            <w:tcW w:w="68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5"/>
                <w:szCs w:val="15"/>
                <w:color w:val="auto"/>
              </w:rPr>
              <w:t>Other general and administrative expenses</w:t>
            </w: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454,600</w:t>
            </w:r>
          </w:p>
        </w:tc>
        <w:tc>
          <w:tcPr>
            <w:tcW w:w="4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692,736</w:t>
            </w:r>
          </w:p>
        </w:tc>
        <w:tc>
          <w:tcPr>
            <w:tcW w:w="120" w:type="dxa"/>
            <w:vAlign w:val="bottom"/>
            <w:tcBorders>
              <w:bottom w:val="single" w:sz="8" w:color="CFF0FC"/>
            </w:tcBorders>
          </w:tcPr>
          <w:p>
            <w:pPr>
              <w:spacing w:after="0"/>
              <w:rPr>
                <w:sz w:val="16"/>
                <w:szCs w:val="16"/>
                <w:color w:val="auto"/>
              </w:rPr>
            </w:pPr>
          </w:p>
        </w:tc>
      </w:tr>
      <w:tr>
        <w:trPr>
          <w:trHeight w:val="193"/>
        </w:trPr>
        <w:tc>
          <w:tcPr>
            <w:tcW w:w="6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8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32,340,200</w:t>
            </w:r>
          </w:p>
        </w:tc>
        <w:tc>
          <w:tcPr>
            <w:tcW w:w="4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15,057,239</w:t>
            </w:r>
          </w:p>
        </w:tc>
        <w:tc>
          <w:tcPr>
            <w:tcW w:w="120" w:type="dxa"/>
            <w:vAlign w:val="bottom"/>
            <w:shd w:val="clear" w:color="auto" w:fill="CFF0FC"/>
          </w:tcPr>
          <w:p>
            <w:pPr>
              <w:spacing w:after="0"/>
              <w:rPr>
                <w:sz w:val="16"/>
                <w:szCs w:val="16"/>
                <w:color w:val="auto"/>
              </w:rPr>
            </w:pPr>
          </w:p>
        </w:tc>
      </w:tr>
      <w:tr>
        <w:trPr>
          <w:trHeight w:val="188"/>
        </w:trPr>
        <w:tc>
          <w:tcPr>
            <w:tcW w:w="68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investment income</w:t>
            </w: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7,733,892</w:t>
            </w:r>
          </w:p>
        </w:tc>
        <w:tc>
          <w:tcPr>
            <w:tcW w:w="4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2,967,327</w:t>
            </w:r>
          </w:p>
        </w:tc>
        <w:tc>
          <w:tcPr>
            <w:tcW w:w="120" w:type="dxa"/>
            <w:vAlign w:val="bottom"/>
            <w:tcBorders>
              <w:bottom w:val="single" w:sz="8" w:color="CFF0FC"/>
            </w:tcBorders>
          </w:tcPr>
          <w:p>
            <w:pPr>
              <w:spacing w:after="0"/>
              <w:rPr>
                <w:sz w:val="16"/>
                <w:szCs w:val="16"/>
                <w:color w:val="auto"/>
              </w:rPr>
            </w:pPr>
          </w:p>
        </w:tc>
      </w:tr>
      <w:tr>
        <w:trPr>
          <w:trHeight w:val="19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Realized and unrealized (loss) gain on investments and credit facility foreign currency translations:</w:t>
            </w:r>
          </w:p>
        </w:tc>
        <w:tc>
          <w:tcPr>
            <w:tcW w:w="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330" w:right="33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Net realized (loss)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750" cy="125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change in unrealized (depreciation) appreciation on:</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750" cy="1257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Credit facility foreign currency translations depreciation</w:t>
      </w:r>
    </w:p>
    <w:p>
      <w:pPr>
        <w:spacing w:after="0" w:line="34" w:lineRule="exact"/>
        <w:rPr>
          <w:sz w:val="20"/>
          <w:szCs w:val="20"/>
          <w:color w:val="auto"/>
        </w:rPr>
      </w:pPr>
    </w:p>
    <w:p>
      <w:pPr>
        <w:ind w:left="220" w:right="260"/>
        <w:spacing w:after="0" w:line="275" w:lineRule="auto"/>
        <w:rPr>
          <w:sz w:val="20"/>
          <w:szCs w:val="20"/>
          <w:color w:val="auto"/>
        </w:rPr>
      </w:pPr>
      <w:r>
        <w:rPr>
          <w:rFonts w:ascii="Times New Roman" w:cs="Times New Roman" w:eastAsia="Times New Roman" w:hAnsi="Times New Roman"/>
          <w:sz w:val="15"/>
          <w:szCs w:val="15"/>
          <w:b w:val="1"/>
          <w:bCs w:val="1"/>
          <w:color w:val="auto"/>
        </w:rPr>
        <w:t>Net change in unrealized (depreciation) appreciation on investments and credit facility foreign currency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43750" cy="251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43750" cy="251460"/>
                    </a:xfrm>
                    <a:prstGeom prst="rect">
                      <a:avLst/>
                    </a:prstGeom>
                    <a:noFill/>
                  </pic:spPr>
                </pic:pic>
              </a:graphicData>
            </a:graphic>
          </wp:anchor>
        </w:drawing>
      </w:r>
    </w:p>
    <w:p>
      <w:pPr>
        <w:spacing w:after="0" w:line="275" w:lineRule="auto"/>
        <w:rPr>
          <w:sz w:val="20"/>
          <w:szCs w:val="20"/>
          <w:color w:val="auto"/>
        </w:rPr>
      </w:pPr>
      <w:r>
        <w:rPr>
          <w:rFonts w:ascii="Times New Roman" w:cs="Times New Roman" w:eastAsia="Times New Roman" w:hAnsi="Times New Roman"/>
          <w:sz w:val="15"/>
          <w:szCs w:val="15"/>
          <w:b w:val="1"/>
          <w:bCs w:val="1"/>
          <w:color w:val="auto"/>
        </w:rPr>
        <w:t>Net realized and change in unrealized (loss) gain from investments and credit facility foreign currency translations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3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(885,069)</w:t>
            </w: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111,215</w:t>
            </w:r>
          </w:p>
        </w:tc>
        <w:tc>
          <w:tcPr>
            <w:tcW w:w="60" w:type="dxa"/>
            <w:vAlign w:val="bottom"/>
          </w:tcPr>
          <w:p>
            <w:pPr>
              <w:spacing w:after="0"/>
              <w:rPr>
                <w:sz w:val="16"/>
                <w:szCs w:val="16"/>
                <w:color w:val="auto"/>
              </w:rPr>
            </w:pPr>
          </w:p>
        </w:tc>
      </w:tr>
      <w:tr>
        <w:trPr>
          <w:trHeight w:val="396"/>
        </w:trPr>
        <w:tc>
          <w:tcPr>
            <w:tcW w:w="23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(5,976,299)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(364,201)</w:t>
            </w:r>
          </w:p>
        </w:tc>
      </w:tr>
      <w:tr>
        <w:trPr>
          <w:trHeight w:val="201"/>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1,887,878</w:t>
            </w:r>
          </w:p>
        </w:tc>
        <w:tc>
          <w:tcPr>
            <w:tcW w:w="4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882,899</w:t>
            </w:r>
          </w:p>
        </w:tc>
        <w:tc>
          <w:tcPr>
            <w:tcW w:w="60" w:type="dxa"/>
            <w:vAlign w:val="bottom"/>
          </w:tcPr>
          <w:p>
            <w:pPr>
              <w:spacing w:after="0"/>
              <w:rPr>
                <w:sz w:val="17"/>
                <w:szCs w:val="17"/>
                <w:color w:val="auto"/>
              </w:rPr>
            </w:pPr>
          </w:p>
        </w:tc>
      </w:tr>
      <w:tr>
        <w:trPr>
          <w:trHeight w:val="275"/>
        </w:trPr>
        <w:tc>
          <w:tcPr>
            <w:tcW w:w="23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(4,088,421)</w:t>
            </w: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518,698</w:t>
            </w:r>
          </w:p>
        </w:tc>
        <w:tc>
          <w:tcPr>
            <w:tcW w:w="60" w:type="dxa"/>
            <w:vAlign w:val="bottom"/>
          </w:tcPr>
          <w:p>
            <w:pPr>
              <w:spacing w:after="0"/>
              <w:rPr>
                <w:sz w:val="23"/>
                <w:szCs w:val="23"/>
                <w:color w:val="auto"/>
              </w:rPr>
            </w:pPr>
          </w:p>
        </w:tc>
      </w:tr>
      <w:tr>
        <w:trPr>
          <w:trHeight w:val="105"/>
        </w:trPr>
        <w:tc>
          <w:tcPr>
            <w:tcW w:w="1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72"/>
        </w:trPr>
        <w:tc>
          <w:tcPr>
            <w:tcW w:w="23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(4,973,490)</w:t>
            </w:r>
          </w:p>
        </w:tc>
        <w:tc>
          <w:tcPr>
            <w:tcW w:w="1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629,913</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1399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2713990" cy="762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440" w:space="420"/>
            <w:col w:w="4380"/>
          </w:cols>
          <w:pgMar w:left="320" w:top="330" w:right="339" w:bottom="1440" w:gutter="0" w:footer="0" w:header="0"/>
          <w:type w:val="continuous"/>
        </w:sectPr>
      </w:pPr>
    </w:p>
    <w:p>
      <w:pPr>
        <w:spacing w:after="0"/>
        <w:tabs>
          <w:tab w:leader="none" w:pos="6840" w:val="left"/>
          <w:tab w:leader="none" w:pos="8160" w:val="left"/>
          <w:tab w:leader="none" w:pos="9180" w:val="left"/>
          <w:tab w:leader="none" w:pos="10500" w:val="left"/>
        </w:tabs>
        <w:rPr>
          <w:sz w:val="20"/>
          <w:szCs w:val="20"/>
          <w:color w:val="auto"/>
        </w:rPr>
      </w:pPr>
      <w:r>
        <w:rPr>
          <w:rFonts w:ascii="Times New Roman" w:cs="Times New Roman" w:eastAsia="Times New Roman" w:hAnsi="Times New Roman"/>
          <w:sz w:val="15"/>
          <w:szCs w:val="15"/>
          <w:b w:val="1"/>
          <w:bCs w:val="1"/>
          <w:color w:val="auto"/>
        </w:rPr>
        <w:t>Net increase in members’ equity resulting from operations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2,760,402</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3,597,240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19050</wp:posOffset>
            </wp:positionV>
            <wp:extent cx="2713990" cy="234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2713990" cy="234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Members’ Equity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w w:val="98"/>
              </w:rPr>
              <w:t>Year Ended September 30,</w:t>
            </w:r>
          </w:p>
        </w:tc>
        <w:tc>
          <w:tcPr>
            <w:tcW w:w="100" w:type="dxa"/>
            <w:vAlign w:val="bottom"/>
          </w:tcPr>
          <w:p>
            <w:pPr>
              <w:spacing w:after="0"/>
              <w:rPr>
                <w:sz w:val="16"/>
                <w:szCs w:val="16"/>
                <w:color w:val="auto"/>
              </w:rPr>
            </w:pPr>
          </w:p>
        </w:tc>
        <w:tc>
          <w:tcPr>
            <w:tcW w:w="21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w w:val="99"/>
              </w:rPr>
              <w:t>Year Ended September 30,</w:t>
            </w:r>
          </w:p>
        </w:tc>
      </w:tr>
      <w:tr>
        <w:trPr>
          <w:trHeight w:val="199"/>
        </w:trPr>
        <w:tc>
          <w:tcPr>
            <w:tcW w:w="6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5"/>
                <w:szCs w:val="15"/>
                <w:b w:val="1"/>
                <w:bCs w:val="1"/>
                <w:color w:val="auto"/>
              </w:rPr>
              <w:t>2019</w:t>
            </w:r>
          </w:p>
        </w:tc>
        <w:tc>
          <w:tcPr>
            <w:tcW w:w="7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40" w:type="dxa"/>
            <w:vAlign w:val="bottom"/>
            <w:tcBorders>
              <w:bottom w:val="single" w:sz="8" w:color="CFF0FC"/>
            </w:tcBorders>
          </w:tcPr>
          <w:p>
            <w:pPr>
              <w:spacing w:after="0"/>
              <w:rPr>
                <w:sz w:val="17"/>
                <w:szCs w:val="17"/>
                <w:color w:val="auto"/>
              </w:rPr>
            </w:pPr>
          </w:p>
        </w:tc>
      </w:tr>
      <w:tr>
        <w:trPr>
          <w:trHeight w:val="19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Net increase in members’ equity from operations:</w:t>
            </w: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5"/>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Net 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7,733,892</w:t>
            </w:r>
          </w:p>
        </w:tc>
        <w:tc>
          <w:tcPr>
            <w:tcW w:w="7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2,967,327</w:t>
            </w:r>
          </w:p>
        </w:tc>
        <w:tc>
          <w:tcPr>
            <w:tcW w:w="240" w:type="dxa"/>
            <w:vAlign w:val="bottom"/>
          </w:tcPr>
          <w:p>
            <w:pPr>
              <w:spacing w:after="0"/>
              <w:rPr>
                <w:sz w:val="16"/>
                <w:szCs w:val="16"/>
                <w:color w:val="auto"/>
              </w:rPr>
            </w:pPr>
          </w:p>
        </w:tc>
      </w:tr>
      <w:tr>
        <w:trPr>
          <w:trHeight w:val="201"/>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realized (loss) gain on investments</w:t>
            </w:r>
          </w:p>
        </w:tc>
        <w:tc>
          <w:tcPr>
            <w:tcW w:w="120" w:type="dxa"/>
            <w:vAlign w:val="bottom"/>
            <w:shd w:val="clear" w:color="auto" w:fill="CFF0FC"/>
          </w:tcPr>
          <w:p>
            <w:pPr>
              <w:spacing w:after="0"/>
              <w:rPr>
                <w:sz w:val="17"/>
                <w:szCs w:val="17"/>
                <w:color w:val="auto"/>
              </w:rPr>
            </w:pPr>
          </w:p>
        </w:tc>
        <w:tc>
          <w:tcPr>
            <w:tcW w:w="266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5"/>
                <w:szCs w:val="15"/>
                <w:color w:val="auto"/>
              </w:rPr>
              <w:t>(885,069)</w:t>
            </w:r>
          </w:p>
        </w:tc>
        <w:tc>
          <w:tcPr>
            <w:tcW w:w="1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111,215</w:t>
            </w:r>
          </w:p>
        </w:tc>
        <w:tc>
          <w:tcPr>
            <w:tcW w:w="240" w:type="dxa"/>
            <w:vAlign w:val="bottom"/>
            <w:shd w:val="clear" w:color="auto" w:fill="CFF0FC"/>
          </w:tcPr>
          <w:p>
            <w:pPr>
              <w:spacing w:after="0"/>
              <w:rPr>
                <w:sz w:val="17"/>
                <w:szCs w:val="17"/>
                <w:color w:val="auto"/>
              </w:rPr>
            </w:pPr>
          </w:p>
        </w:tc>
      </w:tr>
      <w:tr>
        <w:trPr>
          <w:trHeight w:val="195"/>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depreciation on investments</w:t>
            </w:r>
          </w:p>
        </w:tc>
        <w:tc>
          <w:tcPr>
            <w:tcW w:w="120" w:type="dxa"/>
            <w:vAlign w:val="bottom"/>
          </w:tcPr>
          <w:p>
            <w:pPr>
              <w:spacing w:after="0"/>
              <w:rPr>
                <w:sz w:val="16"/>
                <w:szCs w:val="16"/>
                <w:color w:val="auto"/>
              </w:rPr>
            </w:pPr>
          </w:p>
        </w:tc>
        <w:tc>
          <w:tcPr>
            <w:tcW w:w="266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color w:val="auto"/>
              </w:rPr>
              <w:t>(5,976,299)</w:t>
            </w:r>
          </w:p>
        </w:tc>
        <w:tc>
          <w:tcPr>
            <w:tcW w:w="100" w:type="dxa"/>
            <w:vAlign w:val="bottom"/>
          </w:tcPr>
          <w:p>
            <w:pPr>
              <w:spacing w:after="0"/>
              <w:rPr>
                <w:sz w:val="16"/>
                <w:szCs w:val="16"/>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(364,201)</w:t>
            </w:r>
          </w:p>
        </w:tc>
      </w:tr>
      <w:tr>
        <w:trPr>
          <w:trHeight w:val="201"/>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change in unrealized depreciation on credit facility foreign currency translations</w:t>
            </w:r>
          </w:p>
        </w:tc>
        <w:tc>
          <w:tcPr>
            <w:tcW w:w="1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1,887,878</w:t>
            </w:r>
          </w:p>
        </w:tc>
        <w:tc>
          <w:tcPr>
            <w:tcW w:w="7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882,899</w:t>
            </w:r>
          </w:p>
        </w:tc>
        <w:tc>
          <w:tcPr>
            <w:tcW w:w="240" w:type="dxa"/>
            <w:vAlign w:val="bottom"/>
            <w:shd w:val="clear" w:color="auto" w:fill="CFF0FC"/>
          </w:tcPr>
          <w:p>
            <w:pPr>
              <w:spacing w:after="0"/>
              <w:rPr>
                <w:sz w:val="17"/>
                <w:szCs w:val="17"/>
                <w:color w:val="auto"/>
              </w:rPr>
            </w:pPr>
          </w:p>
        </w:tc>
      </w:tr>
      <w:tr>
        <w:trPr>
          <w:trHeight w:val="188"/>
        </w:trPr>
        <w:tc>
          <w:tcPr>
            <w:tcW w:w="6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Net increase in members’ equity from operations</w:t>
            </w: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2,760,402</w:t>
            </w:r>
          </w:p>
        </w:tc>
        <w:tc>
          <w:tcPr>
            <w:tcW w:w="7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3,597,240</w:t>
            </w:r>
          </w:p>
        </w:tc>
        <w:tc>
          <w:tcPr>
            <w:tcW w:w="240" w:type="dxa"/>
            <w:vAlign w:val="bottom"/>
            <w:tcBorders>
              <w:bottom w:val="single" w:sz="8" w:color="CFF0FC"/>
            </w:tcBorders>
          </w:tcPr>
          <w:p>
            <w:pPr>
              <w:spacing w:after="0"/>
              <w:rPr>
                <w:sz w:val="16"/>
                <w:szCs w:val="16"/>
                <w:color w:val="auto"/>
              </w:rPr>
            </w:pPr>
          </w:p>
        </w:tc>
      </w:tr>
      <w:tr>
        <w:trPr>
          <w:trHeight w:val="19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Capital contributions</w:t>
            </w:r>
          </w:p>
        </w:tc>
        <w:tc>
          <w:tcPr>
            <w:tcW w:w="120" w:type="dxa"/>
            <w:vAlign w:val="bottom"/>
            <w:tcBorders>
              <w:bottom w:val="single" w:sz="8" w:color="auto"/>
            </w:tcBorders>
            <w:shd w:val="clear" w:color="auto" w:fill="CFF0FC"/>
          </w:tcPr>
          <w:p>
            <w:pPr>
              <w:spacing w:after="0"/>
              <w:rPr>
                <w:sz w:val="16"/>
                <w:szCs w:val="16"/>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10,350,000</w:t>
            </w:r>
          </w:p>
        </w:tc>
        <w:tc>
          <w:tcPr>
            <w:tcW w:w="7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34,757,143</w:t>
            </w:r>
          </w:p>
        </w:tc>
        <w:tc>
          <w:tcPr>
            <w:tcW w:w="240" w:type="dxa"/>
            <w:vAlign w:val="bottom"/>
            <w:shd w:val="clear" w:color="auto" w:fill="CFF0FC"/>
          </w:tcPr>
          <w:p>
            <w:pPr>
              <w:spacing w:after="0"/>
              <w:rPr>
                <w:sz w:val="16"/>
                <w:szCs w:val="16"/>
                <w:color w:val="auto"/>
              </w:rPr>
            </w:pPr>
          </w:p>
        </w:tc>
      </w:tr>
      <w:tr>
        <w:trPr>
          <w:trHeight w:val="188"/>
        </w:trPr>
        <w:tc>
          <w:tcPr>
            <w:tcW w:w="6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Distributions</w:t>
            </w:r>
          </w:p>
        </w:tc>
        <w:tc>
          <w:tcPr>
            <w:tcW w:w="120" w:type="dxa"/>
            <w:vAlign w:val="bottom"/>
          </w:tcPr>
          <w:p>
            <w:pPr>
              <w:spacing w:after="0"/>
              <w:rPr>
                <w:sz w:val="16"/>
                <w:szCs w:val="16"/>
                <w:color w:val="auto"/>
              </w:rPr>
            </w:pPr>
          </w:p>
        </w:tc>
        <w:tc>
          <w:tcPr>
            <w:tcW w:w="266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color w:val="auto"/>
              </w:rPr>
              <w:t>(7,200,000)</w:t>
            </w:r>
          </w:p>
        </w:tc>
        <w:tc>
          <w:tcPr>
            <w:tcW w:w="100" w:type="dxa"/>
            <w:vAlign w:val="bottom"/>
          </w:tcPr>
          <w:p>
            <w:pPr>
              <w:spacing w:after="0"/>
              <w:rPr>
                <w:sz w:val="16"/>
                <w:szCs w:val="16"/>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(2,500,000)</w:t>
            </w:r>
          </w:p>
        </w:tc>
      </w:tr>
      <w:tr>
        <w:trPr>
          <w:trHeight w:val="193"/>
        </w:trPr>
        <w:tc>
          <w:tcPr>
            <w:tcW w:w="6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Net increase in members’ equity</w:t>
            </w:r>
          </w:p>
        </w:tc>
        <w:tc>
          <w:tcPr>
            <w:tcW w:w="120" w:type="dxa"/>
            <w:vAlign w:val="bottom"/>
            <w:tcBorders>
              <w:top w:val="single" w:sz="8" w:color="auto"/>
            </w:tcBorders>
            <w:shd w:val="clear" w:color="auto" w:fill="CFF0FC"/>
          </w:tcPr>
          <w:p>
            <w:pPr>
              <w:spacing w:after="0"/>
              <w:rPr>
                <w:sz w:val="16"/>
                <w:szCs w:val="16"/>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5,910,402</w:t>
            </w:r>
          </w:p>
        </w:tc>
        <w:tc>
          <w:tcPr>
            <w:tcW w:w="7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35,854,383</w:t>
            </w:r>
          </w:p>
        </w:tc>
        <w:tc>
          <w:tcPr>
            <w:tcW w:w="240" w:type="dxa"/>
            <w:vAlign w:val="bottom"/>
            <w:tcBorders>
              <w:top w:val="single" w:sz="8" w:color="CFF0FC"/>
            </w:tcBorders>
            <w:shd w:val="clear" w:color="auto" w:fill="CFF0FC"/>
          </w:tcPr>
          <w:p>
            <w:pPr>
              <w:spacing w:after="0"/>
              <w:rPr>
                <w:sz w:val="16"/>
                <w:szCs w:val="16"/>
                <w:color w:val="auto"/>
              </w:rPr>
            </w:pP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Members’ equity</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Beginning of period</w:t>
            </w:r>
          </w:p>
        </w:tc>
        <w:tc>
          <w:tcPr>
            <w:tcW w:w="12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51,197,404</w:t>
            </w:r>
          </w:p>
        </w:tc>
        <w:tc>
          <w:tcPr>
            <w:tcW w:w="7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15,343,021</w:t>
            </w:r>
          </w:p>
        </w:tc>
        <w:tc>
          <w:tcPr>
            <w:tcW w:w="240" w:type="dxa"/>
            <w:vAlign w:val="bottom"/>
            <w:shd w:val="clear" w:color="auto" w:fill="CFF0FC"/>
          </w:tcPr>
          <w:p>
            <w:pPr>
              <w:spacing w:after="0"/>
              <w:rPr>
                <w:sz w:val="17"/>
                <w:szCs w:val="17"/>
                <w:color w:val="auto"/>
              </w:rPr>
            </w:pPr>
          </w:p>
        </w:tc>
      </w:tr>
      <w:tr>
        <w:trPr>
          <w:trHeight w:val="188"/>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57,107,806</w:t>
            </w:r>
          </w:p>
        </w:tc>
        <w:tc>
          <w:tcPr>
            <w:tcW w:w="7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51,197,404</w:t>
            </w:r>
          </w:p>
        </w:tc>
        <w:tc>
          <w:tcPr>
            <w:tcW w:w="240" w:type="dxa"/>
            <w:vAlign w:val="bottom"/>
          </w:tcPr>
          <w:p>
            <w:pPr>
              <w:spacing w:after="0"/>
              <w:rPr>
                <w:sz w:val="16"/>
                <w:szCs w:val="16"/>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27" w:name="page128"/>
    <w:bookmarkEnd w:id="127"/>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218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Year Ended September 30,</w:t>
            </w:r>
          </w:p>
        </w:tc>
        <w:tc>
          <w:tcPr>
            <w:tcW w:w="1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7"/>
              </w:rPr>
              <w:t>Year Ended September 30,</w:t>
            </w:r>
          </w:p>
        </w:tc>
        <w:tc>
          <w:tcPr>
            <w:tcW w:w="0" w:type="dxa"/>
            <w:vAlign w:val="bottom"/>
          </w:tcPr>
          <w:p>
            <w:pPr>
              <w:spacing w:after="0"/>
              <w:rPr>
                <w:sz w:val="1"/>
                <w:szCs w:val="1"/>
                <w:color w:val="auto"/>
              </w:rPr>
            </w:pPr>
          </w:p>
        </w:tc>
      </w:tr>
      <w:tr>
        <w:trPr>
          <w:trHeight w:val="199"/>
        </w:trPr>
        <w:tc>
          <w:tcPr>
            <w:tcW w:w="688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rPr>
              <w:t>2019</w:t>
            </w:r>
          </w:p>
        </w:tc>
        <w:tc>
          <w:tcPr>
            <w:tcW w:w="3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increase in members’ equity resulting from operations</w:t>
            </w:r>
          </w:p>
        </w:tc>
        <w:tc>
          <w:tcPr>
            <w:tcW w:w="4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2,760,402</w:t>
            </w:r>
          </w:p>
        </w:tc>
        <w:tc>
          <w:tcPr>
            <w:tcW w:w="3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3,597,240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increase in members’ equity resulting from operations to net cash used in</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operating activities: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change in unrealized depreciation on investments and cash equivalents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5,976,299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364,201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Net change in unrealized depreciation on credit facility foreign currency</w:t>
            </w:r>
          </w:p>
        </w:tc>
        <w:tc>
          <w:tcPr>
            <w:tcW w:w="420" w:type="dxa"/>
            <w:vAlign w:val="bottom"/>
            <w:shd w:val="clear" w:color="auto" w:fill="CFF0FC"/>
          </w:tcPr>
          <w:p>
            <w:pPr>
              <w:spacing w:after="0"/>
              <w:rPr>
                <w:sz w:val="16"/>
                <w:szCs w:val="16"/>
                <w:color w:val="auto"/>
              </w:rPr>
            </w:pPr>
          </w:p>
        </w:tc>
        <w:tc>
          <w:tcPr>
            <w:tcW w:w="176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(1,887,878)</w:t>
            </w:r>
          </w:p>
        </w:tc>
        <w:tc>
          <w:tcPr>
            <w:tcW w:w="100" w:type="dxa"/>
            <w:vAlign w:val="bottom"/>
            <w:shd w:val="clear" w:color="auto" w:fill="CFF0FC"/>
          </w:tcPr>
          <w:p>
            <w:pPr>
              <w:spacing w:after="0"/>
              <w:rPr>
                <w:sz w:val="16"/>
                <w:szCs w:val="16"/>
                <w:color w:val="auto"/>
              </w:rPr>
            </w:pPr>
          </w:p>
        </w:tc>
        <w:tc>
          <w:tcPr>
            <w:tcW w:w="1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(882,899)</w:t>
            </w:r>
          </w:p>
        </w:tc>
        <w:tc>
          <w:tcPr>
            <w:tcW w:w="0" w:type="dxa"/>
            <w:vAlign w:val="bottom"/>
          </w:tcPr>
          <w:p>
            <w:pPr>
              <w:spacing w:after="0"/>
              <w:rPr>
                <w:sz w:val="1"/>
                <w:szCs w:val="1"/>
                <w:color w:val="auto"/>
              </w:rPr>
            </w:pPr>
          </w:p>
        </w:tc>
      </w:tr>
      <w:tr>
        <w:trPr>
          <w:trHeight w:val="93"/>
        </w:trPr>
        <w:tc>
          <w:tcPr>
            <w:tcW w:w="688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5"/>
                <w:szCs w:val="15"/>
                <w:color w:val="auto"/>
              </w:rPr>
              <w:t>translations</w:t>
            </w:r>
          </w:p>
        </w:tc>
        <w:tc>
          <w:tcPr>
            <w:tcW w:w="420" w:type="dxa"/>
            <w:vAlign w:val="bottom"/>
            <w:shd w:val="clear" w:color="auto" w:fill="CFF0FC"/>
          </w:tcPr>
          <w:p>
            <w:pPr>
              <w:spacing w:after="0"/>
              <w:rPr>
                <w:sz w:val="8"/>
                <w:szCs w:val="8"/>
                <w:color w:val="auto"/>
              </w:rPr>
            </w:pPr>
          </w:p>
        </w:tc>
        <w:tc>
          <w:tcPr>
            <w:tcW w:w="176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92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880" w:type="dxa"/>
            <w:vAlign w:val="bottom"/>
            <w:vMerge w:val="continue"/>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realized loss (gain) on investments and cash equivalents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885,069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(111,215)</w:t>
            </w: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Net accretion of discount and amortization of premium</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(812,111)</w:t>
            </w:r>
          </w:p>
        </w:tc>
        <w:tc>
          <w:tcPr>
            <w:tcW w:w="1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(330,278)</w:t>
            </w: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Purchases of investments</w:t>
            </w:r>
          </w:p>
        </w:tc>
        <w:tc>
          <w:tcPr>
            <w:tcW w:w="42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(228,607,947)</w:t>
            </w:r>
          </w:p>
        </w:tc>
        <w:tc>
          <w:tcPr>
            <w:tcW w:w="100" w:type="dxa"/>
            <w:vAlign w:val="bottom"/>
          </w:tcPr>
          <w:p>
            <w:pPr>
              <w:spacing w:after="0"/>
              <w:rPr>
                <w:sz w:val="16"/>
                <w:szCs w:val="16"/>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(371,330,515)</w:t>
            </w: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Payment-in-kind interest</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(438,106)</w:t>
            </w:r>
          </w:p>
        </w:tc>
        <w:tc>
          <w:tcPr>
            <w:tcW w:w="1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disposition of investments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159,930,292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45,763,521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Increase in interest receivable</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(185,492)</w:t>
            </w:r>
          </w:p>
        </w:tc>
        <w:tc>
          <w:tcPr>
            <w:tcW w:w="1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(1,337,073)</w:t>
            </w: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Decrease (Increase) in prepaid expenses and other assets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1,788,144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(1,653,448)</w:t>
            </w: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(Decrease) in payables for investments purchased</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(27,095,850)</w:t>
            </w: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Increase in interest payable on credit facility</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87,238</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(Decrease) Increase in interest payable on notes to members</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(60,769)</w:t>
            </w: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87,859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(Decrease) Increase in accrued expenses</w:t>
            </w:r>
          </w:p>
        </w:tc>
        <w:tc>
          <w:tcPr>
            <w:tcW w:w="42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(224,843)</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8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(60,789,702)</w:t>
            </w:r>
          </w:p>
        </w:tc>
        <w:tc>
          <w:tcPr>
            <w:tcW w:w="100" w:type="dxa"/>
            <w:vAlign w:val="bottom"/>
            <w:shd w:val="clear" w:color="auto" w:fill="CFF0FC"/>
          </w:tcPr>
          <w:p>
            <w:pPr>
              <w:spacing w:after="0"/>
              <w:rPr>
                <w:sz w:val="16"/>
                <w:szCs w:val="16"/>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(351,810,279)</w:t>
            </w:r>
          </w:p>
        </w:tc>
        <w:tc>
          <w:tcPr>
            <w:tcW w:w="0" w:type="dxa"/>
            <w:vAlign w:val="bottom"/>
          </w:tcPr>
          <w:p>
            <w:pPr>
              <w:spacing w:after="0"/>
              <w:rPr>
                <w:sz w:val="1"/>
                <w:szCs w:val="1"/>
                <w:color w:val="auto"/>
              </w:rPr>
            </w:pPr>
          </w:p>
        </w:tc>
      </w:tr>
      <w:tr>
        <w:trPr>
          <w:trHeight w:val="188"/>
        </w:trPr>
        <w:tc>
          <w:tcPr>
            <w:tcW w:w="6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Members’ capital contributions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10,350,000</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34,757,143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Distributions to members</w:t>
            </w:r>
          </w:p>
        </w:tc>
        <w:tc>
          <w:tcPr>
            <w:tcW w:w="42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(7,200,000)</w:t>
            </w:r>
          </w:p>
        </w:tc>
        <w:tc>
          <w:tcPr>
            <w:tcW w:w="100" w:type="dxa"/>
            <w:vAlign w:val="bottom"/>
          </w:tcPr>
          <w:p>
            <w:pPr>
              <w:spacing w:after="0"/>
              <w:rPr>
                <w:sz w:val="16"/>
                <w:szCs w:val="16"/>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(2,500,000)</w:t>
            </w: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Notes issued to members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24,150,000</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81,100,000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Borrowings under credit facility</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117,526,283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303,274,463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Repayments under credit facility</w:t>
            </w:r>
          </w:p>
        </w:tc>
        <w:tc>
          <w:tcPr>
            <w:tcW w:w="4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(82,200,000)</w:t>
            </w:r>
          </w:p>
        </w:tc>
        <w:tc>
          <w:tcPr>
            <w:tcW w:w="1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(53,889,549)</w:t>
            </w:r>
          </w:p>
        </w:tc>
        <w:tc>
          <w:tcPr>
            <w:tcW w:w="0" w:type="dxa"/>
            <w:vAlign w:val="bottom"/>
          </w:tcPr>
          <w:p>
            <w:pPr>
              <w:spacing w:after="0"/>
              <w:rPr>
                <w:sz w:val="1"/>
                <w:szCs w:val="1"/>
                <w:color w:val="auto"/>
              </w:rPr>
            </w:pPr>
          </w:p>
        </w:tc>
      </w:tr>
      <w:tr>
        <w:trPr>
          <w:trHeight w:val="188"/>
        </w:trPr>
        <w:tc>
          <w:tcPr>
            <w:tcW w:w="688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62,626,283</w:t>
            </w:r>
          </w:p>
        </w:tc>
        <w:tc>
          <w:tcPr>
            <w:tcW w:w="36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362,742,057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Net increase in cash and cash equivalents</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1,836,581</w:t>
            </w: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10,931,778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420" w:type="dxa"/>
            <w:vAlign w:val="bottom"/>
          </w:tcPr>
          <w:p>
            <w:pPr>
              <w:spacing w:after="0"/>
              <w:rPr>
                <w:sz w:val="16"/>
                <w:szCs w:val="16"/>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(62,460)</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13,520,760</w:t>
            </w:r>
          </w:p>
        </w:tc>
        <w:tc>
          <w:tcPr>
            <w:tcW w:w="3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2,371,263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4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15,294,881</w:t>
            </w:r>
          </w:p>
        </w:tc>
        <w:tc>
          <w:tcPr>
            <w:tcW w:w="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13,520,760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8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5"/>
                <w:szCs w:val="15"/>
                <w:color w:val="auto"/>
              </w:rPr>
              <w:t>Interest paid on credit facility</w:t>
            </w:r>
          </w:p>
        </w:tc>
        <w:tc>
          <w:tcPr>
            <w:tcW w:w="4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14,692,546</w:t>
            </w:r>
          </w:p>
        </w:tc>
        <w:tc>
          <w:tcPr>
            <w:tcW w:w="3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5,619,860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Interest paid on notes to members</w:t>
            </w:r>
          </w:p>
        </w:tc>
        <w:tc>
          <w:tcPr>
            <w:tcW w:w="42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14,308,586</w:t>
            </w:r>
          </w:p>
        </w:tc>
        <w:tc>
          <w:tcPr>
            <w:tcW w:w="3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5,972,609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auto"/>
              </w:rPr>
              <w:t>Non-cash transaction</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80" w:type="dxa"/>
            <w:vAlign w:val="bottom"/>
            <w:vMerge w:val="continue"/>
          </w:tcPr>
          <w:p>
            <w:pPr>
              <w:spacing w:after="0"/>
              <w:rPr>
                <w:sz w:val="15"/>
                <w:szCs w:val="15"/>
                <w:color w:val="auto"/>
              </w:rPr>
            </w:pPr>
          </w:p>
        </w:tc>
        <w:tc>
          <w:tcPr>
            <w:tcW w:w="420" w:type="dxa"/>
            <w:vAlign w:val="bottom"/>
          </w:tcPr>
          <w:p>
            <w:pPr>
              <w:jc w:val="right"/>
              <w:ind w:right="266"/>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15,438,011</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080"/>
          </w:cols>
          <w:pgMar w:left="320" w:top="330" w:right="49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5"/>
          <w:szCs w:val="15"/>
          <w:b w:val="1"/>
          <w:bCs w:val="1"/>
          <w:color w:val="auto"/>
        </w:rPr>
        <w:t>PennantPark Senior Secured Loan Fund I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ectPr>
          <w:pgSz w:w="11900" w:h="16838" w:orient="portrait"/>
          <w:cols w:equalWidth="0" w:num="1">
            <w:col w:w="11240"/>
          </w:cols>
          <w:pgMar w:left="320" w:top="330" w:right="339" w:bottom="1440" w:gutter="0" w:footer="0" w:header="0"/>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00" w:type="dxa"/>
            <w:vAlign w:val="bottom"/>
          </w:tcPr>
          <w:p>
            <w:pPr>
              <w:spacing w:after="0"/>
              <w:rPr>
                <w:sz w:val="11"/>
                <w:szCs w:val="11"/>
                <w:color w:val="auto"/>
              </w:rPr>
            </w:pPr>
          </w:p>
        </w:tc>
      </w:tr>
      <w:tr>
        <w:trPr>
          <w:trHeight w:val="134"/>
        </w:trPr>
        <w:tc>
          <w:tcPr>
            <w:tcW w:w="3240" w:type="dxa"/>
            <w:vAlign w:val="bottom"/>
          </w:tcPr>
          <w:p>
            <w:pPr>
              <w:spacing w:after="0"/>
              <w:rPr>
                <w:sz w:val="11"/>
                <w:szCs w:val="11"/>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9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300" w:type="dxa"/>
            <w:vAlign w:val="bottom"/>
          </w:tcPr>
          <w:p>
            <w:pPr>
              <w:spacing w:after="0"/>
              <w:rPr>
                <w:sz w:val="11"/>
                <w:szCs w:val="11"/>
                <w:color w:val="auto"/>
              </w:rPr>
            </w:pP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 - 830.5%</w:t>
            </w:r>
          </w:p>
        </w:tc>
        <w:tc>
          <w:tcPr>
            <w:tcW w:w="8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Aerospace and Defense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Cadence Aerospace, LLC</w:t>
            </w:r>
          </w:p>
        </w:tc>
        <w:tc>
          <w:tcPr>
            <w:tcW w:w="8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11/14/2023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8.54%</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Centauri Group Holdings,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02/12/2024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7.36%</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IMIA Holdings,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10/28/2024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10/18/2022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9.55%</w:t>
            </w:r>
          </w:p>
        </w:tc>
        <w:tc>
          <w:tcPr>
            <w:tcW w:w="300" w:type="dxa"/>
            <w:vAlign w:val="bottom"/>
          </w:tcPr>
          <w:p>
            <w:pPr>
              <w:spacing w:after="0"/>
              <w:rPr>
                <w:sz w:val="11"/>
                <w:szCs w:val="11"/>
                <w:color w:val="auto"/>
              </w:rPr>
            </w:pPr>
          </w:p>
        </w:tc>
      </w:tr>
      <w:tr>
        <w:trPr>
          <w:trHeight w:val="128"/>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Banking, Finance, Insurance and Real Estate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45"/>
        </w:trPr>
        <w:tc>
          <w:tcPr>
            <w:tcW w:w="3240" w:type="dxa"/>
            <w:vAlign w:val="bottom"/>
          </w:tcPr>
          <w:p>
            <w:pPr>
              <w:ind w:left="220"/>
              <w:spacing w:after="0" w:line="145" w:lineRule="exact"/>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16"/>
                <w:szCs w:val="16"/>
                <w:color w:val="auto"/>
                <w:vertAlign w:val="superscript"/>
              </w:rPr>
              <w:t>(1)</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05/31/2024</w:t>
            </w:r>
          </w:p>
        </w:tc>
        <w:tc>
          <w:tcPr>
            <w:tcW w:w="16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6.26%</w:t>
            </w:r>
          </w:p>
        </w:tc>
        <w:tc>
          <w:tcPr>
            <w:tcW w:w="30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4"/>
              </w:rPr>
              <w:t>A$</w:t>
            </w: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Cardenas Markets LLC</w:t>
            </w:r>
          </w:p>
        </w:tc>
        <w:tc>
          <w:tcPr>
            <w:tcW w:w="8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11/29/2023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7.79%</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First Out</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05/01/2023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Funded Revolver</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05/01/2023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Country Fresh Holdings, LLC - Unfunded Revolver</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05/01/2023</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Good Source Solutions,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06/29/2023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6.37%</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Olde Thompson,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05/14/2024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6.54%</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Pestell Minerals and Ingredients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06/01/2023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7.57%</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Pestell Minerals and Ingredients Inc. (CAD)</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06/01/2023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7.23%</w:t>
            </w:r>
          </w:p>
        </w:tc>
        <w:tc>
          <w:tcPr>
            <w:tcW w:w="30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7"/>
              </w:rPr>
              <w:t>C$</w:t>
            </w: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Snak Club,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07/19/2021</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8.10%</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Beverages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Good2Grow LLC</w:t>
            </w:r>
          </w:p>
        </w:tc>
        <w:tc>
          <w:tcPr>
            <w:tcW w:w="8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11/18/2024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6.35%</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08/31/2023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7.87%</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03/27/2024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6.54%</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TVC Enterprises,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01/18/2024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7.55%</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Capital Equipment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LAV Gear Holdings,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10/31/2024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7.60%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09/28/2022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Sonny's Enterprises,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12/01/2022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6.35%</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UBEO,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04/03/2024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6.78%</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Chemicals, Plastics and Rubber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10/19/2022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7.85%</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10/19/2022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7.85%</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10/19/2022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8.00%</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Durable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GSM Holdings,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06/03/2024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6.60%</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Non-Durable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Deva Holdings,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10/31/2023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7.54%</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Manna Pro Products,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12/08/2023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8.05%</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New Milani Group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06/06/2024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6.35%</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Diversified Consumer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09/29/2023</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6.85%</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06/16/2025</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8.28%</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Teneo Holdings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07/18/2025</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7.29%</w:t>
            </w:r>
          </w:p>
        </w:tc>
        <w:tc>
          <w:tcPr>
            <w:tcW w:w="300" w:type="dxa"/>
            <w:vAlign w:val="bottom"/>
          </w:tcPr>
          <w:p>
            <w:pPr>
              <w:spacing w:after="0"/>
              <w:rPr>
                <w:sz w:val="11"/>
                <w:szCs w:val="11"/>
                <w:color w:val="auto"/>
              </w:rPr>
            </w:pPr>
          </w:p>
        </w:tc>
      </w:tr>
      <w:tr>
        <w:trPr>
          <w:trHeight w:val="13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Healthcare and Pharmaceuticals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Long's Drugs Incorporated</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08/19/2022</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7.10%</w:t>
            </w:r>
          </w:p>
        </w:tc>
        <w:tc>
          <w:tcPr>
            <w:tcW w:w="300" w:type="dxa"/>
            <w:vAlign w:val="bottom"/>
          </w:tcPr>
          <w:p>
            <w:pPr>
              <w:spacing w:after="0"/>
              <w:rPr>
                <w:sz w:val="11"/>
                <w:szCs w:val="11"/>
                <w:color w:val="auto"/>
              </w:rPr>
            </w:pPr>
          </w:p>
        </w:tc>
      </w:tr>
      <w:tr>
        <w:trPr>
          <w:trHeight w:val="136"/>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Smile Brands Inc.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10/14/2024</w:t>
            </w:r>
          </w:p>
        </w:tc>
        <w:tc>
          <w:tcPr>
            <w:tcW w:w="16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6.66%</w:t>
            </w:r>
          </w:p>
        </w:tc>
        <w:tc>
          <w:tcPr>
            <w:tcW w:w="300" w:type="dxa"/>
            <w:vAlign w:val="bottom"/>
          </w:tcPr>
          <w:p>
            <w:pPr>
              <w:spacing w:after="0"/>
              <w:rPr>
                <w:sz w:val="11"/>
                <w:szCs w:val="11"/>
                <w:color w:val="auto"/>
              </w:rPr>
            </w:pPr>
          </w:p>
        </w:tc>
      </w:tr>
      <w:tr>
        <w:trPr>
          <w:trHeight w:val="140"/>
        </w:trPr>
        <w:tc>
          <w:tcPr>
            <w:tcW w:w="3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08/30/2024</w:t>
            </w:r>
          </w:p>
        </w:tc>
        <w:tc>
          <w:tcPr>
            <w:tcW w:w="16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7.04%</w:t>
            </w:r>
          </w:p>
        </w:tc>
        <w:tc>
          <w:tcPr>
            <w:tcW w:w="3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Fair Value as a Percentage of</w:t>
            </w:r>
          </w:p>
        </w:tc>
      </w:tr>
      <w:tr>
        <w:trPr>
          <w:trHeight w:val="134"/>
        </w:trPr>
        <w:tc>
          <w:tcPr>
            <w:tcW w:w="108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Par</w:t>
            </w:r>
          </w:p>
        </w:tc>
        <w:tc>
          <w:tcPr>
            <w:tcW w:w="460" w:type="dxa"/>
            <w:vAlign w:val="bottom"/>
          </w:tcPr>
          <w:p>
            <w:pPr>
              <w:spacing w:after="0"/>
              <w:rPr>
                <w:sz w:val="11"/>
                <w:szCs w:val="11"/>
                <w:color w:val="auto"/>
              </w:rPr>
            </w:pPr>
          </w:p>
        </w:tc>
        <w:tc>
          <w:tcPr>
            <w:tcW w:w="96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480" w:type="dxa"/>
            <w:vAlign w:val="bottom"/>
          </w:tcPr>
          <w:p>
            <w:pPr>
              <w:spacing w:after="0"/>
              <w:rPr>
                <w:sz w:val="11"/>
                <w:szCs w:val="1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260" w:type="dxa"/>
            <w:vAlign w:val="bottom"/>
          </w:tcPr>
          <w:p>
            <w:pPr>
              <w:spacing w:after="0"/>
              <w:rPr>
                <w:sz w:val="11"/>
                <w:szCs w:val="11"/>
                <w:color w:val="auto"/>
              </w:rPr>
            </w:pPr>
          </w:p>
        </w:tc>
      </w:tr>
      <w:tr>
        <w:trPr>
          <w:trHeight w:val="529"/>
        </w:trPr>
        <w:tc>
          <w:tcPr>
            <w:tcW w:w="10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11,735,208</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11,644,440</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11,680,054</w:t>
            </w:r>
          </w:p>
        </w:tc>
        <w:tc>
          <w:tcPr>
            <w:tcW w:w="240" w:type="dxa"/>
            <w:vAlign w:val="bottom"/>
          </w:tcPr>
          <w:p>
            <w:pPr>
              <w:spacing w:after="0"/>
              <w:rPr>
                <w:sz w:val="24"/>
                <w:szCs w:val="24"/>
                <w:color w:val="auto"/>
              </w:rPr>
            </w:pPr>
          </w:p>
        </w:tc>
        <w:tc>
          <w:tcPr>
            <w:tcW w:w="11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20.5</w:t>
            </w:r>
          </w:p>
        </w:tc>
        <w:tc>
          <w:tcPr>
            <w:tcW w:w="26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86"/>
              </w:rPr>
              <w:t>%</w:t>
            </w: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10,422,726</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10,413,416</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10,396,669</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12,406,250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12,351,255</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12,344,219</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21.6</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5,466,024</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5,389,938</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5,466,024</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260" w:type="dxa"/>
            <w:vAlign w:val="bottom"/>
          </w:tcPr>
          <w:p>
            <w:pPr>
              <w:spacing w:after="0"/>
              <w:rPr>
                <w:sz w:val="12"/>
                <w:szCs w:val="12"/>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10,000,000</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7,376,173</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6,542,165</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260" w:type="dxa"/>
            <w:vAlign w:val="bottom"/>
          </w:tcPr>
          <w:p>
            <w:pPr>
              <w:spacing w:after="0"/>
              <w:rPr>
                <w:sz w:val="23"/>
                <w:szCs w:val="23"/>
                <w:color w:val="auto"/>
              </w:rPr>
            </w:pPr>
          </w:p>
        </w:tc>
      </w:tr>
      <w:tr>
        <w:trPr>
          <w:trHeight w:val="136"/>
        </w:trPr>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7,348,866</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7,311,507</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7,128,400</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182,403</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179,170</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182,403</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0.3</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126,031</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126,031</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126,031</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0.2</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324,080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1"/>
                <w:szCs w:val="11"/>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14,357,813</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14,241,579</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14,135,267</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24.8</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11,876,667</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11,757,900</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11,876,667</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9,925,000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9,840,202</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9,825,750</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17.2</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3,242,655</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2,412,626</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2,424,644</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4,687,495</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4,687,495</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4,359,370</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260" w:type="dxa"/>
            <w:vAlign w:val="bottom"/>
          </w:tcPr>
          <w:p>
            <w:pPr>
              <w:spacing w:after="0"/>
              <w:rPr>
                <w:sz w:val="12"/>
                <w:szCs w:val="12"/>
                <w:color w:val="auto"/>
              </w:rPr>
            </w:pPr>
          </w:p>
        </w:tc>
      </w:tr>
      <w:tr>
        <w:trPr>
          <w:trHeight w:val="273"/>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11,752,655</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11,649,126</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11,576,366</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w:t>
            </w:r>
          </w:p>
        </w:tc>
        <w:tc>
          <w:tcPr>
            <w:tcW w:w="260" w:type="dxa"/>
            <w:vAlign w:val="bottom"/>
          </w:tcPr>
          <w:p>
            <w:pPr>
              <w:spacing w:after="0"/>
              <w:rPr>
                <w:sz w:val="23"/>
                <w:szCs w:val="23"/>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10,127,447</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10,040,432</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9,874,261</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7,883,419</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7,909,754</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6,779,740</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w:t>
            </w:r>
          </w:p>
        </w:tc>
        <w:tc>
          <w:tcPr>
            <w:tcW w:w="260" w:type="dxa"/>
            <w:vAlign w:val="bottom"/>
          </w:tcPr>
          <w:p>
            <w:pPr>
              <w:spacing w:after="0"/>
              <w:rPr>
                <w:sz w:val="12"/>
                <w:szCs w:val="12"/>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9,925,000</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9,837,686</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9,916,068</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6,009,982</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5,977,867</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6,009,982</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15,224,842</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15,227,900</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15,224,842</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26.7</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22,248,673</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22,045,879</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22,026,186</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260" w:type="dxa"/>
            <w:vAlign w:val="bottom"/>
          </w:tcPr>
          <w:p>
            <w:pPr>
              <w:spacing w:after="0"/>
              <w:rPr>
                <w:sz w:val="12"/>
                <w:szCs w:val="12"/>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12,312,500</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12,157,345</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12,189,375</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21.3</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8,166,594</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8,116,022</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8,084,928</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260" w:type="dxa"/>
            <w:vAlign w:val="bottom"/>
          </w:tcPr>
          <w:p>
            <w:pPr>
              <w:spacing w:after="0"/>
              <w:rPr>
                <w:sz w:val="11"/>
                <w:szCs w:val="11"/>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19,850,000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19,586,294</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19,609,815</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34.3</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1,758,406</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1,736,386</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1,740,822</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260" w:type="dxa"/>
            <w:vAlign w:val="bottom"/>
          </w:tcPr>
          <w:p>
            <w:pPr>
              <w:spacing w:after="0"/>
              <w:rPr>
                <w:sz w:val="12"/>
                <w:szCs w:val="12"/>
                <w:color w:val="auto"/>
              </w:rPr>
            </w:pPr>
          </w:p>
        </w:tc>
      </w:tr>
      <w:tr>
        <w:trPr>
          <w:trHeight w:val="273"/>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19,669,098</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19,524,460</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19,472,406</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34.1</w:t>
            </w:r>
          </w:p>
        </w:tc>
        <w:tc>
          <w:tcPr>
            <w:tcW w:w="260" w:type="dxa"/>
            <w:vAlign w:val="bottom"/>
          </w:tcPr>
          <w:p>
            <w:pPr>
              <w:spacing w:after="0"/>
              <w:rPr>
                <w:sz w:val="23"/>
                <w:szCs w:val="23"/>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19,748,744</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19,748,744</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19,748,744</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34.6</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6,877,500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6,797,207</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6,688,369</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14,812,500</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14,691,710</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14,664,375</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25.7</w:t>
            </w:r>
          </w:p>
        </w:tc>
        <w:tc>
          <w:tcPr>
            <w:tcW w:w="260" w:type="dxa"/>
            <w:vAlign w:val="bottom"/>
          </w:tcPr>
          <w:p>
            <w:pPr>
              <w:spacing w:after="0"/>
              <w:rPr>
                <w:sz w:val="12"/>
                <w:szCs w:val="12"/>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9,974,874</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7,075,000</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6,937,888</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6,933,500</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5,000,000</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4,804,110</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4,762,500</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260" w:type="dxa"/>
            <w:vAlign w:val="bottom"/>
          </w:tcPr>
          <w:p>
            <w:pPr>
              <w:spacing w:after="0"/>
              <w:rPr>
                <w:sz w:val="12"/>
                <w:szCs w:val="12"/>
                <w:color w:val="auto"/>
              </w:rPr>
            </w:pPr>
          </w:p>
        </w:tc>
      </w:tr>
      <w:tr>
        <w:trPr>
          <w:trHeight w:val="269"/>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17,820,000</w:t>
            </w:r>
          </w:p>
        </w:tc>
        <w:tc>
          <w:tcPr>
            <w:tcW w:w="460" w:type="dxa"/>
            <w:vAlign w:val="bottom"/>
          </w:tcPr>
          <w:p>
            <w:pPr>
              <w:spacing w:after="0"/>
              <w:rPr>
                <w:sz w:val="23"/>
                <w:szCs w:val="23"/>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17,688,160</w:t>
            </w:r>
          </w:p>
        </w:tc>
        <w:tc>
          <w:tcPr>
            <w:tcW w:w="480" w:type="dxa"/>
            <w:vAlign w:val="bottom"/>
          </w:tcPr>
          <w:p>
            <w:pPr>
              <w:spacing w:after="0"/>
              <w:rPr>
                <w:sz w:val="23"/>
                <w:szCs w:val="23"/>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17,641,800</w:t>
            </w:r>
          </w:p>
        </w:tc>
        <w:tc>
          <w:tcPr>
            <w:tcW w:w="240" w:type="dxa"/>
            <w:vAlign w:val="bottom"/>
          </w:tcPr>
          <w:p>
            <w:pPr>
              <w:spacing w:after="0"/>
              <w:rPr>
                <w:sz w:val="23"/>
                <w:szCs w:val="23"/>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30.9</w:t>
            </w:r>
          </w:p>
        </w:tc>
        <w:tc>
          <w:tcPr>
            <w:tcW w:w="260" w:type="dxa"/>
            <w:vAlign w:val="bottom"/>
          </w:tcPr>
          <w:p>
            <w:pPr>
              <w:spacing w:after="0"/>
              <w:rPr>
                <w:sz w:val="23"/>
                <w:szCs w:val="23"/>
                <w:color w:val="auto"/>
              </w:rPr>
            </w:pPr>
          </w:p>
        </w:tc>
      </w:tr>
      <w:tr>
        <w:trPr>
          <w:trHeight w:val="136"/>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11,289,688</w:t>
            </w:r>
          </w:p>
        </w:tc>
        <w:tc>
          <w:tcPr>
            <w:tcW w:w="460" w:type="dxa"/>
            <w:vAlign w:val="bottom"/>
          </w:tcPr>
          <w:p>
            <w:pPr>
              <w:spacing w:after="0"/>
              <w:rPr>
                <w:sz w:val="11"/>
                <w:szCs w:val="11"/>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11,189,470</w:t>
            </w:r>
          </w:p>
        </w:tc>
        <w:tc>
          <w:tcPr>
            <w:tcW w:w="480" w:type="dxa"/>
            <w:vAlign w:val="bottom"/>
          </w:tcPr>
          <w:p>
            <w:pPr>
              <w:spacing w:after="0"/>
              <w:rPr>
                <w:sz w:val="11"/>
                <w:szCs w:val="11"/>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11,176,791</w:t>
            </w:r>
          </w:p>
        </w:tc>
        <w:tc>
          <w:tcPr>
            <w:tcW w:w="240" w:type="dxa"/>
            <w:vAlign w:val="bottom"/>
          </w:tcPr>
          <w:p>
            <w:pPr>
              <w:spacing w:after="0"/>
              <w:rPr>
                <w:sz w:val="11"/>
                <w:szCs w:val="11"/>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19.6</w:t>
            </w:r>
          </w:p>
        </w:tc>
        <w:tc>
          <w:tcPr>
            <w:tcW w:w="260" w:type="dxa"/>
            <w:vAlign w:val="bottom"/>
          </w:tcPr>
          <w:p>
            <w:pPr>
              <w:spacing w:after="0"/>
              <w:rPr>
                <w:sz w:val="11"/>
                <w:szCs w:val="11"/>
                <w:color w:val="auto"/>
              </w:rPr>
            </w:pPr>
          </w:p>
        </w:tc>
      </w:tr>
      <w:tr>
        <w:trPr>
          <w:trHeight w:val="140"/>
        </w:trPr>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11,572,122</w:t>
            </w:r>
          </w:p>
        </w:tc>
        <w:tc>
          <w:tcPr>
            <w:tcW w:w="46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11,388,612</w:t>
            </w:r>
          </w:p>
        </w:tc>
        <w:tc>
          <w:tcPr>
            <w:tcW w:w="48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11,572,122</w:t>
            </w:r>
          </w:p>
        </w:tc>
        <w:tc>
          <w:tcPr>
            <w:tcW w:w="24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w:t>
            </w:r>
          </w:p>
        </w:tc>
        <w:tc>
          <w:tcPr>
            <w:tcW w:w="2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-4157980</wp:posOffset>
            </wp:positionV>
            <wp:extent cx="7143750" cy="863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-3984625</wp:posOffset>
            </wp:positionV>
            <wp:extent cx="7143750" cy="863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-3811905</wp:posOffset>
            </wp:positionV>
            <wp:extent cx="7143750" cy="863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-3638550</wp:posOffset>
            </wp:positionV>
            <wp:extent cx="7143750" cy="863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-3465830</wp:posOffset>
            </wp:positionV>
            <wp:extent cx="7143750" cy="863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-3292475</wp:posOffset>
            </wp:positionV>
            <wp:extent cx="7143750" cy="863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-3119755</wp:posOffset>
            </wp:positionV>
            <wp:extent cx="7143750" cy="863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-2946400</wp:posOffset>
            </wp:positionV>
            <wp:extent cx="7143750" cy="86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-2773045</wp:posOffset>
            </wp:positionV>
            <wp:extent cx="7143750" cy="863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-2600325</wp:posOffset>
            </wp:positionV>
            <wp:extent cx="7143750" cy="863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-2426970</wp:posOffset>
            </wp:positionV>
            <wp:extent cx="7143750" cy="863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-2254250</wp:posOffset>
            </wp:positionV>
            <wp:extent cx="7143750" cy="86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-2080895</wp:posOffset>
            </wp:positionV>
            <wp:extent cx="7143750" cy="863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-1908175</wp:posOffset>
            </wp:positionV>
            <wp:extent cx="7143750" cy="863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-1734820</wp:posOffset>
            </wp:positionV>
            <wp:extent cx="7143750" cy="863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-1561465</wp:posOffset>
            </wp:positionV>
            <wp:extent cx="7143750" cy="863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-1388745</wp:posOffset>
            </wp:positionV>
            <wp:extent cx="7143750" cy="863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-1215390</wp:posOffset>
            </wp:positionV>
            <wp:extent cx="7143750" cy="86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-1042670</wp:posOffset>
            </wp:positionV>
            <wp:extent cx="7143750" cy="863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-869315</wp:posOffset>
            </wp:positionV>
            <wp:extent cx="7143750" cy="863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-696595</wp:posOffset>
            </wp:positionV>
            <wp:extent cx="7143750" cy="86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-523240</wp:posOffset>
            </wp:positionV>
            <wp:extent cx="7143750" cy="863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-349885</wp:posOffset>
            </wp:positionV>
            <wp:extent cx="7143750" cy="863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-177165</wp:posOffset>
            </wp:positionV>
            <wp:extent cx="7143750" cy="863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43750" cy="86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80"/>
            <w:col w:w="5560"/>
          </w:cols>
          <w:pgMar w:left="320" w:top="330" w:right="3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5"/>
          <w:szCs w:val="15"/>
          <w:b w:val="1"/>
          <w:bCs w:val="1"/>
          <w:color w:val="auto"/>
        </w:rPr>
        <w:t>PennantPark Senior Secured Loan Fund I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ectPr>
          <w:pgSz w:w="11900" w:h="16838" w:orient="portrait"/>
          <w:cols w:equalWidth="0" w:num="1">
            <w:col w:w="11241"/>
          </w:cols>
          <w:pgMar w:left="319" w:top="330" w:right="339" w:bottom="1440" w:gutter="0" w:footer="0" w:header="0"/>
        </w:sectPr>
      </w:pPr>
    </w:p>
    <w:p>
      <w:pPr>
        <w:spacing w:after="0" w:line="287" w:lineRule="exact"/>
        <w:rPr>
          <w:sz w:val="20"/>
          <w:szCs w:val="20"/>
          <w:color w:val="auto"/>
        </w:rPr>
      </w:pPr>
    </w:p>
    <w:tbl>
      <w:tblPr>
        <w:tblLayout w:type="fixed"/>
        <w:tblInd w:w="1"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80" w:type="dxa"/>
            <w:vAlign w:val="bottom"/>
          </w:tcPr>
          <w:p>
            <w:pPr>
              <w:spacing w:after="0"/>
              <w:rPr>
                <w:sz w:val="11"/>
                <w:szCs w:val="11"/>
                <w:color w:val="auto"/>
              </w:rPr>
            </w:pPr>
          </w:p>
        </w:tc>
      </w:tr>
      <w:tr>
        <w:trPr>
          <w:trHeight w:val="134"/>
        </w:trPr>
        <w:tc>
          <w:tcPr>
            <w:tcW w:w="320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80" w:type="dxa"/>
            <w:vAlign w:val="bottom"/>
          </w:tcPr>
          <w:p>
            <w:pPr>
              <w:spacing w:after="0"/>
              <w:rPr>
                <w:sz w:val="11"/>
                <w:szCs w:val="11"/>
                <w:color w:val="auto"/>
              </w:rPr>
            </w:pPr>
          </w:p>
        </w:tc>
      </w:tr>
      <w:tr>
        <w:trPr>
          <w:trHeight w:val="25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High Tech Industries</w:t>
            </w:r>
          </w:p>
        </w:tc>
        <w:tc>
          <w:tcPr>
            <w:tcW w:w="8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07/24/2025</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8.28%</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05/16/2022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8.52%</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GCOM Software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11/14/2022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8.37%</w:t>
            </w: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Leap Legal Software Pty Ltd</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09/12/2022</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6.80%</w:t>
            </w:r>
          </w:p>
        </w:tc>
        <w:tc>
          <w:tcPr>
            <w:tcW w:w="28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88"/>
              </w:rPr>
              <w:t>A$</w:t>
            </w: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Leisure Products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PlayPower,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05/08/2026</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7.60%</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Media: Broadcasting and Subscription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The Infosoft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09/16/2024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7.43%</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Marketplace Events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01/27/2023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7.20%</w:t>
            </w:r>
          </w:p>
        </w:tc>
        <w:tc>
          <w:tcPr>
            <w:tcW w:w="28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3"/>
              </w:rPr>
              <w:t>C$</w:t>
            </w: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Retail</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8.04%</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Consumer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01/02/2024</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6.85%</w:t>
            </w:r>
          </w:p>
        </w:tc>
        <w:tc>
          <w:tcPr>
            <w:tcW w:w="280" w:type="dxa"/>
            <w:vAlign w:val="bottom"/>
          </w:tcPr>
          <w:p>
            <w:pPr>
              <w:spacing w:after="0"/>
              <w:rPr>
                <w:sz w:val="11"/>
                <w:szCs w:val="11"/>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Wholesale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8"/>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Impact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06/27/2023</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8.60%</w:t>
            </w:r>
          </w:p>
        </w:tc>
        <w:tc>
          <w:tcPr>
            <w:tcW w:w="280" w:type="dxa"/>
            <w:vAlign w:val="bottom"/>
          </w:tcPr>
          <w:p>
            <w:pPr>
              <w:spacing w:after="0"/>
              <w:rPr>
                <w:sz w:val="11"/>
                <w:szCs w:val="11"/>
                <w:color w:val="auto"/>
              </w:rPr>
            </w:pPr>
          </w:p>
        </w:tc>
      </w:tr>
      <w:tr>
        <w:trPr>
          <w:trHeight w:val="145"/>
        </w:trPr>
        <w:tc>
          <w:tcPr>
            <w:tcW w:w="3200" w:type="dxa"/>
            <w:vAlign w:val="bottom"/>
          </w:tcPr>
          <w:p>
            <w:pPr>
              <w:ind w:left="220"/>
              <w:spacing w:after="0" w:line="145" w:lineRule="exact"/>
              <w:rPr>
                <w:sz w:val="20"/>
                <w:szCs w:val="20"/>
                <w:color w:val="auto"/>
              </w:rPr>
            </w:pPr>
            <w:r>
              <w:rPr>
                <w:rFonts w:ascii="Times New Roman" w:cs="Times New Roman" w:eastAsia="Times New Roman" w:hAnsi="Times New Roman"/>
                <w:sz w:val="10"/>
                <w:szCs w:val="10"/>
                <w:color w:val="auto"/>
              </w:rPr>
              <w:t>Infrastructure Supply Operations Pty Ltd.</w:t>
            </w:r>
            <w:r>
              <w:rPr>
                <w:rFonts w:ascii="Times New Roman" w:cs="Times New Roman" w:eastAsia="Times New Roman" w:hAnsi="Times New Roman"/>
                <w:sz w:val="16"/>
                <w:szCs w:val="16"/>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12/12/2023</w:t>
            </w:r>
          </w:p>
        </w:tc>
        <w:tc>
          <w:tcPr>
            <w:tcW w:w="160" w:type="dxa"/>
            <w:vAlign w:val="bottom"/>
          </w:tcPr>
          <w:p>
            <w:pPr>
              <w:spacing w:after="0"/>
              <w:rPr>
                <w:sz w:val="12"/>
                <w:szCs w:val="12"/>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5.80%</w:t>
            </w:r>
          </w:p>
        </w:tc>
        <w:tc>
          <w:tcPr>
            <w:tcW w:w="28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88"/>
              </w:rPr>
              <w:t>A$</w:t>
            </w:r>
          </w:p>
        </w:tc>
      </w:tr>
      <w:tr>
        <w:trPr>
          <w:trHeight w:val="136"/>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09/29/2025</w:t>
            </w:r>
          </w:p>
        </w:tc>
        <w:tc>
          <w:tcPr>
            <w:tcW w:w="160" w:type="dxa"/>
            <w:vAlign w:val="bottom"/>
          </w:tcPr>
          <w:p>
            <w:pPr>
              <w:spacing w:after="0"/>
              <w:rPr>
                <w:sz w:val="11"/>
                <w:szCs w:val="11"/>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7.04%</w:t>
            </w:r>
          </w:p>
        </w:tc>
        <w:tc>
          <w:tcPr>
            <w:tcW w:w="280" w:type="dxa"/>
            <w:vAlign w:val="bottom"/>
          </w:tcPr>
          <w:p>
            <w:pPr>
              <w:spacing w:after="0"/>
              <w:rPr>
                <w:sz w:val="11"/>
                <w:szCs w:val="11"/>
                <w:color w:val="auto"/>
              </w:rPr>
            </w:pPr>
          </w:p>
        </w:tc>
      </w:tr>
      <w:tr>
        <w:trPr>
          <w:trHeight w:val="140"/>
        </w:trPr>
        <w:tc>
          <w:tcPr>
            <w:tcW w:w="3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09/26/2024</w:t>
            </w:r>
          </w:p>
        </w:tc>
        <w:tc>
          <w:tcPr>
            <w:tcW w:w="160" w:type="dxa"/>
            <w:vAlign w:val="bottom"/>
          </w:tcPr>
          <w:p>
            <w:pPr>
              <w:spacing w:after="0"/>
              <w:rPr>
                <w:sz w:val="12"/>
                <w:szCs w:val="12"/>
                <w:color w:val="auto"/>
              </w:rPr>
            </w:pPr>
          </w:p>
        </w:tc>
        <w:tc>
          <w:tcPr>
            <w:tcW w:w="11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8.83%</w:t>
            </w:r>
          </w:p>
        </w:tc>
        <w:tc>
          <w:tcPr>
            <w:tcW w:w="280" w:type="dxa"/>
            <w:vAlign w:val="bottom"/>
          </w:tcPr>
          <w:p>
            <w:pPr>
              <w:spacing w:after="0"/>
              <w:rPr>
                <w:sz w:val="12"/>
                <w:szCs w:val="12"/>
                <w:color w:val="auto"/>
              </w:rPr>
            </w:pPr>
          </w:p>
        </w:tc>
      </w:tr>
      <w:tr>
        <w:trPr>
          <w:trHeight w:val="143"/>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8"/>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 - 14.8%</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4"/>
        </w:trPr>
        <w:tc>
          <w:tcPr>
            <w:tcW w:w="32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Country Fresh Holdings, LLC</w:t>
            </w: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04/29/2024</w:t>
            </w:r>
          </w:p>
        </w:tc>
        <w:tc>
          <w:tcPr>
            <w:tcW w:w="160" w:type="dxa"/>
            <w:vAlign w:val="bottom"/>
          </w:tcPr>
          <w:p>
            <w:pPr>
              <w:spacing w:after="0"/>
              <w:rPr>
                <w:sz w:val="10"/>
                <w:szCs w:val="10"/>
                <w:color w:val="auto"/>
              </w:rPr>
            </w:pPr>
          </w:p>
        </w:tc>
        <w:tc>
          <w:tcPr>
            <w:tcW w:w="1180" w:type="dxa"/>
            <w:vAlign w:val="bottom"/>
          </w:tcPr>
          <w:p>
            <w:pPr>
              <w:jc w:val="right"/>
              <w:ind w:right="226"/>
              <w:spacing w:after="0" w:line="124" w:lineRule="exact"/>
              <w:rPr>
                <w:sz w:val="20"/>
                <w:szCs w:val="20"/>
                <w:color w:val="auto"/>
              </w:rPr>
            </w:pPr>
            <w:r>
              <w:rPr>
                <w:rFonts w:ascii="Times New Roman" w:cs="Times New Roman" w:eastAsia="Times New Roman" w:hAnsi="Times New Roman"/>
                <w:sz w:val="11"/>
                <w:szCs w:val="11"/>
                <w:color w:val="auto"/>
              </w:rPr>
              <w:t>10.60%</w:t>
            </w:r>
          </w:p>
        </w:tc>
        <w:tc>
          <w:tcPr>
            <w:tcW w:w="280" w:type="dxa"/>
            <w:vAlign w:val="bottom"/>
          </w:tcPr>
          <w:p>
            <w:pPr>
              <w:spacing w:after="0"/>
              <w:rPr>
                <w:sz w:val="10"/>
                <w:szCs w:val="10"/>
                <w:color w:val="auto"/>
              </w:rPr>
            </w:pPr>
          </w:p>
        </w:tc>
      </w:tr>
      <w:tr>
        <w:trPr>
          <w:trHeight w:val="140"/>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(PIK 10.60%)</w:t>
            </w:r>
          </w:p>
        </w:tc>
        <w:tc>
          <w:tcPr>
            <w:tcW w:w="280" w:type="dxa"/>
            <w:vAlign w:val="bottom"/>
          </w:tcPr>
          <w:p>
            <w:pPr>
              <w:spacing w:after="0"/>
              <w:rPr>
                <w:sz w:val="12"/>
                <w:szCs w:val="12"/>
                <w:color w:val="auto"/>
              </w:rPr>
            </w:pPr>
          </w:p>
        </w:tc>
      </w:tr>
      <w:tr>
        <w:trPr>
          <w:trHeight w:val="173"/>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58"/>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DBI Holding, LLC - Term Loan 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03/26/2021</w:t>
            </w:r>
          </w:p>
        </w:tc>
        <w:tc>
          <w:tcPr>
            <w:tcW w:w="160" w:type="dxa"/>
            <w:vAlign w:val="bottom"/>
          </w:tcPr>
          <w:p>
            <w:pPr>
              <w:spacing w:after="0"/>
              <w:rPr>
                <w:sz w:val="13"/>
                <w:szCs w:val="13"/>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8.00%</w:t>
            </w:r>
          </w:p>
        </w:tc>
        <w:tc>
          <w:tcPr>
            <w:tcW w:w="280" w:type="dxa"/>
            <w:vAlign w:val="bottom"/>
          </w:tcPr>
          <w:p>
            <w:pPr>
              <w:spacing w:after="0"/>
              <w:rPr>
                <w:sz w:val="13"/>
                <w:szCs w:val="13"/>
                <w:color w:val="auto"/>
              </w:rPr>
            </w:pPr>
          </w:p>
        </w:tc>
      </w:tr>
      <w:tr>
        <w:trPr>
          <w:trHeight w:val="136"/>
        </w:trPr>
        <w:tc>
          <w:tcPr>
            <w:tcW w:w="3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(PIK 8.00%)</w:t>
            </w:r>
          </w:p>
        </w:tc>
        <w:tc>
          <w:tcPr>
            <w:tcW w:w="280" w:type="dxa"/>
            <w:vAlign w:val="bottom"/>
          </w:tcPr>
          <w:p>
            <w:pPr>
              <w:spacing w:after="0"/>
              <w:rPr>
                <w:sz w:val="11"/>
                <w:szCs w:val="11"/>
                <w:color w:val="auto"/>
              </w:rPr>
            </w:pPr>
          </w:p>
        </w:tc>
      </w:tr>
      <w:tr>
        <w:trPr>
          <w:trHeight w:val="124"/>
        </w:trPr>
        <w:tc>
          <w:tcPr>
            <w:tcW w:w="32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DBI Holding, LLC - Term Loan B</w:t>
            </w: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02/02/2026</w:t>
            </w:r>
          </w:p>
        </w:tc>
        <w:tc>
          <w:tcPr>
            <w:tcW w:w="160" w:type="dxa"/>
            <w:vAlign w:val="bottom"/>
          </w:tcPr>
          <w:p>
            <w:pPr>
              <w:spacing w:after="0"/>
              <w:rPr>
                <w:sz w:val="10"/>
                <w:szCs w:val="10"/>
                <w:color w:val="auto"/>
              </w:rPr>
            </w:pPr>
          </w:p>
        </w:tc>
        <w:tc>
          <w:tcPr>
            <w:tcW w:w="1180" w:type="dxa"/>
            <w:vAlign w:val="bottom"/>
          </w:tcPr>
          <w:p>
            <w:pPr>
              <w:jc w:val="right"/>
              <w:ind w:right="226"/>
              <w:spacing w:after="0" w:line="124" w:lineRule="exact"/>
              <w:rPr>
                <w:sz w:val="20"/>
                <w:szCs w:val="20"/>
                <w:color w:val="auto"/>
              </w:rPr>
            </w:pPr>
            <w:r>
              <w:rPr>
                <w:rFonts w:ascii="Times New Roman" w:cs="Times New Roman" w:eastAsia="Times New Roman" w:hAnsi="Times New Roman"/>
                <w:sz w:val="11"/>
                <w:szCs w:val="11"/>
                <w:color w:val="auto"/>
              </w:rPr>
              <w:t>8.00%</w:t>
            </w:r>
          </w:p>
        </w:tc>
        <w:tc>
          <w:tcPr>
            <w:tcW w:w="280" w:type="dxa"/>
            <w:vAlign w:val="bottom"/>
          </w:tcPr>
          <w:p>
            <w:pPr>
              <w:spacing w:after="0"/>
              <w:rPr>
                <w:sz w:val="10"/>
                <w:szCs w:val="10"/>
                <w:color w:val="auto"/>
              </w:rPr>
            </w:pPr>
          </w:p>
        </w:tc>
      </w:tr>
      <w:tr>
        <w:trPr>
          <w:trHeight w:val="140"/>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(PIK 8.00%)</w:t>
            </w:r>
          </w:p>
        </w:tc>
        <w:tc>
          <w:tcPr>
            <w:tcW w:w="280" w:type="dxa"/>
            <w:vAlign w:val="bottom"/>
          </w:tcPr>
          <w:p>
            <w:pPr>
              <w:spacing w:after="0"/>
              <w:rPr>
                <w:sz w:val="12"/>
                <w:szCs w:val="12"/>
                <w:color w:val="auto"/>
              </w:rPr>
            </w:pPr>
          </w:p>
        </w:tc>
      </w:tr>
      <w:tr>
        <w:trPr>
          <w:trHeight w:val="143"/>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8"/>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Preferred Equity - 8.2%</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3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4"/>
        </w:trPr>
        <w:tc>
          <w:tcPr>
            <w:tcW w:w="32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DBI Holding, LLC - Series A-1</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226"/>
              <w:spacing w:after="0" w:line="124" w:lineRule="exact"/>
              <w:rPr>
                <w:sz w:val="20"/>
                <w:szCs w:val="20"/>
                <w:color w:val="auto"/>
              </w:rPr>
            </w:pPr>
            <w:r>
              <w:rPr>
                <w:rFonts w:ascii="Times New Roman" w:cs="Times New Roman" w:eastAsia="Times New Roman" w:hAnsi="Times New Roman"/>
                <w:sz w:val="11"/>
                <w:szCs w:val="11"/>
                <w:color w:val="auto"/>
              </w:rPr>
              <w:t>13.00%</w:t>
            </w:r>
          </w:p>
        </w:tc>
        <w:tc>
          <w:tcPr>
            <w:tcW w:w="280" w:type="dxa"/>
            <w:vAlign w:val="bottom"/>
          </w:tcPr>
          <w:p>
            <w:pPr>
              <w:spacing w:after="0"/>
              <w:rPr>
                <w:sz w:val="10"/>
                <w:szCs w:val="10"/>
                <w:color w:val="auto"/>
              </w:rPr>
            </w:pPr>
          </w:p>
        </w:tc>
      </w:tr>
      <w:tr>
        <w:trPr>
          <w:trHeight w:val="140"/>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(PIK 13.00%)</w:t>
            </w:r>
          </w:p>
        </w:tc>
        <w:tc>
          <w:tcPr>
            <w:tcW w:w="2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-3064510</wp:posOffset>
            </wp:positionV>
            <wp:extent cx="7143750" cy="863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-2891155</wp:posOffset>
            </wp:positionV>
            <wp:extent cx="7143750" cy="863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-2718435</wp:posOffset>
            </wp:positionV>
            <wp:extent cx="7143750" cy="86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-2545080</wp:posOffset>
            </wp:positionV>
            <wp:extent cx="7143750" cy="863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-2371725</wp:posOffset>
            </wp:positionV>
            <wp:extent cx="7143750" cy="863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-2199005</wp:posOffset>
            </wp:positionV>
            <wp:extent cx="7143750" cy="863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-2025650</wp:posOffset>
            </wp:positionV>
            <wp:extent cx="7143750" cy="863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-1852930</wp:posOffset>
            </wp:positionV>
            <wp:extent cx="7143750" cy="863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-1679575</wp:posOffset>
            </wp:positionV>
            <wp:extent cx="7143750" cy="863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-1506855</wp:posOffset>
            </wp:positionV>
            <wp:extent cx="7143750" cy="863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-1333500</wp:posOffset>
            </wp:positionV>
            <wp:extent cx="714375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43750" cy="946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-1152525</wp:posOffset>
            </wp:positionV>
            <wp:extent cx="7143750" cy="863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-901065</wp:posOffset>
            </wp:positionV>
            <wp:extent cx="7143750" cy="133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43750" cy="133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-601980</wp:posOffset>
            </wp:positionV>
            <wp:extent cx="7143750" cy="165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43750" cy="165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7143750" cy="863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143750" cy="165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11"/>
          <w:szCs w:val="11"/>
          <w:b w:val="1"/>
          <w:bCs w:val="1"/>
          <w:color w:val="auto"/>
        </w:rPr>
        <w:t>Total Preferred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43750" cy="863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43750" cy="86360"/>
                    </a:xfrm>
                    <a:prstGeom prst="rect">
                      <a:avLst/>
                    </a:prstGeom>
                    <a:noFill/>
                  </pic:spPr>
                </pic:pic>
              </a:graphicData>
            </a:graphic>
          </wp:anchor>
        </w:drawing>
      </w:r>
    </w:p>
    <w:p>
      <w:pPr>
        <w:ind w:left="1"/>
        <w:spacing w:after="0"/>
        <w:rPr>
          <w:sz w:val="20"/>
          <w:szCs w:val="20"/>
          <w:color w:val="auto"/>
        </w:rPr>
      </w:pPr>
      <w:r>
        <w:rPr>
          <w:rFonts w:ascii="Times New Roman" w:cs="Times New Roman" w:eastAsia="Times New Roman" w:hAnsi="Times New Roman"/>
          <w:sz w:val="11"/>
          <w:szCs w:val="11"/>
          <w:b w:val="1"/>
          <w:bCs w:val="1"/>
          <w:color w:val="auto"/>
        </w:rPr>
        <w:t>Common Equity - 2.0%</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43750" cy="863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43750" cy="86360"/>
                    </a:xfrm>
                    <a:prstGeom prst="rect">
                      <a:avLst/>
                    </a:prstGeom>
                    <a:noFill/>
                  </pic:spPr>
                </pic:pic>
              </a:graphicData>
            </a:graphic>
          </wp:anchor>
        </w:drawing>
      </w:r>
    </w:p>
    <w:p>
      <w:pPr>
        <w:ind w:left="221"/>
        <w:spacing w:after="0"/>
        <w:rPr>
          <w:sz w:val="20"/>
          <w:szCs w:val="20"/>
          <w:color w:val="auto"/>
        </w:rPr>
      </w:pPr>
      <w:r>
        <w:rPr>
          <w:rFonts w:ascii="Times New Roman" w:cs="Times New Roman" w:eastAsia="Times New Roman" w:hAnsi="Times New Roman"/>
          <w:sz w:val="11"/>
          <w:szCs w:val="11"/>
          <w:color w:val="auto"/>
        </w:rPr>
        <w:t>Country Fresh Holding Company Inc.</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color w:val="auto"/>
        </w:rPr>
        <w:t>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43750" cy="863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43750" cy="86360"/>
                    </a:xfrm>
                    <a:prstGeom prst="rect">
                      <a:avLst/>
                    </a:prstGeom>
                    <a:noFill/>
                  </pic:spPr>
                </pic:pic>
              </a:graphicData>
            </a:graphic>
          </wp:anchor>
        </w:drawing>
      </w:r>
    </w:p>
    <w:p>
      <w:pPr>
        <w:ind w:left="221"/>
        <w:spacing w:after="0"/>
        <w:rPr>
          <w:sz w:val="20"/>
          <w:szCs w:val="20"/>
          <w:color w:val="auto"/>
        </w:rPr>
      </w:pPr>
      <w:r>
        <w:rPr>
          <w:rFonts w:ascii="Times New Roman" w:cs="Times New Roman" w:eastAsia="Times New Roman" w:hAnsi="Times New Roman"/>
          <w:sz w:val="11"/>
          <w:szCs w:val="11"/>
          <w:color w:val="auto"/>
        </w:rPr>
        <w:t>DBI Holding, LLC - Series B</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Total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43750"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43750" cy="94615"/>
                    </a:xfrm>
                    <a:prstGeom prst="rect">
                      <a:avLst/>
                    </a:prstGeom>
                    <a:noFill/>
                  </pic:spPr>
                </pic:pic>
              </a:graphicData>
            </a:graphic>
          </wp:anchor>
        </w:drawing>
      </w:r>
    </w:p>
    <w:p>
      <w:pPr>
        <w:spacing w:after="0" w:line="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Total Investments - 855.5%</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Cash and Cash Equivalents—26.8%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43750" cy="1022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43750" cy="102235"/>
                    </a:xfrm>
                    <a:prstGeom prst="rect">
                      <a:avLst/>
                    </a:prstGeom>
                    <a:noFill/>
                  </pic:spPr>
                </pic:pic>
              </a:graphicData>
            </a:graphic>
          </wp:anchor>
        </w:drawing>
      </w:r>
    </w:p>
    <w:p>
      <w:pPr>
        <w:spacing w:after="0" w:line="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Equivalents—882.3%</w:t>
      </w:r>
    </w:p>
    <w:p>
      <w:pPr>
        <w:spacing w:after="0" w:line="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3750" cy="1098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43750" cy="109855"/>
                    </a:xfrm>
                    <a:prstGeom prst="rect">
                      <a:avLst/>
                    </a:prstGeom>
                    <a:noFill/>
                  </pic:spPr>
                </pic:pic>
              </a:graphicData>
            </a:graphic>
          </wp:anchor>
        </w:drawing>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Members’ Equity—100.0%</w:t>
      </w:r>
    </w:p>
    <w:p>
      <w:pPr>
        <w:ind w:left="141" w:hanging="141"/>
        <w:spacing w:after="0" w:line="204" w:lineRule="auto"/>
        <w:tabs>
          <w:tab w:leader="none" w:pos="141" w:val="left"/>
        </w:tabs>
        <w:numPr>
          <w:ilvl w:val="0"/>
          <w:numId w:val="1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Non-U.S. domiciled company (Australia).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Fair Value as a Percentage of</w:t>
            </w:r>
          </w:p>
        </w:tc>
        <w:tc>
          <w:tcPr>
            <w:tcW w:w="0" w:type="dxa"/>
            <w:vAlign w:val="bottom"/>
          </w:tcPr>
          <w:p>
            <w:pPr>
              <w:spacing w:after="0"/>
              <w:rPr>
                <w:sz w:val="1"/>
                <w:szCs w:val="1"/>
                <w:color w:val="auto"/>
              </w:rPr>
            </w:pPr>
          </w:p>
        </w:tc>
      </w:tr>
      <w:tr>
        <w:trPr>
          <w:trHeight w:val="134"/>
        </w:trPr>
        <w:tc>
          <w:tcPr>
            <w:tcW w:w="106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10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5,000,000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4,927,149</w:t>
            </w:r>
          </w:p>
        </w:tc>
        <w:tc>
          <w:tcPr>
            <w:tcW w:w="100" w:type="dxa"/>
            <w:vAlign w:val="bottom"/>
            <w:tcBorders>
              <w:top w:val="single" w:sz="8" w:color="auto"/>
            </w:tcBorders>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13,772,261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13,531,751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13,772,261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17,384,864</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17,263,748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17,384,864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14,755,747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10,483,859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4,189,500</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4,148,451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4,184,263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8,823,392</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8,790,069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8,735,157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5,760,254</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4,461,926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4,350,645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7,078,125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7,118,977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6,575,083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7,749,274</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7,674,216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7,671,781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9,390,185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9,296,753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9,296,283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10,973,919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9,717,138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9,892,519</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9,804,058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9,397,893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16,001,734</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15,724,459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16,121,748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478,935,870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474,289,533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870,886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15,206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7,607,291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7,607,291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8,493,383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8,455,346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4,680,039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5,034,310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4,680,039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1,124,929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1,065,021</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236,521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1,949,627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1,124,929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494,413,190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488,549,847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855.5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15,322,531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15,294,881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509,735,721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503,844,728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(446,736,922</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(782.3)</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113"/>
        </w:trPr>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57,107,806</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ectPr>
          <w:pgSz w:w="11900" w:h="16838" w:orient="portrait"/>
          <w:cols w:equalWidth="0" w:num="2">
            <w:col w:w="5641" w:space="100"/>
            <w:col w:w="5500"/>
          </w:cols>
          <w:pgMar w:left="319" w:top="330" w:right="339" w:bottom="1440" w:gutter="0" w:footer="0" w:header="0"/>
          <w:type w:val="continuous"/>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30"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5"/>
          <w:szCs w:val="15"/>
          <w:b w:val="1"/>
          <w:bCs w:val="1"/>
          <w:color w:val="auto"/>
        </w:rPr>
        <w:t>PennantPark Senior Secured Loan Fund I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2018</w:t>
      </w:r>
    </w:p>
    <w:p>
      <w:pPr>
        <w:sectPr>
          <w:pgSz w:w="11900" w:h="16838" w:orient="portrait"/>
          <w:cols w:equalWidth="0" w:num="1">
            <w:col w:w="11241"/>
          </w:cols>
          <w:pgMar w:left="319" w:top="330" w:right="339" w:bottom="1440" w:gutter="0" w:footer="0" w:header="0"/>
        </w:sectPr>
      </w:pPr>
    </w:p>
    <w:p>
      <w:pPr>
        <w:spacing w:after="0" w:line="287" w:lineRule="exact"/>
        <w:rPr>
          <w:sz w:val="20"/>
          <w:szCs w:val="20"/>
          <w:color w:val="auto"/>
        </w:rPr>
      </w:pPr>
    </w:p>
    <w:tbl>
      <w:tblPr>
        <w:tblLayout w:type="fixed"/>
        <w:tblInd w:w="1"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300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3"/>
        </w:trPr>
        <w:tc>
          <w:tcPr>
            <w:tcW w:w="3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Debt Securities—830.9%</w:t>
            </w: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Aerospace and Defense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API Technologies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04/22/2024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Cadence Aerospace,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8.83</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10/18/2022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Xebec Global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02/12/2024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28"/>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Banking, Finance, Insurance and Real Estate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5"/>
        </w:trPr>
        <w:tc>
          <w:tcPr>
            <w:tcW w:w="3000" w:type="dxa"/>
            <w:vAlign w:val="bottom"/>
          </w:tcPr>
          <w:p>
            <w:pPr>
              <w:ind w:left="140"/>
              <w:spacing w:after="0" w:line="145" w:lineRule="exact"/>
              <w:rPr>
                <w:sz w:val="20"/>
                <w:szCs w:val="20"/>
                <w:color w:val="auto"/>
              </w:rPr>
            </w:pPr>
            <w:r>
              <w:rPr>
                <w:rFonts w:ascii="Times New Roman" w:cs="Times New Roman" w:eastAsia="Times New Roman" w:hAnsi="Times New Roman"/>
                <w:sz w:val="10"/>
                <w:szCs w:val="10"/>
                <w:color w:val="auto"/>
              </w:rPr>
              <w:t xml:space="preserve">Findex Group Limited </w:t>
            </w:r>
            <w:r>
              <w:rPr>
                <w:rFonts w:ascii="Times New Roman" w:cs="Times New Roman" w:eastAsia="Times New Roman" w:hAnsi="Times New Roman"/>
                <w:sz w:val="16"/>
                <w:szCs w:val="16"/>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05/31/2024</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7.23</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w:t>
            </w: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Beverage, Food and Tobacco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Cardenas Markets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11/29/2023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Country Fresh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03/31/2023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Good Source Solutions,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06/29/2023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Olde Thompson,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05/14/2024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6.66</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Snak Club,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07/19/2021</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Business Services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DBI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08/02/2021</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7.51</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Capital Equipment</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Sonny’s Enterprises,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12/01/2022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UBEO,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US Dominion,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07/15/2024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Chemicals, Plastics and Rubber</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03/29/2022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Construction and Building</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Anvil International,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08/01/2024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Durable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Driven Performance Brands,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09/30/2022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GSM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06/03/2024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6.87</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Maytex Mills,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12/27/2023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6.71</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VIP Cinema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03/01/2023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Consumer Goods: Non-Durable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Beauty Industry Group Opco,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04/06/2023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Deva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10/31/2023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Manna Pro Products,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12/08/2023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Morphe,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02/10/2023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8.40</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New Milani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06/06/2024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6.37</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Healthcare and Pharmaceuticals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Alvogen Pharma US,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04/04/2022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6.99</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Long’s Drugs Incorporated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08/19/2022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08/30/2024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High Tech Industries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9.57</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GCOM Software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11/14/2022</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McAfee,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09/30/2024</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Media: Advertising, Printing and Publishing</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12/29/2023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7.25</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Media: Broadcasting and Subscription</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The Infosoft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12/02/2021</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7.58</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Marketplace Events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01/27/2021</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7.08</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w:t>
            </w: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Retail</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05/01/2023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8.12</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Cargo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ENC Holding 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05/30/2025</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Transportation: Consumer</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6"/>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American Auto Auction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11/30/2021</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3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Wholesale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28"/>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Impact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06/27/2023</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r>
      <w:tr>
        <w:trPr>
          <w:trHeight w:val="169"/>
        </w:trPr>
        <w:tc>
          <w:tcPr>
            <w:tcW w:w="3000" w:type="dxa"/>
            <w:vAlign w:val="bottom"/>
          </w:tcPr>
          <w:p>
            <w:pPr>
              <w:ind w:left="140"/>
              <w:spacing w:after="0" w:line="170" w:lineRule="exact"/>
              <w:rPr>
                <w:sz w:val="20"/>
                <w:szCs w:val="20"/>
                <w:color w:val="auto"/>
              </w:rPr>
            </w:pPr>
            <w:r>
              <w:rPr>
                <w:rFonts w:ascii="Times New Roman" w:cs="Times New Roman" w:eastAsia="Times New Roman" w:hAnsi="Times New Roman"/>
                <w:sz w:val="11"/>
                <w:szCs w:val="11"/>
                <w:color w:val="auto"/>
              </w:rPr>
              <w:t xml:space="preserve">Infrastructure Supply Operations Pty Ltd. </w:t>
            </w:r>
            <w:r>
              <w:rPr>
                <w:rFonts w:ascii="Times New Roman" w:cs="Times New Roman" w:eastAsia="Times New Roman" w:hAnsi="Times New Roman"/>
                <w:sz w:val="18"/>
                <w:szCs w:val="18"/>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12/12/2023</w:t>
            </w:r>
          </w:p>
        </w:tc>
        <w:tc>
          <w:tcPr>
            <w:tcW w:w="1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6.64</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w:t>
            </w:r>
          </w:p>
        </w:tc>
      </w:tr>
    </w:tbl>
    <w:p>
      <w:pPr>
        <w:ind w:left="1"/>
        <w:spacing w:after="0"/>
        <w:rPr>
          <w:sz w:val="20"/>
          <w:szCs w:val="20"/>
          <w:color w:val="auto"/>
        </w:rPr>
      </w:pPr>
      <w:r>
        <w:rPr>
          <w:rFonts w:ascii="Times New Roman" w:cs="Times New Roman" w:eastAsia="Times New Roman" w:hAnsi="Times New Roman"/>
          <w:sz w:val="11"/>
          <w:szCs w:val="11"/>
          <w:b w:val="1"/>
          <w:bCs w:val="1"/>
          <w:color w:val="auto"/>
        </w:rPr>
        <w:t>Total Debt Securities</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Cash and Cash Equivalents—26.4%</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Equivalents—857.3%</w:t>
      </w:r>
    </w:p>
    <w:p>
      <w:pPr>
        <w:spacing w:after="0" w:line="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Assets—(757.3)%</w:t>
      </w:r>
    </w:p>
    <w:p>
      <w:pPr>
        <w:spacing w:after="0" w:line="4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Members’ Equity—100.0%</w:t>
      </w:r>
    </w:p>
    <w:p>
      <w:pPr>
        <w:ind w:left="141" w:hanging="141"/>
        <w:spacing w:after="0" w:line="204" w:lineRule="auto"/>
        <w:tabs>
          <w:tab w:leader="none" w:pos="141" w:val="left"/>
        </w:tabs>
        <w:numPr>
          <w:ilvl w:val="0"/>
          <w:numId w:val="1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Non-U.S. domiciled company (Australia).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Fair Value as a Percentage of</w:t>
            </w:r>
          </w:p>
        </w:tc>
        <w:tc>
          <w:tcPr>
            <w:tcW w:w="0" w:type="dxa"/>
            <w:vAlign w:val="bottom"/>
          </w:tcPr>
          <w:p>
            <w:pPr>
              <w:spacing w:after="0"/>
              <w:rPr>
                <w:sz w:val="1"/>
                <w:szCs w:val="1"/>
                <w:color w:val="auto"/>
              </w:rPr>
            </w:pPr>
          </w:p>
        </w:tc>
      </w:tr>
      <w:tr>
        <w:trPr>
          <w:trHeight w:val="1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1"/>
                <w:szCs w:val="11"/>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0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6"/>
              </w:rPr>
              <w:t>Members’ Equity</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19,950,000</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19,710,688</w:t>
            </w:r>
          </w:p>
        </w:tc>
        <w:tc>
          <w:tcPr>
            <w:tcW w:w="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19,750,500</w:t>
            </w:r>
          </w:p>
        </w:tc>
        <w:tc>
          <w:tcPr>
            <w:tcW w:w="34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11,854,375</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11,745,013</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11,875,641</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4,866,299</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4,950,000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6,749,730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6,721,428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6,665,359</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7,348,975</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7,018,455</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7,424,433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7,381,442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7,424,433</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4,348,465</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4,348,465</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4,218,011</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14,871,563</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14,724,626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14,670,097</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13,965,000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13,825,350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13,965,000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4,687,495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4,687,495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4,054,683</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10,387,126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10,284,272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10,283,255</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12,437,500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12,334,446</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12,437,500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7,983,419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8,015,803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8,023,336</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4,005,973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3,986,058</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3,996,350</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15,379,790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15,382,892</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15,379,790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12,468,750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12,352,721</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12,468,750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3,921,923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3,990,000</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12,437,500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12,243,681</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12,313,125</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5,944,975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5,900,529</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5,985,876</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4,750,000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4,712,239</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4,750,000</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15,461,250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15,313,430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15,383,940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8,761,452</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8,721,691</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8,783,355</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4,678,730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4,636,563</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21,259,078</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21,057,494</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21,152,781</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19,949,749</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19,949,749</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19,949,749</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6,947,500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6,853,205</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6,894,684</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17,355,538</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17,229,100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17,268,760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14,856,552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14,925,000</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5,424,261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5,370,876</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5,464,943</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18,000,000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17,831,930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17,820,000</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8,500,000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8,352,305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8,351,250</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10,761,235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10,538,732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10,761,235</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14,666,667</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14,597,068</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14,666,667</w:t>
            </w:r>
          </w:p>
        </w:tc>
        <w:tc>
          <w:tcPr>
            <w:tcW w:w="3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7,425,000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7,359,161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7,482,024</w:t>
            </w: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9,925,000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9,832,647</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9,813,344</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10,516,049</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10,459,746</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10,410,888</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5,820,254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4,486,587</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4,502,752</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7,265,625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7,319,871</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7,002,246</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10,345,500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10,320,383</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10,319,636</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4,949,622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4,910,720</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4,875,378</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9,975,000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9,860,343</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9,925,125</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10,941,545</w:t>
            </w: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10,810,400</w:t>
            </w:r>
          </w:p>
        </w:tc>
        <w:tc>
          <w:tcPr>
            <w:tcW w:w="34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425,336,210</w:t>
            </w: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425,420,881</w:t>
            </w:r>
          </w:p>
        </w:tc>
        <w:tc>
          <w:tcPr>
            <w:tcW w:w="34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830.9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13,520,127</w:t>
            </w: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13,520,760</w:t>
            </w:r>
          </w:p>
        </w:tc>
        <w:tc>
          <w:tcPr>
            <w:tcW w:w="34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438,856,337</w:t>
            </w: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438,941,641</w:t>
            </w:r>
          </w:p>
        </w:tc>
        <w:tc>
          <w:tcPr>
            <w:tcW w:w="34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tcPr>
          <w:p>
            <w:pPr>
              <w:jc w:val="right"/>
              <w:ind w:right="300"/>
              <w:spacing w:after="0" w:line="114" w:lineRule="exact"/>
              <w:rPr>
                <w:sz w:val="20"/>
                <w:szCs w:val="20"/>
                <w:color w:val="auto"/>
              </w:rPr>
            </w:pPr>
            <w:r>
              <w:rPr>
                <w:rFonts w:ascii="Times New Roman" w:cs="Times New Roman" w:eastAsia="Times New Roman" w:hAnsi="Times New Roman"/>
                <w:sz w:val="11"/>
                <w:szCs w:val="11"/>
                <w:color w:val="auto"/>
              </w:rPr>
              <w:t>(387,744,237)</w:t>
            </w:r>
          </w:p>
        </w:tc>
        <w:tc>
          <w:tcPr>
            <w:tcW w:w="12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(757.3</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line="20" w:lineRule="exact"/>
              <w:rPr>
                <w:sz w:val="1"/>
                <w:szCs w:val="1"/>
                <w:color w:val="auto"/>
              </w:rPr>
            </w:pPr>
          </w:p>
        </w:tc>
      </w:tr>
      <w:tr>
        <w:trPr>
          <w:trHeight w:val="113"/>
        </w:trPr>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51,197,404</w:t>
            </w:r>
          </w:p>
        </w:tc>
        <w:tc>
          <w:tcPr>
            <w:tcW w:w="340" w:type="dxa"/>
            <w:vAlign w:val="bottom"/>
          </w:tcPr>
          <w:p>
            <w:pPr>
              <w:spacing w:after="0"/>
              <w:rPr>
                <w:sz w:val="9"/>
                <w:szCs w:val="9"/>
                <w:color w:val="auto"/>
              </w:rPr>
            </w:pPr>
          </w:p>
        </w:tc>
        <w:tc>
          <w:tcPr>
            <w:tcW w:w="12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100.0</w:t>
            </w:r>
          </w:p>
        </w:tc>
        <w:tc>
          <w:tcPr>
            <w:tcW w:w="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-5813425</wp:posOffset>
            </wp:positionV>
            <wp:extent cx="714375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43750" cy="9461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-5632450</wp:posOffset>
            </wp:positionV>
            <wp:extent cx="7143750" cy="863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-5459095</wp:posOffset>
            </wp:positionV>
            <wp:extent cx="7143750" cy="863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-5286375</wp:posOffset>
            </wp:positionV>
            <wp:extent cx="7143750" cy="863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-5113020</wp:posOffset>
            </wp:positionV>
            <wp:extent cx="7143750" cy="863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-4940300</wp:posOffset>
            </wp:positionV>
            <wp:extent cx="7143750" cy="863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-4766945</wp:posOffset>
            </wp:positionV>
            <wp:extent cx="7143750" cy="863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-4594225</wp:posOffset>
            </wp:positionV>
            <wp:extent cx="7143750" cy="863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-4420870</wp:posOffset>
            </wp:positionV>
            <wp:extent cx="7143750" cy="863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-4247515</wp:posOffset>
            </wp:positionV>
            <wp:extent cx="7143750" cy="863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-4074795</wp:posOffset>
            </wp:positionV>
            <wp:extent cx="7143750" cy="863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-3901440</wp:posOffset>
            </wp:positionV>
            <wp:extent cx="7143750" cy="863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-3728720</wp:posOffset>
            </wp:positionV>
            <wp:extent cx="7143750" cy="863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-3555365</wp:posOffset>
            </wp:positionV>
            <wp:extent cx="7143750" cy="863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-3382645</wp:posOffset>
            </wp:positionV>
            <wp:extent cx="7143750" cy="863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-3209290</wp:posOffset>
            </wp:positionV>
            <wp:extent cx="7143750" cy="863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-3035935</wp:posOffset>
            </wp:positionV>
            <wp:extent cx="7143750" cy="863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-2863215</wp:posOffset>
            </wp:positionV>
            <wp:extent cx="7143750" cy="863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-2689860</wp:posOffset>
            </wp:positionV>
            <wp:extent cx="7143750" cy="863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-2517140</wp:posOffset>
            </wp:positionV>
            <wp:extent cx="7143750" cy="863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-2343785</wp:posOffset>
            </wp:positionV>
            <wp:extent cx="7143750" cy="863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-2171065</wp:posOffset>
            </wp:positionV>
            <wp:extent cx="7143750" cy="863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-1997710</wp:posOffset>
            </wp:positionV>
            <wp:extent cx="7143750" cy="863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-1824355</wp:posOffset>
            </wp:positionV>
            <wp:extent cx="7143750" cy="863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-1651635</wp:posOffset>
            </wp:positionV>
            <wp:extent cx="7143750" cy="863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-1478280</wp:posOffset>
            </wp:positionV>
            <wp:extent cx="7143750" cy="863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-1305560</wp:posOffset>
            </wp:positionV>
            <wp:extent cx="7143750" cy="863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-1132205</wp:posOffset>
            </wp:positionV>
            <wp:extent cx="7143750" cy="863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-959485</wp:posOffset>
            </wp:positionV>
            <wp:extent cx="7143750" cy="863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-786130</wp:posOffset>
            </wp:positionV>
            <wp:extent cx="7143750" cy="863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-612775</wp:posOffset>
            </wp:positionV>
            <wp:extent cx="7143750" cy="863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43750" cy="8636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-431800</wp:posOffset>
            </wp:positionV>
            <wp:extent cx="714375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43750" cy="94615"/>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-235585</wp:posOffset>
            </wp:positionV>
            <wp:extent cx="7143750" cy="1098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43750" cy="109855"/>
                    </a:xfrm>
                    <a:prstGeom prst="rect">
                      <a:avLst/>
                    </a:prstGeom>
                    <a:noFill/>
                  </pic:spPr>
                </pic:pic>
              </a:graphicData>
            </a:graphic>
          </wp:anchor>
        </w:drawing>
      </w:r>
    </w:p>
    <w:p>
      <w:pPr>
        <w:spacing w:after="0" w:line="330" w:lineRule="exact"/>
        <w:rPr>
          <w:sz w:val="20"/>
          <w:szCs w:val="20"/>
          <w:color w:val="auto"/>
        </w:rPr>
      </w:pPr>
    </w:p>
    <w:p>
      <w:pPr>
        <w:sectPr>
          <w:pgSz w:w="11900" w:h="16838" w:orient="portrait"/>
          <w:cols w:equalWidth="0" w:num="2">
            <w:col w:w="5381" w:space="20"/>
            <w:col w:w="5840"/>
          </w:cols>
          <w:pgMar w:left="319" w:top="330" w:right="339" w:bottom="1440" w:gutter="0" w:footer="0" w:header="0"/>
          <w:type w:val="continuous"/>
        </w:sectPr>
      </w:pPr>
    </w:p>
    <w:p>
      <w:pPr>
        <w:spacing w:after="0" w:line="99" w:lineRule="exact"/>
        <w:rPr>
          <w:sz w:val="20"/>
          <w:szCs w:val="20"/>
          <w:color w:val="auto"/>
        </w:rPr>
      </w:pPr>
    </w:p>
    <w:p>
      <w:pPr>
        <w:ind w:left="3401"/>
        <w:spacing w:after="0"/>
        <w:rPr>
          <w:sz w:val="20"/>
          <w:szCs w:val="20"/>
          <w:color w:val="auto"/>
        </w:rPr>
      </w:pPr>
      <w:r>
        <w:rPr>
          <w:rFonts w:ascii="Times New Roman" w:cs="Times New Roman" w:eastAsia="Times New Roman" w:hAnsi="Times New Roman"/>
          <w:sz w:val="15"/>
          <w:szCs w:val="15"/>
          <w:color w:val="auto"/>
        </w:rPr>
        <w:t>SEE NOTES TO CONSOLIDATED FINANCIAL STATEMENTS</w:t>
      </w:r>
    </w:p>
    <w:p>
      <w:pPr>
        <w:spacing w:after="0" w:line="249" w:lineRule="exact"/>
        <w:rPr>
          <w:sz w:val="20"/>
          <w:szCs w:val="20"/>
          <w:color w:val="auto"/>
        </w:rPr>
      </w:pPr>
    </w:p>
    <w:p>
      <w:pPr>
        <w:ind w:left="3441"/>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962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30" w:right="33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30" w:lineRule="exact"/>
        <w:rPr>
          <w:sz w:val="20"/>
          <w:szCs w:val="20"/>
          <w:color w:val="auto"/>
        </w:rPr>
      </w:pPr>
    </w:p>
    <w:p>
      <w:pPr>
        <w:jc w:val="both"/>
        <w:ind w:firstLine="385"/>
        <w:spacing w:after="0" w:line="255" w:lineRule="auto"/>
        <w:rPr>
          <w:sz w:val="20"/>
          <w:szCs w:val="20"/>
          <w:color w:val="auto"/>
        </w:rPr>
      </w:pPr>
      <w:r>
        <w:rPr>
          <w:rFonts w:ascii="Times New Roman" w:cs="Times New Roman" w:eastAsia="Times New Roman" w:hAnsi="Times New Roman"/>
          <w:sz w:val="17"/>
          <w:szCs w:val="17"/>
          <w:color w:val="auto"/>
        </w:rPr>
        <w:t>PennantPark Senior Secured Loan Fund I LLC, or PSSL, is organized as a Delaware limited liability company and commenced operations in May 2017. In this report, except where the context suggests otherwise, the terms “Company,” “we,” “our,” or “us” refer to PSSL and its subsidiary. PSSL is a joint venture between PennantPark Floating Rate Capital Ltd., or PFLT, and a subsidiary of Kemper Corporation (NYSE: KMPR), Trinity Universal Insurance Company, or Kemper.</w:t>
      </w:r>
    </w:p>
    <w:p>
      <w:pPr>
        <w:spacing w:after="0" w:line="195" w:lineRule="exact"/>
        <w:rPr>
          <w:sz w:val="20"/>
          <w:szCs w:val="20"/>
          <w:color w:val="auto"/>
        </w:rPr>
      </w:pPr>
    </w:p>
    <w:p>
      <w:pPr>
        <w:jc w:val="both"/>
        <w:ind w:firstLine="385"/>
        <w:spacing w:after="0" w:line="251" w:lineRule="auto"/>
        <w:rPr>
          <w:sz w:val="20"/>
          <w:szCs w:val="20"/>
          <w:color w:val="auto"/>
        </w:rPr>
      </w:pPr>
      <w:r>
        <w:rPr>
          <w:rFonts w:ascii="Times New Roman" w:cs="Times New Roman" w:eastAsia="Times New Roman" w:hAnsi="Times New Roman"/>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London Interbank Offered Rate, or LIBOR, with or without a floor, plus a fixed spread.</w:t>
      </w:r>
    </w:p>
    <w:p>
      <w:pPr>
        <w:spacing w:after="0" w:line="198" w:lineRule="exact"/>
        <w:rPr>
          <w:sz w:val="20"/>
          <w:szCs w:val="20"/>
          <w:color w:val="auto"/>
        </w:rPr>
      </w:pPr>
    </w:p>
    <w:p>
      <w:pPr>
        <w:jc w:val="both"/>
        <w:ind w:firstLine="385"/>
        <w:spacing w:after="0" w:line="251" w:lineRule="auto"/>
        <w:rPr>
          <w:sz w:val="20"/>
          <w:szCs w:val="20"/>
          <w:color w:val="auto"/>
        </w:rPr>
      </w:pPr>
      <w:r>
        <w:rPr>
          <w:rFonts w:ascii="Times New Roman" w:cs="Times New Roman" w:eastAsia="Times New Roman" w:hAnsi="Times New Roman"/>
          <w:sz w:val="17"/>
          <w:szCs w:val="17"/>
          <w:color w:val="auto"/>
        </w:rPr>
        <w:t>PFLT and Kemper, as members of PSSL, or the Members, provide capital to PSSL in the form of notes and equity interests. As of September 30, 2019 and 2018, PFLT and Kemper owned 87.5% and 12.5%, respectively, of each of the outstanding notes and equity interests. The administrative agent of the Company is PennantPark Investment Administration, LLC, or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198" w:lineRule="exact"/>
        <w:rPr>
          <w:sz w:val="20"/>
          <w:szCs w:val="20"/>
          <w:color w:val="auto"/>
        </w:rPr>
      </w:pPr>
    </w:p>
    <w:p>
      <w:pPr>
        <w:jc w:val="both"/>
        <w:ind w:firstLine="385"/>
        <w:spacing w:after="0" w:line="287" w:lineRule="auto"/>
        <w:rPr>
          <w:sz w:val="20"/>
          <w:szCs w:val="20"/>
          <w:color w:val="auto"/>
        </w:rPr>
      </w:pPr>
      <w:r>
        <w:rPr>
          <w:rFonts w:ascii="Times New Roman" w:cs="Times New Roman" w:eastAsia="Times New Roman" w:hAnsi="Times New Roman"/>
          <w:sz w:val="15"/>
          <w:szCs w:val="15"/>
          <w:color w:val="auto"/>
        </w:rPr>
        <w:t>PFLT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75" w:lineRule="exact"/>
        <w:rPr>
          <w:sz w:val="20"/>
          <w:szCs w:val="20"/>
          <w:color w:val="auto"/>
        </w:rPr>
      </w:pPr>
    </w:p>
    <w:p>
      <w:pPr>
        <w:jc w:val="both"/>
        <w:ind w:firstLine="385"/>
        <w:spacing w:after="0" w:line="255" w:lineRule="auto"/>
        <w:rPr>
          <w:sz w:val="20"/>
          <w:szCs w:val="20"/>
          <w:color w:val="auto"/>
        </w:rPr>
      </w:pPr>
      <w:r>
        <w:rPr>
          <w:rFonts w:ascii="Times New Roman" w:cs="Times New Roman" w:eastAsia="Times New Roman" w:hAnsi="Times New Roman"/>
          <w:sz w:val="17"/>
          <w:szCs w:val="17"/>
          <w:color w:val="auto"/>
        </w:rPr>
        <w:t>PSSL had entered into a multi-currency senior secured revolving credit facility, or the Credit Facility, with Capital One, N.A. through its wholly-owned subsidiary PennantPark Senior Secured Loan Facility LLC, or PSSL Subsidiary. The $420 million Credit Facility has a maturity date of May 2, 2023 and is priced at 2.25% over LIBOR.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30" w:lineRule="exact"/>
        <w:rPr>
          <w:sz w:val="20"/>
          <w:szCs w:val="20"/>
          <w:color w:val="auto"/>
        </w:rPr>
      </w:pPr>
    </w:p>
    <w:p>
      <w:pPr>
        <w:jc w:val="both"/>
        <w:ind w:firstLine="385"/>
        <w:spacing w:after="0" w:line="284" w:lineRule="auto"/>
        <w:rPr>
          <w:sz w:val="20"/>
          <w:szCs w:val="20"/>
          <w:color w:val="auto"/>
        </w:rPr>
      </w:pPr>
      <w:r>
        <w:rPr>
          <w:rFonts w:ascii="Times New Roman" w:cs="Times New Roman" w:eastAsia="Times New Roman" w:hAnsi="Times New Roman"/>
          <w:sz w:val="15"/>
          <w:szCs w:val="15"/>
          <w:color w:val="auto"/>
        </w:rPr>
        <w:t>PSSL is considered an investment company under U.S. generally accepted accounting principles, or GAAP, and follows the accounting and reporting guidance applicable to investment companies in the Financial Accounting Standards Board Accounting Standards Codification Topic 946. References to the Accounting Standards Codification, as amended, or ASC, serves as a source of accounting literature. Subsequent events are evaluated and disclosed as appropriate for events occurring through the date the consolidated financial statements are issued. The preparation of our consolidated financial statements in conformity with GAAP requires the Members to make estimates and assumptions that affect the reported amount of our assets and liabilities at the date of the consolidated financial statements and the reported amounts of income and expenses during the reported periods. In the opinion of the Members,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significant accounting policies consistently applied are as follows:</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(a) Investment Valuations</w:t>
      </w:r>
    </w:p>
    <w:p>
      <w:pPr>
        <w:spacing w:after="0" w:line="230" w:lineRule="exact"/>
        <w:rPr>
          <w:sz w:val="20"/>
          <w:szCs w:val="20"/>
          <w:color w:val="auto"/>
        </w:rPr>
      </w:pPr>
    </w:p>
    <w:p>
      <w:pPr>
        <w:jc w:val="both"/>
        <w:ind w:firstLine="385"/>
        <w:spacing w:after="0" w:line="247" w:lineRule="auto"/>
        <w:rPr>
          <w:sz w:val="20"/>
          <w:szCs w:val="20"/>
          <w:color w:val="auto"/>
        </w:rPr>
      </w:pPr>
      <w:r>
        <w:rPr>
          <w:rFonts w:ascii="Times New Roman" w:cs="Times New Roman" w:eastAsia="Times New Roman" w:hAnsi="Times New Roman"/>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15962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uncertainty of determining the fair value of investments that do not have a readily available market value, the price used in an actual transaction may be different than our valuation and the difference may be material. See Note 4.</w:t>
      </w:r>
    </w:p>
    <w:p>
      <w:pPr>
        <w:spacing w:after="0" w:line="18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0" w:lineRule="exact"/>
        <w:rPr>
          <w:sz w:val="20"/>
          <w:szCs w:val="20"/>
          <w:color w:val="auto"/>
        </w:rPr>
      </w:pPr>
    </w:p>
    <w:p>
      <w:pPr>
        <w:ind w:left="960" w:hanging="379"/>
        <w:spacing w:after="0" w:line="267" w:lineRule="auto"/>
        <w:tabs>
          <w:tab w:leader="none" w:pos="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84" w:lineRule="exact"/>
        <w:rPr>
          <w:rFonts w:ascii="Times New Roman" w:cs="Times New Roman" w:eastAsia="Times New Roman" w:hAnsi="Times New Roman"/>
          <w:sz w:val="17"/>
          <w:szCs w:val="17"/>
          <w:color w:val="auto"/>
        </w:rPr>
      </w:pPr>
    </w:p>
    <w:p>
      <w:pPr>
        <w:ind w:left="960" w:hanging="379"/>
        <w:spacing w:after="0"/>
        <w:tabs>
          <w:tab w:leader="none" w:pos="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valuation conclusions are then documented and discussed with the management of PennantPark Investment Advisers, LLC;</w:t>
      </w:r>
    </w:p>
    <w:p>
      <w:pPr>
        <w:spacing w:after="0" w:line="225" w:lineRule="exact"/>
        <w:rPr>
          <w:rFonts w:ascii="Times New Roman" w:cs="Times New Roman" w:eastAsia="Times New Roman" w:hAnsi="Times New Roman"/>
          <w:sz w:val="17"/>
          <w:szCs w:val="17"/>
          <w:color w:val="auto"/>
        </w:rPr>
      </w:pPr>
    </w:p>
    <w:p>
      <w:pPr>
        <w:jc w:val="both"/>
        <w:ind w:left="960" w:hanging="379"/>
        <w:spacing w:after="0" w:line="251" w:lineRule="auto"/>
        <w:tabs>
          <w:tab w:leader="none" w:pos="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98" w:lineRule="exact"/>
        <w:rPr>
          <w:rFonts w:ascii="Times New Roman" w:cs="Times New Roman" w:eastAsia="Times New Roman" w:hAnsi="Times New Roman"/>
          <w:sz w:val="17"/>
          <w:szCs w:val="17"/>
          <w:color w:val="auto"/>
        </w:rPr>
      </w:pPr>
    </w:p>
    <w:p>
      <w:pPr>
        <w:jc w:val="both"/>
        <w:ind w:left="960" w:hanging="379"/>
        <w:spacing w:after="0" w:line="255" w:lineRule="auto"/>
        <w:tabs>
          <w:tab w:leader="none" w:pos="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4" w:lineRule="exact"/>
        <w:rPr>
          <w:rFonts w:ascii="Times New Roman" w:cs="Times New Roman" w:eastAsia="Times New Roman" w:hAnsi="Times New Roman"/>
          <w:sz w:val="17"/>
          <w:szCs w:val="17"/>
          <w:color w:val="auto"/>
        </w:rPr>
      </w:pPr>
    </w:p>
    <w:p>
      <w:pPr>
        <w:ind w:left="960" w:hanging="379"/>
        <w:spacing w:after="0" w:line="267" w:lineRule="auto"/>
        <w:tabs>
          <w:tab w:leader="none" w:pos="9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assesses these valuations and determines the fair value of each investment in our portfolio in good faith, based on the input of PennantPark Investment Advisers, LLC and the respective independent valuation firms.</w:t>
      </w:r>
    </w:p>
    <w:p>
      <w:pPr>
        <w:spacing w:after="0" w:line="185"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(b) Security Transactions, Revenue Recognition, and Realized/Unrealized Gains or Losses</w:t>
      </w:r>
    </w:p>
    <w:p>
      <w:pPr>
        <w:spacing w:after="0" w:line="230" w:lineRule="exact"/>
        <w:rPr>
          <w:sz w:val="20"/>
          <w:szCs w:val="20"/>
          <w:color w:val="auto"/>
        </w:rPr>
      </w:pPr>
    </w:p>
    <w:p>
      <w:pPr>
        <w:jc w:val="both"/>
        <w:ind w:firstLine="462"/>
        <w:spacing w:after="0" w:line="295" w:lineRule="auto"/>
        <w:rPr>
          <w:sz w:val="20"/>
          <w:szCs w:val="20"/>
          <w:color w:val="auto"/>
        </w:rPr>
      </w:pPr>
      <w:r>
        <w:rPr>
          <w:rFonts w:ascii="Times New Roman" w:cs="Times New Roman" w:eastAsia="Times New Roman" w:hAnsi="Times New Roman"/>
          <w:sz w:val="15"/>
          <w:szCs w:val="15"/>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68" w:lineRule="exact"/>
        <w:rPr>
          <w:sz w:val="20"/>
          <w:szCs w:val="20"/>
          <w:color w:val="auto"/>
        </w:rPr>
      </w:pPr>
    </w:p>
    <w:p>
      <w:pPr>
        <w:jc w:val="both"/>
        <w:ind w:firstLine="462"/>
        <w:spacing w:after="0" w:line="246" w:lineRule="auto"/>
        <w:rPr>
          <w:sz w:val="20"/>
          <w:szCs w:val="20"/>
          <w:color w:val="auto"/>
        </w:rPr>
      </w:pPr>
      <w:r>
        <w:rPr>
          <w:rFonts w:ascii="Times New Roman" w:cs="Times New Roman" w:eastAsia="Times New Roman" w:hAnsi="Times New Roman"/>
          <w:sz w:val="17"/>
          <w:szCs w:val="17"/>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06"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Members’ judgment. Non-accrual loans are restored to accrual status when past due principal and interest is paid and, in the Members’ judgment, are likely to remain current. There were no loans on non-accrual status as of September 30, 2019.</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(c) Income Taxes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85" w:lineRule="exact"/>
        <w:rPr>
          <w:sz w:val="20"/>
          <w:szCs w:val="20"/>
          <w:color w:val="auto"/>
        </w:rPr>
      </w:pPr>
    </w:p>
    <w:p>
      <w:pPr>
        <w:jc w:val="both"/>
        <w:ind w:firstLine="462"/>
        <w:spacing w:after="0" w:line="251" w:lineRule="auto"/>
        <w:rPr>
          <w:sz w:val="20"/>
          <w:szCs w:val="20"/>
          <w:color w:val="auto"/>
        </w:rPr>
      </w:pPr>
      <w:r>
        <w:rPr>
          <w:rFonts w:ascii="Times New Roman" w:cs="Times New Roman" w:eastAsia="Times New Roman" w:hAnsi="Times New Roman"/>
          <w:sz w:val="17"/>
          <w:szCs w:val="17"/>
          <w:color w:val="auto"/>
        </w:rPr>
        <w:t>In accordance with FASB ASC Topic 740, the board of directors is required to determine whether a tax position of the partnership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the partnership recording a tax liability that would reduce members’ capital.</w:t>
      </w:r>
    </w:p>
    <w:p>
      <w:pPr>
        <w:spacing w:after="0" w:line="198"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For the year ended September 30, 2019, the board of directors has determined that there are no material uncertain income tax positions. However, the board of directors’ conclusions regarding this policy may be subject to review and adjustment at a later date based on factors including, but not limited to, ongoing analyses of and changes to tax laws, regulations and interpretations thereof.</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(d) Foreign Currency Translation</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books and records are maintained in U.S. dollars. Any foreign currency amounts are translated into U.S. dollars on the following basis:</w:t>
      </w:r>
    </w:p>
    <w:p>
      <w:pPr>
        <w:spacing w:after="0" w:line="226" w:lineRule="exact"/>
        <w:rPr>
          <w:sz w:val="20"/>
          <w:szCs w:val="20"/>
          <w:color w:val="auto"/>
        </w:rPr>
      </w:pPr>
    </w:p>
    <w:p>
      <w:pPr>
        <w:ind w:left="960" w:hanging="379"/>
        <w:spacing w:after="0"/>
        <w:tabs>
          <w:tab w:leader="none" w:pos="9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investment securities, other assets and liabilities – at the exchange rates prevailing at the end of the applicable period; and</w:t>
      </w:r>
    </w:p>
    <w:p>
      <w:pPr>
        <w:spacing w:after="0" w:line="225" w:lineRule="exact"/>
        <w:rPr>
          <w:rFonts w:ascii="Times New Roman" w:cs="Times New Roman" w:eastAsia="Times New Roman" w:hAnsi="Times New Roman"/>
          <w:sz w:val="17"/>
          <w:szCs w:val="17"/>
          <w:color w:val="auto"/>
        </w:rPr>
      </w:pPr>
    </w:p>
    <w:p>
      <w:pPr>
        <w:ind w:left="960" w:hanging="379"/>
        <w:spacing w:after="0"/>
        <w:tabs>
          <w:tab w:leader="none" w:pos="9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and sales of investment securities, income and expenses – at the exchange rates prevailing on the respective dates of such transactions.</w:t>
      </w:r>
    </w:p>
    <w:p>
      <w:pPr>
        <w:spacing w:after="0" w:line="226"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95" w:lineRule="exact"/>
        <w:rPr>
          <w:sz w:val="20"/>
          <w:szCs w:val="20"/>
          <w:color w:val="auto"/>
        </w:rPr>
      </w:pPr>
    </w:p>
    <w:p>
      <w:pPr>
        <w:jc w:val="both"/>
        <w:ind w:firstLine="462"/>
        <w:spacing w:after="0" w:line="305" w:lineRule="auto"/>
        <w:rPr>
          <w:sz w:val="20"/>
          <w:szCs w:val="20"/>
          <w:color w:val="auto"/>
        </w:rPr>
      </w:pPr>
      <w:r>
        <w:rPr>
          <w:rFonts w:ascii="Times New Roman" w:cs="Times New Roman" w:eastAsia="Times New Roman" w:hAnsi="Times New Roman"/>
          <w:sz w:val="15"/>
          <w:szCs w:val="15"/>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(e) Consolidation</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As permitted under Regulation S-X and as explained by ASC 946-810-45, PSSL will generally not consolidate its investment in a company other than an investment company subsidiary or a controlled operating company whose business consists of providing services to us.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(f) Recent Accounting Pronouncements</w:t>
      </w:r>
    </w:p>
    <w:p>
      <w:pPr>
        <w:spacing w:after="0" w:line="230" w:lineRule="exact"/>
        <w:rPr>
          <w:sz w:val="20"/>
          <w:szCs w:val="20"/>
          <w:color w:val="auto"/>
        </w:rPr>
      </w:pPr>
    </w:p>
    <w:p>
      <w:pPr>
        <w:jc w:val="both"/>
        <w:ind w:firstLine="462"/>
        <w:spacing w:after="0" w:line="251" w:lineRule="auto"/>
        <w:rPr>
          <w:sz w:val="20"/>
          <w:szCs w:val="20"/>
          <w:color w:val="auto"/>
        </w:rPr>
      </w:pPr>
      <w:r>
        <w:rPr>
          <w:rFonts w:ascii="Times New Roman" w:cs="Times New Roman" w:eastAsia="Times New Roman" w:hAnsi="Times New Roman"/>
          <w:sz w:val="17"/>
          <w:szCs w:val="17"/>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The Company has evaluated this guidance and determined it did not have a material impact on its financial statements.</w:t>
      </w:r>
    </w:p>
    <w:p>
      <w:pPr>
        <w:spacing w:after="0" w:line="198"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evaluating the impact the adoption of this new accounting standard will have on its consolidated financial statements, but the impact of the adoption is not expected to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AGREEMENTS AND RELATED PARTY TRANSACTIONS</w:t>
      </w:r>
    </w:p>
    <w:p>
      <w:pPr>
        <w:spacing w:after="0" w:line="230" w:lineRule="exact"/>
        <w:rPr>
          <w:sz w:val="20"/>
          <w:szCs w:val="20"/>
          <w:color w:val="auto"/>
        </w:rPr>
      </w:pPr>
    </w:p>
    <w:p>
      <w:pPr>
        <w:jc w:val="both"/>
        <w:ind w:firstLine="481"/>
        <w:spacing w:after="0" w:line="251" w:lineRule="auto"/>
        <w:rPr>
          <w:sz w:val="20"/>
          <w:szCs w:val="20"/>
          <w:color w:val="auto"/>
        </w:rPr>
      </w:pPr>
      <w:r>
        <w:rPr>
          <w:rFonts w:ascii="Times New Roman" w:cs="Times New Roman" w:eastAsia="Times New Roman" w:hAnsi="Times New Roman"/>
          <w:sz w:val="17"/>
          <w:szCs w:val="17"/>
          <w:color w:val="auto"/>
        </w:rPr>
        <w:t>For the years ended September 30, 2019 and 2018, PSSL purchased $89.6 million and $108.0 million, respectively, in investments from PFLT. Additionally, for the years ended September 30, 2019 and 2018, PSSL incurred $1.2 million and $0.7 million in administrative services to the Administrative Agent. The Administrative Agent provides administration services to PSSL. PSSL incurred $14.2 million and $6.1 million, respectively, in interest expense related to the notes outstanding with both PFLT and Kemper for the years ended September 30, 2019 and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OF FINANCIAL INSTRUMENTS</w:t>
      </w:r>
    </w:p>
    <w:p>
      <w:pPr>
        <w:spacing w:after="0" w:line="230"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ASC 820 classifies the inputs used to measure these fair values into the following hierarchies:</w:t>
      </w:r>
    </w:p>
    <w:p>
      <w:pPr>
        <w:spacing w:after="0" w:line="226" w:lineRule="exact"/>
        <w:rPr>
          <w:sz w:val="20"/>
          <w:szCs w:val="20"/>
          <w:color w:val="auto"/>
        </w:rPr>
      </w:pPr>
    </w:p>
    <w:p>
      <w:pPr>
        <w:ind w:left="580"/>
        <w:spacing w:after="0"/>
        <w:tabs>
          <w:tab w:leader="none" w:pos="14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5"/>
          <w:szCs w:val="15"/>
          <w:color w:val="auto"/>
        </w:rPr>
        <w:t>Inputs that are quoted prices (unadjusted) in active markets for identical assets or liabilities, accessible by us at the measurement date.</w:t>
      </w:r>
    </w:p>
    <w:p>
      <w:pPr>
        <w:spacing w:after="0" w:line="226" w:lineRule="exact"/>
        <w:rPr>
          <w:sz w:val="20"/>
          <w:szCs w:val="20"/>
          <w:color w:val="auto"/>
        </w:rPr>
      </w:pPr>
    </w:p>
    <w:p>
      <w:pPr>
        <w:jc w:val="both"/>
        <w:ind w:left="1440" w:hanging="854"/>
        <w:spacing w:after="0" w:line="255" w:lineRule="auto"/>
        <w:tabs>
          <w:tab w:leader="none" w:pos="14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95" w:lineRule="exact"/>
        <w:rPr>
          <w:sz w:val="20"/>
          <w:szCs w:val="20"/>
          <w:color w:val="auto"/>
        </w:rPr>
      </w:pPr>
    </w:p>
    <w:p>
      <w:pPr>
        <w:jc w:val="both"/>
        <w:ind w:left="1440" w:hanging="854"/>
        <w:spacing w:after="0" w:line="267" w:lineRule="auto"/>
        <w:tabs>
          <w:tab w:leader="none" w:pos="14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an asset or liability because they are based on our own assumptions about how market participants would price the asset or liability.</w:t>
      </w:r>
    </w:p>
    <w:p>
      <w:pPr>
        <w:spacing w:after="0" w:line="18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5"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20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200" w:lineRule="exact"/>
        <w:rPr>
          <w:sz w:val="20"/>
          <w:szCs w:val="20"/>
          <w:color w:val="auto"/>
        </w:rPr>
      </w:pPr>
    </w:p>
    <w:p>
      <w:pPr>
        <w:jc w:val="both"/>
        <w:ind w:firstLine="462"/>
        <w:spacing w:after="0" w:line="251" w:lineRule="auto"/>
        <w:rPr>
          <w:sz w:val="20"/>
          <w:szCs w:val="20"/>
          <w:color w:val="auto"/>
        </w:rPr>
      </w:pPr>
      <w:r>
        <w:rPr>
          <w:rFonts w:ascii="Times New Roman" w:cs="Times New Roman" w:eastAsia="Times New Roman" w:hAnsi="Times New Roman"/>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2019 and 2018.</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0" w:lineRule="exact"/>
        <w:rPr>
          <w:sz w:val="20"/>
          <w:szCs w:val="20"/>
          <w:color w:val="auto"/>
        </w:rPr>
      </w:pPr>
    </w:p>
    <w:p>
      <w:pPr>
        <w:spacing w:after="0" w:line="232"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5"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jc w:val="both"/>
        <w:ind w:firstLine="462"/>
        <w:spacing w:after="0" w:line="282" w:lineRule="auto"/>
        <w:rPr>
          <w:sz w:val="20"/>
          <w:szCs w:val="20"/>
          <w:color w:val="auto"/>
        </w:rPr>
      </w:pPr>
      <w:r>
        <w:rPr>
          <w:rFonts w:ascii="Times New Roman" w:cs="Times New Roman" w:eastAsia="Times New Roman" w:hAnsi="Times New Roman"/>
          <w:sz w:val="15"/>
          <w:szCs w:val="15"/>
          <w:color w:val="auto"/>
        </w:rPr>
        <w:t>The remainder of our portfolio is valued using a market comparable or an enterprise market value technique.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Level 3 valuation techniques, unobservable inputs and ranges were categorized as follows for ASC 820 purposes: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6"/>
              </w:rPr>
              <w:t>Fair value at September 30,</w:t>
            </w: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Range of Input</w:t>
            </w:r>
          </w:p>
        </w:tc>
      </w:tr>
      <w:tr>
        <w:trPr>
          <w:trHeight w:val="219"/>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20" w:type="dxa"/>
            <w:vAlign w:val="bottom"/>
          </w:tcPr>
          <w:p>
            <w:pPr>
              <w:spacing w:after="0"/>
              <w:rPr>
                <w:sz w:val="19"/>
                <w:szCs w:val="19"/>
                <w:color w:val="auto"/>
              </w:rPr>
            </w:pPr>
          </w:p>
        </w:tc>
        <w:tc>
          <w:tcPr>
            <w:tcW w:w="2100" w:type="dxa"/>
            <w:vAlign w:val="bottom"/>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Valuation Technique</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Unobservable Input</w:t>
            </w: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(Weighted Average)</w:t>
            </w:r>
          </w:p>
        </w:tc>
      </w:tr>
      <w:tr>
        <w:trPr>
          <w:trHeight w:val="203"/>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134,655,876</w:t>
            </w:r>
          </w:p>
        </w:tc>
        <w:tc>
          <w:tcPr>
            <w:tcW w:w="180" w:type="dxa"/>
            <w:vAlign w:val="bottom"/>
            <w:tcBorders>
              <w:top w:val="single" w:sz="8" w:color="CFF0FC"/>
            </w:tcBorders>
            <w:shd w:val="clear" w:color="auto" w:fill="CFF0FC"/>
          </w:tcPr>
          <w:p>
            <w:pPr>
              <w:spacing w:after="0"/>
              <w:rPr>
                <w:sz w:val="17"/>
                <w:szCs w:val="17"/>
                <w:color w:val="auto"/>
              </w:rPr>
            </w:pPr>
          </w:p>
        </w:tc>
        <w:tc>
          <w:tcPr>
            <w:tcW w:w="2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Market Comparable</w:t>
            </w:r>
          </w:p>
        </w:tc>
        <w:tc>
          <w:tcPr>
            <w:tcW w:w="8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Broker/Dealer bids or quotes</w:t>
            </w:r>
          </w:p>
        </w:tc>
        <w:tc>
          <w:tcPr>
            <w:tcW w:w="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center"/>
              <w:ind w:left="17"/>
              <w:spacing w:after="0"/>
              <w:rPr>
                <w:sz w:val="20"/>
                <w:szCs w:val="20"/>
                <w:color w:val="auto"/>
              </w:rPr>
            </w:pPr>
            <w:r>
              <w:rPr>
                <w:rFonts w:ascii="Times New Roman" w:cs="Times New Roman" w:eastAsia="Times New Roman" w:hAnsi="Times New Roman"/>
                <w:sz w:val="17"/>
                <w:szCs w:val="17"/>
                <w:color w:val="auto"/>
              </w:rPr>
              <w:t>N/A</w:t>
            </w: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1"/>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lien</w:t>
            </w:r>
          </w:p>
        </w:tc>
        <w:tc>
          <w:tcPr>
            <w:tcW w:w="1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339,633,657</w:t>
            </w:r>
          </w:p>
        </w:tc>
        <w:tc>
          <w:tcPr>
            <w:tcW w:w="180" w:type="dxa"/>
            <w:vAlign w:val="bottom"/>
          </w:tcPr>
          <w:p>
            <w:pPr>
              <w:spacing w:after="0"/>
              <w:rPr>
                <w:sz w:val="18"/>
                <w:szCs w:val="18"/>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6"/>
              </w:rPr>
              <w:t>Market Comparable</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8"/>
              </w:rPr>
              <w:t>– 12.8%</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8"/>
                <w:szCs w:val="18"/>
                <w:color w:val="auto"/>
              </w:rPr>
            </w:pPr>
          </w:p>
        </w:tc>
      </w:tr>
      <w:tr>
        <w:trPr>
          <w:trHeight w:val="211"/>
        </w:trPr>
        <w:tc>
          <w:tcPr>
            <w:tcW w:w="2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Second Lien</w:t>
            </w:r>
          </w:p>
        </w:tc>
        <w:tc>
          <w:tcPr>
            <w:tcW w:w="12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18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7"/>
                <w:szCs w:val="17"/>
                <w:color w:val="auto"/>
                <w:w w:val="96"/>
              </w:rPr>
              <w:t>Market Comparable</w:t>
            </w:r>
          </w:p>
        </w:tc>
        <w:tc>
          <w:tcPr>
            <w:tcW w:w="21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8"/>
              </w:rPr>
              <w:t>– 14.2%</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FF0FC"/>
          </w:tcPr>
          <w:p>
            <w:pPr>
              <w:spacing w:after="0"/>
              <w:rPr>
                <w:sz w:val="18"/>
                <w:szCs w:val="18"/>
                <w:color w:val="auto"/>
              </w:rPr>
            </w:pPr>
          </w:p>
        </w:tc>
      </w:tr>
      <w:tr>
        <w:trPr>
          <w:trHeight w:val="211"/>
        </w:trPr>
        <w:tc>
          <w:tcPr>
            <w:tcW w:w="2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Equity</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8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Enterprise Market Value</w:t>
            </w:r>
          </w:p>
        </w:tc>
        <w:tc>
          <w:tcPr>
            <w:tcW w:w="210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EBITDA Multiple</w:t>
            </w:r>
          </w:p>
        </w:tc>
        <w:tc>
          <w:tcPr>
            <w:tcW w:w="52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jc w:val="center"/>
              <w:ind w:left="17"/>
              <w:spacing w:after="0"/>
              <w:rPr>
                <w:sz w:val="20"/>
                <w:szCs w:val="20"/>
                <w:color w:val="auto"/>
              </w:rPr>
            </w:pPr>
            <w:r>
              <w:rPr>
                <w:rFonts w:ascii="Times New Roman" w:cs="Times New Roman" w:eastAsia="Times New Roman" w:hAnsi="Times New Roman"/>
                <w:sz w:val="17"/>
                <w:szCs w:val="17"/>
                <w:color w:val="auto"/>
                <w:w w:val="95"/>
              </w:rPr>
              <w:t>10.90%</w:t>
            </w:r>
          </w:p>
        </w:tc>
        <w:tc>
          <w:tcPr>
            <w:tcW w:w="6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3"/>
        </w:trPr>
        <w:tc>
          <w:tcPr>
            <w:tcW w:w="2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3 investments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80" w:type="dxa"/>
            <w:vAlign w:val="bottom"/>
            <w:tcBorders>
              <w:bottom w:val="single" w:sz="8" w:color="CFF0FC"/>
            </w:tcBorders>
            <w:shd w:val="clear" w:color="auto" w:fill="CFF0FC"/>
          </w:tcPr>
          <w:p>
            <w:pPr>
              <w:spacing w:after="0"/>
              <w:rPr>
                <w:sz w:val="17"/>
                <w:szCs w:val="17"/>
                <w:color w:val="auto"/>
              </w:rPr>
            </w:pPr>
          </w:p>
        </w:tc>
        <w:tc>
          <w:tcPr>
            <w:tcW w:w="23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6"/>
              </w:rPr>
              <w:t>Fair value at September 30,</w:t>
            </w: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Range of Input</w:t>
            </w:r>
          </w:p>
        </w:tc>
      </w:tr>
      <w:tr>
        <w:trPr>
          <w:trHeight w:val="219"/>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20" w:type="dxa"/>
            <w:vAlign w:val="bottom"/>
          </w:tcPr>
          <w:p>
            <w:pPr>
              <w:spacing w:after="0"/>
              <w:rPr>
                <w:sz w:val="19"/>
                <w:szCs w:val="19"/>
                <w:color w:val="auto"/>
              </w:rPr>
            </w:pPr>
          </w:p>
        </w:tc>
        <w:tc>
          <w:tcPr>
            <w:tcW w:w="2100" w:type="dxa"/>
            <w:vAlign w:val="bottom"/>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Valuation Technique</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Unobservable Input</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(Weighted Average)</w:t>
            </w:r>
          </w:p>
        </w:tc>
      </w:tr>
      <w:tr>
        <w:trPr>
          <w:trHeight w:val="203"/>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140,708,265</w:t>
            </w:r>
          </w:p>
        </w:tc>
        <w:tc>
          <w:tcPr>
            <w:tcW w:w="180" w:type="dxa"/>
            <w:vAlign w:val="bottom"/>
            <w:tcBorders>
              <w:top w:val="single" w:sz="8" w:color="CFF0FC"/>
            </w:tcBorders>
            <w:shd w:val="clear" w:color="auto" w:fill="CFF0FC"/>
          </w:tcPr>
          <w:p>
            <w:pPr>
              <w:spacing w:after="0"/>
              <w:rPr>
                <w:sz w:val="17"/>
                <w:szCs w:val="17"/>
                <w:color w:val="auto"/>
              </w:rPr>
            </w:pPr>
          </w:p>
        </w:tc>
        <w:tc>
          <w:tcPr>
            <w:tcW w:w="23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Market Comparable</w:t>
            </w:r>
          </w:p>
        </w:tc>
        <w:tc>
          <w:tcPr>
            <w:tcW w:w="8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Broker/Dealer bids or quotes</w:t>
            </w:r>
          </w:p>
        </w:tc>
        <w:tc>
          <w:tcPr>
            <w:tcW w:w="80" w:type="dxa"/>
            <w:vAlign w:val="bottom"/>
            <w:tcBorders>
              <w:top w:val="single" w:sz="8" w:color="CFF0FC"/>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FF0FC"/>
            </w:tcBorders>
            <w:shd w:val="clear" w:color="auto" w:fill="CFF0FC"/>
          </w:tcPr>
          <w:p>
            <w:pPr>
              <w:spacing w:after="0"/>
              <w:rPr>
                <w:sz w:val="17"/>
                <w:szCs w:val="17"/>
                <w:color w:val="auto"/>
              </w:rPr>
            </w:pPr>
          </w:p>
        </w:tc>
      </w:tr>
      <w:tr>
        <w:trPr>
          <w:trHeight w:val="211"/>
        </w:trPr>
        <w:tc>
          <w:tcPr>
            <w:tcW w:w="2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First lien</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284,712,616</w:t>
            </w:r>
          </w:p>
        </w:tc>
        <w:tc>
          <w:tcPr>
            <w:tcW w:w="18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6"/>
              </w:rPr>
              <w:t>Market Comparable</w:t>
            </w:r>
          </w:p>
        </w:tc>
        <w:tc>
          <w:tcPr>
            <w:tcW w:w="210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4"/>
              </w:rPr>
              <w:t>Market Yield</w:t>
            </w:r>
          </w:p>
        </w:tc>
        <w:tc>
          <w:tcPr>
            <w:tcW w:w="1860" w:type="dxa"/>
            <w:vAlign w:val="bottom"/>
            <w:tcBorders>
              <w:bottom w:val="single" w:sz="8" w:color="CFF0F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6.6% – 16.5% (8.8%)</w:t>
            </w:r>
          </w:p>
        </w:tc>
      </w:tr>
      <w:tr>
        <w:trPr>
          <w:trHeight w:val="203"/>
        </w:trPr>
        <w:tc>
          <w:tcPr>
            <w:tcW w:w="2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3 investments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80" w:type="dxa"/>
            <w:vAlign w:val="bottom"/>
            <w:tcBorders>
              <w:bottom w:val="single" w:sz="8" w:color="CFF0FC"/>
            </w:tcBorders>
            <w:shd w:val="clear" w:color="auto" w:fill="CFF0FC"/>
          </w:tcPr>
          <w:p>
            <w:pPr>
              <w:spacing w:after="0"/>
              <w:rPr>
                <w:sz w:val="17"/>
                <w:szCs w:val="17"/>
                <w:color w:val="auto"/>
              </w:rPr>
            </w:pPr>
          </w:p>
        </w:tc>
        <w:tc>
          <w:tcPr>
            <w:tcW w:w="23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gridSpan w:val="11"/>
          </w:tcPr>
          <w:p>
            <w:pPr>
              <w:jc w:val="center"/>
              <w:ind w:right="77"/>
              <w:spacing w:after="0"/>
              <w:rPr>
                <w:sz w:val="20"/>
                <w:szCs w:val="20"/>
                <w:color w:val="auto"/>
              </w:rPr>
            </w:pPr>
            <w:r>
              <w:rPr>
                <w:rFonts w:ascii="Times New Roman" w:cs="Times New Roman" w:eastAsia="Times New Roman" w:hAnsi="Times New Roman"/>
                <w:sz w:val="17"/>
                <w:szCs w:val="17"/>
                <w:color w:val="auto"/>
                <w:w w:val="97"/>
              </w:rPr>
              <w:t>Our investments, cash and cash equivalents were categorized as follows in the fair value hierarchy for ASC 820 purposes: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8"/>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 at September 30, 2019</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20" w:type="dxa"/>
            <w:vAlign w:val="bottom"/>
          </w:tcPr>
          <w:p>
            <w:pPr>
              <w:spacing w:after="0"/>
              <w:rPr>
                <w:sz w:val="17"/>
                <w:szCs w:val="17"/>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60" w:type="dxa"/>
            <w:vAlign w:val="bottom"/>
          </w:tcPr>
          <w:p>
            <w:pPr>
              <w:spacing w:after="0"/>
              <w:rPr>
                <w:sz w:val="17"/>
                <w:szCs w:val="17"/>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17"/>
                <w:szCs w:val="17"/>
                <w:color w:val="auto"/>
              </w:rPr>
            </w:pPr>
          </w:p>
        </w:tc>
      </w:tr>
      <w:tr>
        <w:trPr>
          <w:trHeight w:val="203"/>
        </w:trPr>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center"/>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474,289,533</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FF0FC"/>
            </w:tcBorders>
            <w:gridSpan w:val="2"/>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474,289,533</w:t>
            </w:r>
          </w:p>
        </w:tc>
        <w:tc>
          <w:tcPr>
            <w:tcW w:w="120" w:type="dxa"/>
            <w:vAlign w:val="bottom"/>
            <w:tcBorders>
              <w:top w:val="single" w:sz="8" w:color="CFF0FC"/>
            </w:tcBorders>
            <w:shd w:val="clear" w:color="auto" w:fill="CFF0FC"/>
          </w:tcPr>
          <w:p>
            <w:pPr>
              <w:spacing w:after="0"/>
              <w:rPr>
                <w:sz w:val="17"/>
                <w:szCs w:val="17"/>
                <w:color w:val="auto"/>
              </w:rPr>
            </w:pPr>
          </w:p>
        </w:tc>
      </w:tr>
      <w:tr>
        <w:trPr>
          <w:trHeight w:val="211"/>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Second Lien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8,455,346</w:t>
            </w:r>
          </w:p>
        </w:tc>
        <w:tc>
          <w:tcPr>
            <w:tcW w:w="120" w:type="dxa"/>
            <w:vAlign w:val="bottom"/>
          </w:tcPr>
          <w:p>
            <w:pPr>
              <w:spacing w:after="0"/>
              <w:rPr>
                <w:sz w:val="18"/>
                <w:szCs w:val="18"/>
                <w:color w:val="auto"/>
              </w:rPr>
            </w:pPr>
          </w:p>
        </w:tc>
      </w:tr>
      <w:tr>
        <w:trPr>
          <w:trHeight w:val="211"/>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Equity</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20" w:type="dxa"/>
            <w:vAlign w:val="bottom"/>
            <w:shd w:val="clear" w:color="auto" w:fill="CFF0FC"/>
          </w:tcPr>
          <w:p>
            <w:pPr>
              <w:spacing w:after="0"/>
              <w:rPr>
                <w:sz w:val="18"/>
                <w:szCs w:val="18"/>
                <w:color w:val="auto"/>
              </w:rPr>
            </w:pPr>
          </w:p>
        </w:tc>
      </w:tr>
      <w:tr>
        <w:trPr>
          <w:trHeight w:val="203"/>
        </w:trPr>
        <w:tc>
          <w:tcPr>
            <w:tcW w:w="4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20" w:type="dxa"/>
            <w:vAlign w:val="bottom"/>
            <w:tcBorders>
              <w:bottom w:val="single" w:sz="8" w:color="CFF0FC"/>
            </w:tcBorders>
          </w:tcPr>
          <w:p>
            <w:pPr>
              <w:spacing w:after="0"/>
              <w:rPr>
                <w:sz w:val="17"/>
                <w:szCs w:val="17"/>
                <w:color w:val="auto"/>
              </w:rPr>
            </w:pPr>
          </w:p>
        </w:tc>
      </w:tr>
      <w:tr>
        <w:trPr>
          <w:trHeight w:val="203"/>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r>
      <w:tr>
        <w:trPr>
          <w:trHeight w:val="203"/>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investments, cash and cash equivalents</w:t>
            </w:r>
          </w:p>
        </w:tc>
        <w:tc>
          <w:tcPr>
            <w:tcW w:w="220" w:type="dxa"/>
            <w:vAlign w:val="bottom"/>
          </w:tcPr>
          <w:p>
            <w:pPr>
              <w:jc w:val="center"/>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503,844,728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15,294,881</w:t>
            </w:r>
          </w:p>
        </w:tc>
        <w:tc>
          <w:tcPr>
            <w:tcW w:w="120" w:type="dxa"/>
            <w:vAlign w:val="bottom"/>
          </w:tcPr>
          <w:p>
            <w:pPr>
              <w:spacing w:after="0"/>
              <w:rPr>
                <w:sz w:val="17"/>
                <w:szCs w:val="17"/>
                <w:color w:val="auto"/>
              </w:rPr>
            </w:pPr>
          </w:p>
        </w:tc>
        <w:tc>
          <w:tcPr>
            <w:tcW w:w="1400" w:type="dxa"/>
            <w:vAlign w:val="bottom"/>
            <w:gridSpan w:val="2"/>
          </w:tcPr>
          <w:p>
            <w:pPr>
              <w:jc w:val="right"/>
              <w:ind w:right="107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2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 at September 30, 2018</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60" w:type="dxa"/>
            <w:vAlign w:val="bottom"/>
          </w:tcPr>
          <w:p>
            <w:pPr>
              <w:spacing w:after="0"/>
              <w:rPr>
                <w:sz w:val="17"/>
                <w:szCs w:val="17"/>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7"/>
                <w:szCs w:val="17"/>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20" w:type="dxa"/>
            <w:vAlign w:val="bottom"/>
          </w:tcPr>
          <w:p>
            <w:pPr>
              <w:spacing w:after="0"/>
              <w:rPr>
                <w:sz w:val="17"/>
                <w:szCs w:val="17"/>
                <w:color w:val="auto"/>
              </w:rPr>
            </w:pPr>
          </w:p>
        </w:tc>
      </w:tr>
      <w:tr>
        <w:trPr>
          <w:trHeight w:val="203"/>
        </w:trPr>
        <w:tc>
          <w:tcPr>
            <w:tcW w:w="4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First lien</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4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bottom w:val="single" w:sz="8" w:color="CFF0FC"/>
            </w:tcBorders>
          </w:tcPr>
          <w:p>
            <w:pPr>
              <w:spacing w:after="0"/>
              <w:rPr>
                <w:sz w:val="17"/>
                <w:szCs w:val="17"/>
                <w:color w:val="auto"/>
              </w:rPr>
            </w:pPr>
          </w:p>
        </w:tc>
      </w:tr>
      <w:tr>
        <w:trPr>
          <w:trHeight w:val="203"/>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13,520,760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13,520,760</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investments, cash and cash equivalents</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438,941,641</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13,520,760</w:t>
            </w:r>
          </w:p>
        </w:tc>
        <w:tc>
          <w:tcPr>
            <w:tcW w:w="2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tables below show a reconciliation of the beginning and ending balances for fair valued investments measured using significant unobservable inputs (Level 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7"/>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For the Year Ended September 30, 2019</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Debt Investments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Equity Investments</w:t>
            </w:r>
          </w:p>
        </w:tc>
        <w:tc>
          <w:tcPr>
            <w:tcW w:w="520" w:type="dxa"/>
            <w:vAlign w:val="bottom"/>
          </w:tcPr>
          <w:p>
            <w:pPr>
              <w:spacing w:after="0"/>
              <w:rPr>
                <w:sz w:val="18"/>
                <w:szCs w:val="18"/>
                <w:color w:val="auto"/>
              </w:rPr>
            </w:pPr>
          </w:p>
        </w:tc>
        <w:tc>
          <w:tcPr>
            <w:tcW w:w="1320" w:type="dxa"/>
            <w:vAlign w:val="bottom"/>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80" w:type="dxa"/>
            <w:vAlign w:val="bottom"/>
            <w:tcBorders>
              <w:top w:val="single" w:sz="8" w:color="CCECFF"/>
            </w:tcBorders>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top w:val="single" w:sz="8" w:color="CCECFF"/>
            </w:tcBorders>
            <w:shd w:val="clear" w:color="auto" w:fill="CCECFF"/>
          </w:tcPr>
          <w:p>
            <w:pPr>
              <w:spacing w:after="0"/>
              <w:rPr>
                <w:sz w:val="17"/>
                <w:szCs w:val="17"/>
                <w:color w:val="auto"/>
              </w:rPr>
            </w:pPr>
          </w:p>
        </w:tc>
        <w:tc>
          <w:tcPr>
            <w:tcW w:w="22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CFF"/>
            </w:tcBorders>
            <w:shd w:val="clear" w:color="auto" w:fill="CCECFF"/>
          </w:tcPr>
          <w:p>
            <w:pPr>
              <w:spacing w:after="0"/>
              <w:rPr>
                <w:sz w:val="17"/>
                <w:szCs w:val="17"/>
                <w:color w:val="auto"/>
              </w:rPr>
            </w:pPr>
          </w:p>
        </w:tc>
        <w:tc>
          <w:tcPr>
            <w:tcW w:w="520" w:type="dxa"/>
            <w:vAlign w:val="bottom"/>
            <w:tcBorders>
              <w:top w:val="single" w:sz="8" w:color="auto"/>
            </w:tcBorders>
            <w:shd w:val="clear" w:color="auto" w:fill="CCECFF"/>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top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18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(850,892)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(850,892)</w:t>
            </w: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unrealized depreciation</w:t>
            </w:r>
          </w:p>
        </w:tc>
        <w:tc>
          <w:tcPr>
            <w:tcW w:w="180" w:type="dxa"/>
            <w:vAlign w:val="bottom"/>
            <w:shd w:val="clear" w:color="auto" w:fill="CCECFF"/>
          </w:tcPr>
          <w:p>
            <w:pPr>
              <w:spacing w:after="0"/>
              <w:rPr>
                <w:sz w:val="18"/>
                <w:szCs w:val="18"/>
                <w:color w:val="auto"/>
              </w:rPr>
            </w:pPr>
          </w:p>
        </w:tc>
        <w:tc>
          <w:tcPr>
            <w:tcW w:w="1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(4,769,047)</w:t>
            </w:r>
          </w:p>
        </w:tc>
        <w:tc>
          <w:tcPr>
            <w:tcW w:w="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7"/>
                <w:szCs w:val="17"/>
                <w:color w:val="auto"/>
              </w:rPr>
              <w:t>(1,178,969)</w:t>
            </w:r>
          </w:p>
        </w:tc>
        <w:tc>
          <w:tcPr>
            <w:tcW w:w="520" w:type="dxa"/>
            <w:vAlign w:val="bottom"/>
            <w:shd w:val="clear" w:color="auto" w:fill="CCECFF"/>
          </w:tcPr>
          <w:p>
            <w:pPr>
              <w:spacing w:after="0"/>
              <w:rPr>
                <w:sz w:val="18"/>
                <w:szCs w:val="18"/>
                <w:color w:val="auto"/>
              </w:rPr>
            </w:pPr>
          </w:p>
        </w:tc>
        <w:tc>
          <w:tcPr>
            <w:tcW w:w="14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(5,948,016)</w:t>
            </w: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net discount accretion and non-cash exchanges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222,874,229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6,983,937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229,858,166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Sales, repayments and non-cash exchanges</w:t>
            </w:r>
          </w:p>
        </w:tc>
        <w:tc>
          <w:tcPr>
            <w:tcW w:w="180" w:type="dxa"/>
            <w:vAlign w:val="bottom"/>
            <w:shd w:val="clear" w:color="auto" w:fill="CCECFF"/>
          </w:tcPr>
          <w:p>
            <w:pPr>
              <w:spacing w:after="0"/>
              <w:rPr>
                <w:sz w:val="18"/>
                <w:szCs w:val="18"/>
                <w:color w:val="auto"/>
              </w:rPr>
            </w:pPr>
          </w:p>
        </w:tc>
        <w:tc>
          <w:tcPr>
            <w:tcW w:w="1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(159,930,292)</w:t>
            </w:r>
          </w:p>
        </w:tc>
        <w:tc>
          <w:tcPr>
            <w:tcW w:w="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8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CFF"/>
          </w:tcPr>
          <w:p>
            <w:pPr>
              <w:spacing w:after="0"/>
              <w:rPr>
                <w:sz w:val="18"/>
                <w:szCs w:val="18"/>
                <w:color w:val="auto"/>
              </w:rPr>
            </w:pPr>
          </w:p>
        </w:tc>
        <w:tc>
          <w:tcPr>
            <w:tcW w:w="14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(159,930,292)</w:t>
            </w: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 into and/or out of Level 3</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2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482,744,879</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60" w:type="dxa"/>
            <w:vAlign w:val="bottom"/>
            <w:tcBorders>
              <w:top w:val="single" w:sz="8" w:color="CCECFF"/>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5,804,968</w:t>
            </w:r>
          </w:p>
        </w:tc>
        <w:tc>
          <w:tcPr>
            <w:tcW w:w="180" w:type="dxa"/>
            <w:vAlign w:val="bottom"/>
            <w:tcBorders>
              <w:top w:val="single" w:sz="8" w:color="CCECFF"/>
              <w:bottom w:val="single" w:sz="8" w:color="CCECFF"/>
            </w:tcBorders>
            <w:shd w:val="clear" w:color="auto" w:fill="CCECFF"/>
          </w:tcPr>
          <w:p>
            <w:pPr>
              <w:spacing w:after="0"/>
              <w:rPr>
                <w:sz w:val="17"/>
                <w:szCs w:val="17"/>
                <w:color w:val="auto"/>
              </w:rPr>
            </w:pPr>
          </w:p>
        </w:tc>
        <w:tc>
          <w:tcPr>
            <w:tcW w:w="520" w:type="dxa"/>
            <w:vAlign w:val="bottom"/>
            <w:tcBorders>
              <w:top w:val="single" w:sz="8" w:color="auto"/>
              <w:bottom w:val="single" w:sz="8" w:color="auto"/>
            </w:tcBorders>
            <w:shd w:val="clear" w:color="auto" w:fill="CCECFF"/>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488,549,847</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change in unrealized depreciation reported within the net change in</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unrealized (depreciation) appreciation on investments in our Consolidated</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Statements of Operations attributable to our Level 3 assets still held at the</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reporting date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(4,111,071)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(1,178,969)</w:t>
            </w:r>
          </w:p>
        </w:tc>
        <w:tc>
          <w:tcPr>
            <w:tcW w:w="52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(5,290,040)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7"/>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For the Year Ended September 30, 2018</w:t>
            </w:r>
          </w:p>
        </w:tc>
        <w:tc>
          <w:tcPr>
            <w:tcW w:w="1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0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Debt Investments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Equity Investments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00" w:type="dxa"/>
            <w:vAlign w:val="bottom"/>
            <w:tcBorders>
              <w:top w:val="single" w:sz="8" w:color="CCECFF"/>
            </w:tcBorders>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99,994,314</w:t>
            </w:r>
          </w:p>
        </w:tc>
        <w:tc>
          <w:tcPr>
            <w:tcW w:w="120" w:type="dxa"/>
            <w:vAlign w:val="bottom"/>
            <w:tcBorders>
              <w:top w:val="single" w:sz="8" w:color="CCECFF"/>
            </w:tcBorders>
            <w:shd w:val="clear" w:color="auto" w:fill="CCECFF"/>
          </w:tcPr>
          <w:p>
            <w:pPr>
              <w:spacing w:after="0"/>
              <w:rPr>
                <w:sz w:val="17"/>
                <w:szCs w:val="17"/>
                <w:color w:val="auto"/>
              </w:rPr>
            </w:pPr>
          </w:p>
        </w:tc>
        <w:tc>
          <w:tcPr>
            <w:tcW w:w="280" w:type="dxa"/>
            <w:vAlign w:val="bottom"/>
            <w:tcBorders>
              <w:top w:val="single" w:sz="8" w:color="auto"/>
            </w:tcBorders>
            <w:gridSpan w:val="2"/>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top w:val="single" w:sz="8" w:color="auto"/>
            </w:tcBorders>
            <w:shd w:val="clear" w:color="auto" w:fill="CCECFF"/>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CFF"/>
            </w:tcBorders>
            <w:shd w:val="clear" w:color="auto" w:fill="CCECFF"/>
          </w:tcPr>
          <w:p>
            <w:pPr>
              <w:spacing w:after="0"/>
              <w:rPr>
                <w:sz w:val="17"/>
                <w:szCs w:val="17"/>
                <w:color w:val="auto"/>
              </w:rPr>
            </w:pPr>
          </w:p>
        </w:tc>
        <w:tc>
          <w:tcPr>
            <w:tcW w:w="500" w:type="dxa"/>
            <w:vAlign w:val="bottom"/>
            <w:tcBorders>
              <w:top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99,994,314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2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Net unrealized depreciation</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(364,740)</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760" w:type="dxa"/>
            <w:vAlign w:val="bottom"/>
            <w:shd w:val="clear" w:color="auto" w:fill="CCECFF"/>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(364,740)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net discount accretion and non-cash exchanges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371,660,793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371,660,793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Sales, repayments and non-cash exchanges</w:t>
            </w:r>
          </w:p>
        </w:tc>
        <w:tc>
          <w:tcPr>
            <w:tcW w:w="2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(45,763,521)</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760" w:type="dxa"/>
            <w:vAlign w:val="bottom"/>
            <w:shd w:val="clear" w:color="auto" w:fill="CCECFF"/>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4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(45,763,521)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Transfers into and/or out of Level 3</w:t>
            </w: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c>
          <w:tcPr>
            <w:tcW w:w="18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CFF"/>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500" w:type="dxa"/>
            <w:vAlign w:val="bottom"/>
            <w:tcBorders>
              <w:top w:val="single" w:sz="8" w:color="auto"/>
              <w:bottom w:val="single" w:sz="8" w:color="auto"/>
            </w:tcBorders>
            <w:shd w:val="clear" w:color="auto" w:fill="CCEC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425,420,881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change in unrealized depreciation reported within the net change in</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unrealized (depreciation) appreciation on investments in our Consolidated</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Statements of Operations attributable to our Level 3 assets still held at the</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reporting date</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(35,124)</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82"/>
              </w:rPr>
              <w:t>—</w:t>
            </w:r>
          </w:p>
        </w:tc>
        <w:tc>
          <w:tcPr>
            <w:tcW w:w="62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277"/>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-6985</wp:posOffset>
            </wp:positionV>
            <wp:extent cx="762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19" w:right="29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As of September 30, 2019, we had outstanding non-U.S. dollar borrowings on our Credit Facility. Net change in fair value from foreign currency translation on outstanding borrowings is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4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Amount Borrowed</w:t>
            </w:r>
          </w:p>
        </w:tc>
        <w:tc>
          <w:tcPr>
            <w:tcW w:w="300" w:type="dxa"/>
            <w:vAlign w:val="bottom"/>
          </w:tcPr>
          <w:p>
            <w:pPr>
              <w:spacing w:after="0"/>
              <w:rPr>
                <w:sz w:val="17"/>
                <w:szCs w:val="17"/>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Borrowing Cost</w:t>
            </w:r>
          </w:p>
        </w:tc>
        <w:tc>
          <w:tcPr>
            <w:tcW w:w="140" w:type="dxa"/>
            <w:vAlign w:val="bottom"/>
          </w:tcPr>
          <w:p>
            <w:pPr>
              <w:spacing w:after="0"/>
              <w:rPr>
                <w:sz w:val="17"/>
                <w:szCs w:val="17"/>
                <w:color w:val="auto"/>
              </w:rPr>
            </w:pPr>
          </w:p>
        </w:tc>
        <w:tc>
          <w:tcPr>
            <w:tcW w:w="128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Current Value</w:t>
            </w:r>
          </w:p>
        </w:tc>
        <w:tc>
          <w:tcPr>
            <w:tcW w:w="280" w:type="dxa"/>
            <w:vAlign w:val="bottom"/>
          </w:tcPr>
          <w:p>
            <w:pPr>
              <w:spacing w:after="0"/>
              <w:rPr>
                <w:sz w:val="17"/>
                <w:szCs w:val="17"/>
                <w:color w:val="auto"/>
              </w:rPr>
            </w:pPr>
          </w:p>
        </w:tc>
        <w:tc>
          <w:tcPr>
            <w:tcW w:w="2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Reset Date</w:t>
            </w:r>
          </w:p>
        </w:tc>
        <w:tc>
          <w:tcPr>
            <w:tcW w:w="1320" w:type="dxa"/>
            <w:vAlign w:val="bottom"/>
            <w:gridSpan w:val="3"/>
          </w:tcPr>
          <w:p>
            <w:pPr>
              <w:jc w:val="right"/>
              <w:ind w:right="103"/>
              <w:spacing w:after="0"/>
              <w:rPr>
                <w:sz w:val="20"/>
                <w:szCs w:val="20"/>
                <w:color w:val="auto"/>
              </w:rPr>
            </w:pPr>
            <w:r>
              <w:rPr>
                <w:rFonts w:ascii="Times New Roman" w:cs="Times New Roman" w:eastAsia="Times New Roman" w:hAnsi="Times New Roman"/>
                <w:sz w:val="17"/>
                <w:szCs w:val="17"/>
                <w:b w:val="1"/>
                <w:bCs w:val="1"/>
                <w:color w:val="auto"/>
              </w:rPr>
              <w:t>Change in Fair</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7"/>
                <w:szCs w:val="17"/>
                <w:color w:val="auto"/>
                <w:w w:val="97"/>
              </w:rPr>
              <w:t>A</w:t>
            </w:r>
          </w:p>
        </w:tc>
        <w:tc>
          <w:tcPr>
            <w:tcW w:w="360" w:type="dxa"/>
            <w:vAlign w:val="bottom"/>
            <w:tcBorders>
              <w:top w:val="single" w:sz="8" w:color="auto"/>
            </w:tcBorders>
            <w:shd w:val="clear" w:color="auto" w:fill="CCEC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39,700,000</w:t>
            </w:r>
          </w:p>
        </w:tc>
        <w:tc>
          <w:tcPr>
            <w:tcW w:w="30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29,287,152</w:t>
            </w:r>
          </w:p>
        </w:tc>
        <w:tc>
          <w:tcPr>
            <w:tcW w:w="280" w:type="dxa"/>
            <w:vAlign w:val="bottom"/>
            <w:tcBorders>
              <w:top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26,775,665</w:t>
            </w:r>
          </w:p>
        </w:tc>
        <w:tc>
          <w:tcPr>
            <w:tcW w:w="280" w:type="dxa"/>
            <w:vAlign w:val="bottom"/>
            <w:tcBorders>
              <w:top w:val="single" w:sz="8" w:color="CCECFF"/>
            </w:tcBorders>
            <w:shd w:val="clear" w:color="auto" w:fill="CCECFF"/>
          </w:tcPr>
          <w:p>
            <w:pPr>
              <w:spacing w:after="0"/>
              <w:rPr>
                <w:sz w:val="17"/>
                <w:szCs w:val="17"/>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November 30, 2019</w:t>
            </w:r>
          </w:p>
        </w:tc>
        <w:tc>
          <w:tcPr>
            <w:tcW w:w="180" w:type="dxa"/>
            <w:vAlign w:val="bottom"/>
            <w:tcBorders>
              <w:top w:val="single" w:sz="8" w:color="CCECFF"/>
            </w:tcBorders>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(2,511,487</w:t>
            </w:r>
          </w:p>
        </w:tc>
        <w:tc>
          <w:tcPr>
            <w:tcW w:w="12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w:t>
            </w:r>
          </w:p>
        </w:tc>
        <w:tc>
          <w:tcPr>
            <w:tcW w:w="60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C$</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7,137,094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6,948,640</w:t>
            </w:r>
          </w:p>
        </w:tc>
        <w:tc>
          <w:tcPr>
            <w:tcW w:w="28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November 30, 2019</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(188,454)</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CCECFF"/>
              <w:bottom w:val="single" w:sz="8" w:color="CCECFF"/>
            </w:tcBorders>
            <w:shd w:val="clear" w:color="auto" w:fill="CCECFF"/>
          </w:tcPr>
          <w:p>
            <w:pPr>
              <w:spacing w:after="0"/>
              <w:rPr>
                <w:sz w:val="17"/>
                <w:szCs w:val="17"/>
                <w:color w:val="auto"/>
              </w:rPr>
            </w:pPr>
          </w:p>
        </w:tc>
        <w:tc>
          <w:tcPr>
            <w:tcW w:w="360" w:type="dxa"/>
            <w:vAlign w:val="bottom"/>
            <w:tcBorders>
              <w:top w:val="single" w:sz="8" w:color="CCECFF"/>
              <w:bottom w:val="single" w:sz="8" w:color="CCECFF"/>
            </w:tcBorders>
            <w:shd w:val="clear" w:color="auto" w:fill="CCECFF"/>
          </w:tcPr>
          <w:p>
            <w:pPr>
              <w:spacing w:after="0"/>
              <w:rPr>
                <w:sz w:val="17"/>
                <w:szCs w:val="17"/>
                <w:color w:val="auto"/>
              </w:rPr>
            </w:pPr>
          </w:p>
        </w:tc>
        <w:tc>
          <w:tcPr>
            <w:tcW w:w="1020" w:type="dxa"/>
            <w:vAlign w:val="bottom"/>
            <w:tcBorders>
              <w:top w:val="single" w:sz="8" w:color="CCECFF"/>
              <w:bottom w:val="single" w:sz="8" w:color="CCECFF"/>
            </w:tcBorders>
            <w:shd w:val="clear" w:color="auto" w:fill="CCECFF"/>
          </w:tcPr>
          <w:p>
            <w:pPr>
              <w:spacing w:after="0"/>
              <w:rPr>
                <w:sz w:val="17"/>
                <w:szCs w:val="17"/>
                <w:color w:val="auto"/>
              </w:rPr>
            </w:pPr>
          </w:p>
        </w:tc>
        <w:tc>
          <w:tcPr>
            <w:tcW w:w="300" w:type="dxa"/>
            <w:vAlign w:val="bottom"/>
            <w:tcBorders>
              <w:top w:val="single" w:sz="8" w:color="CCECFF"/>
              <w:bottom w:val="single" w:sz="8" w:color="CCECFF"/>
            </w:tcBorders>
            <w:shd w:val="clear" w:color="auto" w:fill="CCECFF"/>
          </w:tcPr>
          <w:p>
            <w:pPr>
              <w:spacing w:after="0"/>
              <w:rPr>
                <w:sz w:val="17"/>
                <w:szCs w:val="17"/>
                <w:color w:val="auto"/>
              </w:rPr>
            </w:pPr>
          </w:p>
        </w:tc>
        <w:tc>
          <w:tcPr>
            <w:tcW w:w="260" w:type="dxa"/>
            <w:vAlign w:val="bottom"/>
            <w:tcBorders>
              <w:top w:val="single" w:sz="8" w:color="auto"/>
              <w:bottom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36,424,246</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33,724,305</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2160" w:type="dxa"/>
            <w:vAlign w:val="bottom"/>
            <w:tcBorders>
              <w:top w:val="single" w:sz="8" w:color="CCECFF"/>
              <w:bottom w:val="single" w:sz="8" w:color="CCECFF"/>
            </w:tcBorders>
            <w:shd w:val="clear" w:color="auto" w:fill="CCECFF"/>
          </w:tcPr>
          <w:p>
            <w:pPr>
              <w:spacing w:after="0"/>
              <w:rPr>
                <w:sz w:val="17"/>
                <w:szCs w:val="17"/>
                <w:color w:val="auto"/>
              </w:rPr>
            </w:pPr>
          </w:p>
        </w:tc>
        <w:tc>
          <w:tcPr>
            <w:tcW w:w="18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auto"/>
              <w:bottom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(2,699,941)</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60" w:firstLine="462"/>
        <w:spacing w:after="0" w:line="267" w:lineRule="auto"/>
        <w:rPr>
          <w:sz w:val="20"/>
          <w:szCs w:val="20"/>
          <w:color w:val="auto"/>
        </w:rPr>
      </w:pPr>
      <w:r>
        <w:rPr>
          <w:rFonts w:ascii="Times New Roman" w:cs="Times New Roman" w:eastAsia="Times New Roman" w:hAnsi="Times New Roman"/>
          <w:sz w:val="17"/>
          <w:szCs w:val="17"/>
          <w:color w:val="auto"/>
        </w:rPr>
        <w:t>As of September 30, 2018, we had outstanding non-U.S. dollar borrowings on our Credit Facility. Net change in fair value from foreign currency translation on outstanding borrowings is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4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Amount Borrowed</w:t>
            </w:r>
          </w:p>
        </w:tc>
        <w:tc>
          <w:tcPr>
            <w:tcW w:w="300" w:type="dxa"/>
            <w:vAlign w:val="bottom"/>
          </w:tcPr>
          <w:p>
            <w:pPr>
              <w:spacing w:after="0"/>
              <w:rPr>
                <w:sz w:val="17"/>
                <w:szCs w:val="17"/>
                <w:color w:val="auto"/>
              </w:rPr>
            </w:pP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Borrowing Cost</w:t>
            </w:r>
          </w:p>
        </w:tc>
        <w:tc>
          <w:tcPr>
            <w:tcW w:w="140" w:type="dxa"/>
            <w:vAlign w:val="bottom"/>
          </w:tcPr>
          <w:p>
            <w:pPr>
              <w:spacing w:after="0"/>
              <w:rPr>
                <w:sz w:val="17"/>
                <w:szCs w:val="17"/>
                <w:color w:val="auto"/>
              </w:rPr>
            </w:pPr>
          </w:p>
        </w:tc>
        <w:tc>
          <w:tcPr>
            <w:tcW w:w="128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Current Value</w:t>
            </w:r>
          </w:p>
        </w:tc>
        <w:tc>
          <w:tcPr>
            <w:tcW w:w="280" w:type="dxa"/>
            <w:vAlign w:val="bottom"/>
          </w:tcPr>
          <w:p>
            <w:pPr>
              <w:spacing w:after="0"/>
              <w:rPr>
                <w:sz w:val="17"/>
                <w:szCs w:val="17"/>
                <w:color w:val="auto"/>
              </w:rPr>
            </w:pPr>
          </w:p>
        </w:tc>
        <w:tc>
          <w:tcPr>
            <w:tcW w:w="2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Reset Date</w:t>
            </w:r>
          </w:p>
        </w:tc>
        <w:tc>
          <w:tcPr>
            <w:tcW w:w="1320" w:type="dxa"/>
            <w:vAlign w:val="bottom"/>
            <w:gridSpan w:val="3"/>
          </w:tcPr>
          <w:p>
            <w:pPr>
              <w:jc w:val="right"/>
              <w:ind w:right="103"/>
              <w:spacing w:after="0"/>
              <w:rPr>
                <w:sz w:val="20"/>
                <w:szCs w:val="20"/>
                <w:color w:val="auto"/>
              </w:rPr>
            </w:pPr>
            <w:r>
              <w:rPr>
                <w:rFonts w:ascii="Times New Roman" w:cs="Times New Roman" w:eastAsia="Times New Roman" w:hAnsi="Times New Roman"/>
                <w:sz w:val="17"/>
                <w:szCs w:val="17"/>
                <w:b w:val="1"/>
                <w:bCs w:val="1"/>
                <w:color w:val="auto"/>
              </w:rPr>
              <w:t>Change in Fair</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7"/>
                <w:szCs w:val="17"/>
                <w:color w:val="auto"/>
                <w:w w:val="97"/>
              </w:rPr>
              <w:t>A</w:t>
            </w:r>
          </w:p>
        </w:tc>
        <w:tc>
          <w:tcPr>
            <w:tcW w:w="360" w:type="dxa"/>
            <w:vAlign w:val="bottom"/>
            <w:tcBorders>
              <w:top w:val="single" w:sz="8" w:color="auto"/>
            </w:tcBorders>
            <w:shd w:val="clear" w:color="auto" w:fill="CCEC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24,800,000</w:t>
            </w:r>
          </w:p>
        </w:tc>
        <w:tc>
          <w:tcPr>
            <w:tcW w:w="30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18,683,643</w:t>
            </w:r>
          </w:p>
        </w:tc>
        <w:tc>
          <w:tcPr>
            <w:tcW w:w="280" w:type="dxa"/>
            <w:vAlign w:val="bottom"/>
            <w:tcBorders>
              <w:top w:val="single" w:sz="8" w:color="CCECFF"/>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17,944,090</w:t>
            </w:r>
          </w:p>
        </w:tc>
        <w:tc>
          <w:tcPr>
            <w:tcW w:w="280" w:type="dxa"/>
            <w:vAlign w:val="bottom"/>
            <w:tcBorders>
              <w:top w:val="single" w:sz="8" w:color="CCECFF"/>
            </w:tcBorders>
            <w:shd w:val="clear" w:color="auto" w:fill="CCECFF"/>
          </w:tcPr>
          <w:p>
            <w:pPr>
              <w:spacing w:after="0"/>
              <w:rPr>
                <w:sz w:val="17"/>
                <w:szCs w:val="17"/>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7"/>
                <w:szCs w:val="17"/>
                <w:color w:val="auto"/>
                <w:w w:val="97"/>
              </w:rPr>
              <w:t>November 30, 2018</w:t>
            </w:r>
          </w:p>
        </w:tc>
        <w:tc>
          <w:tcPr>
            <w:tcW w:w="180" w:type="dxa"/>
            <w:vAlign w:val="bottom"/>
            <w:tcBorders>
              <w:top w:val="single" w:sz="8" w:color="CCECFF"/>
            </w:tcBorders>
            <w:shd w:val="clear" w:color="auto" w:fill="CCECFF"/>
          </w:tcPr>
          <w:p>
            <w:pPr>
              <w:spacing w:after="0"/>
              <w:rPr>
                <w:sz w:val="17"/>
                <w:szCs w:val="17"/>
                <w:color w:val="auto"/>
              </w:rPr>
            </w:pPr>
          </w:p>
        </w:tc>
        <w:tc>
          <w:tcPr>
            <w:tcW w:w="240" w:type="dxa"/>
            <w:vAlign w:val="bottom"/>
            <w:tcBorders>
              <w:top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(739,553</w:t>
            </w:r>
          </w:p>
        </w:tc>
        <w:tc>
          <w:tcPr>
            <w:tcW w:w="120" w:type="dxa"/>
            <w:vAlign w:val="bottom"/>
            <w:tcBorders>
              <w:top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w:t>
            </w:r>
          </w:p>
        </w:tc>
        <w:tc>
          <w:tcPr>
            <w:tcW w:w="60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C$</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4,714,320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4,641,810</w:t>
            </w:r>
          </w:p>
        </w:tc>
        <w:tc>
          <w:tcPr>
            <w:tcW w:w="28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November 30, 2018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(72,510)</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CCECFF"/>
              <w:bottom w:val="single" w:sz="8" w:color="CCECFF"/>
            </w:tcBorders>
            <w:shd w:val="clear" w:color="auto" w:fill="CCECFF"/>
          </w:tcPr>
          <w:p>
            <w:pPr>
              <w:spacing w:after="0"/>
              <w:rPr>
                <w:sz w:val="17"/>
                <w:szCs w:val="17"/>
                <w:color w:val="auto"/>
              </w:rPr>
            </w:pPr>
          </w:p>
        </w:tc>
        <w:tc>
          <w:tcPr>
            <w:tcW w:w="360" w:type="dxa"/>
            <w:vAlign w:val="bottom"/>
            <w:tcBorders>
              <w:top w:val="single" w:sz="8" w:color="CCECFF"/>
              <w:bottom w:val="single" w:sz="8" w:color="CCECFF"/>
            </w:tcBorders>
            <w:shd w:val="clear" w:color="auto" w:fill="CCECFF"/>
          </w:tcPr>
          <w:p>
            <w:pPr>
              <w:spacing w:after="0"/>
              <w:rPr>
                <w:sz w:val="17"/>
                <w:szCs w:val="17"/>
                <w:color w:val="auto"/>
              </w:rPr>
            </w:pPr>
          </w:p>
        </w:tc>
        <w:tc>
          <w:tcPr>
            <w:tcW w:w="1020" w:type="dxa"/>
            <w:vAlign w:val="bottom"/>
            <w:tcBorders>
              <w:top w:val="single" w:sz="8" w:color="CCECFF"/>
              <w:bottom w:val="single" w:sz="8" w:color="CCECFF"/>
            </w:tcBorders>
            <w:shd w:val="clear" w:color="auto" w:fill="CCECFF"/>
          </w:tcPr>
          <w:p>
            <w:pPr>
              <w:spacing w:after="0"/>
              <w:rPr>
                <w:sz w:val="17"/>
                <w:szCs w:val="17"/>
                <w:color w:val="auto"/>
              </w:rPr>
            </w:pPr>
          </w:p>
        </w:tc>
        <w:tc>
          <w:tcPr>
            <w:tcW w:w="300" w:type="dxa"/>
            <w:vAlign w:val="bottom"/>
            <w:tcBorders>
              <w:top w:val="single" w:sz="8" w:color="CCECFF"/>
              <w:bottom w:val="single" w:sz="8" w:color="CCECFF"/>
            </w:tcBorders>
            <w:shd w:val="clear" w:color="auto" w:fill="CCECFF"/>
          </w:tcPr>
          <w:p>
            <w:pPr>
              <w:spacing w:after="0"/>
              <w:rPr>
                <w:sz w:val="17"/>
                <w:szCs w:val="17"/>
                <w:color w:val="auto"/>
              </w:rPr>
            </w:pPr>
          </w:p>
        </w:tc>
        <w:tc>
          <w:tcPr>
            <w:tcW w:w="260" w:type="dxa"/>
            <w:vAlign w:val="bottom"/>
            <w:tcBorders>
              <w:top w:val="single" w:sz="8" w:color="auto"/>
              <w:bottom w:val="single" w:sz="8" w:color="auto"/>
            </w:tcBorders>
            <w:shd w:val="clear" w:color="auto" w:fill="CCEC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23,397,963</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22,585,900</w:t>
            </w:r>
          </w:p>
        </w:tc>
        <w:tc>
          <w:tcPr>
            <w:tcW w:w="280" w:type="dxa"/>
            <w:vAlign w:val="bottom"/>
            <w:tcBorders>
              <w:top w:val="single" w:sz="8" w:color="CCECFF"/>
              <w:bottom w:val="single" w:sz="8" w:color="CCECFF"/>
            </w:tcBorders>
            <w:shd w:val="clear" w:color="auto" w:fill="CCECFF"/>
          </w:tcPr>
          <w:p>
            <w:pPr>
              <w:spacing w:after="0"/>
              <w:rPr>
                <w:sz w:val="17"/>
                <w:szCs w:val="17"/>
                <w:color w:val="auto"/>
              </w:rPr>
            </w:pPr>
          </w:p>
        </w:tc>
        <w:tc>
          <w:tcPr>
            <w:tcW w:w="2160" w:type="dxa"/>
            <w:vAlign w:val="bottom"/>
            <w:tcBorders>
              <w:top w:val="single" w:sz="8" w:color="CCECFF"/>
              <w:bottom w:val="single" w:sz="8" w:color="CCECFF"/>
            </w:tcBorders>
            <w:shd w:val="clear" w:color="auto" w:fill="CCECFF"/>
          </w:tcPr>
          <w:p>
            <w:pPr>
              <w:spacing w:after="0"/>
              <w:rPr>
                <w:sz w:val="17"/>
                <w:szCs w:val="17"/>
                <w:color w:val="auto"/>
              </w:rPr>
            </w:pPr>
          </w:p>
        </w:tc>
        <w:tc>
          <w:tcPr>
            <w:tcW w:w="180" w:type="dxa"/>
            <w:vAlign w:val="bottom"/>
            <w:tcBorders>
              <w:top w:val="single" w:sz="8" w:color="CCECFF"/>
              <w:bottom w:val="single" w:sz="8" w:color="CCECFF"/>
            </w:tcBorders>
            <w:shd w:val="clear" w:color="auto" w:fill="CCECFF"/>
          </w:tcPr>
          <w:p>
            <w:pPr>
              <w:spacing w:after="0"/>
              <w:rPr>
                <w:sz w:val="17"/>
                <w:szCs w:val="17"/>
                <w:color w:val="auto"/>
              </w:rPr>
            </w:pPr>
          </w:p>
        </w:tc>
        <w:tc>
          <w:tcPr>
            <w:tcW w:w="240" w:type="dxa"/>
            <w:vAlign w:val="bottom"/>
            <w:tcBorders>
              <w:top w:val="single" w:sz="8" w:color="auto"/>
              <w:bottom w:val="single" w:sz="8" w:color="auto"/>
            </w:tcBorders>
            <w:shd w:val="clear" w:color="auto" w:fill="CCEC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(812,063)</w:t>
            </w:r>
          </w:p>
        </w:tc>
        <w:tc>
          <w:tcPr>
            <w:tcW w:w="120" w:type="dxa"/>
            <w:vAlign w:val="bottom"/>
            <w:tcBorders>
              <w:top w:val="single" w:sz="8" w:color="CCECFF"/>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CASH AND CASH EQUIVALENTS</w:t>
      </w:r>
    </w:p>
    <w:p>
      <w:pPr>
        <w:spacing w:after="0" w:line="23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U.S. Treasury Bills with maturities greater than 60 days from the time of purchase are valued consistent with our valuation policy. As of September 30, 2019 and 2018, cash and cash equivalents consisted of money market funds in the amounts of $15.3 million and $13.5 million at fair value,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MEMBERS’ CAPITAL</w:t>
      </w:r>
    </w:p>
    <w:p>
      <w:pPr>
        <w:spacing w:after="0" w:line="230"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PFLT and Kemper provide capital to PSSL in the form of first lien secured debt and equity interests. The first lien secured debt was previously subordinated debt that were modified during the year ended September 30, 2018 to eliminate the subordination provision. As of September 30, 2019 and 2018, PFLT and Kemper owned 87.5% and 12.5%, respectively, of each of the outstanding notes and equity interests.</w:t>
      </w:r>
    </w:p>
    <w:p>
      <w:pPr>
        <w:spacing w:after="0" w:line="19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As of September 30, 2019 and 2018, PFLT had commitments to fund notes to PSSL of $128.6 million, respectively, of which $6.4 million and $27.6 million, respectively, were unfunded. As of the same dates, PFLT had commitments to fund equity interests to PSSL of $55.1 million, respectively, of which $2.8 million and $11.8 million were unfunded, respectively.</w:t>
      </w:r>
    </w:p>
    <w:p>
      <w:pPr>
        <w:spacing w:after="0" w:line="195"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As of September 30, 2019 and 2018, Kemper had commitments to fund notes to PSSL of $18.4 million, respectively, of which $0.9 million and $3.9 million, respectively, were unfunded. As of the same dates, Kemper had commitments to fund equity interests to PSSL of $7.9 million, respectively, of which $0.4 million and $1.7 million were unfunded,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RISKS AND UNCERTAINTIES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first lien secured loans of privately held companies</w:t>
      </w:r>
    </w:p>
    <w:p>
      <w:pPr>
        <w:spacing w:after="0" w:line="230" w:lineRule="exact"/>
        <w:rPr>
          <w:sz w:val="20"/>
          <w:szCs w:val="20"/>
          <w:color w:val="auto"/>
        </w:rPr>
      </w:pPr>
    </w:p>
    <w:p>
      <w:pPr>
        <w:jc w:val="both"/>
        <w:ind w:firstLine="462"/>
        <w:spacing w:after="0" w:line="249" w:lineRule="auto"/>
        <w:rPr>
          <w:sz w:val="20"/>
          <w:szCs w:val="20"/>
          <w:color w:val="auto"/>
        </w:rPr>
      </w:pPr>
      <w:r>
        <w:rPr>
          <w:rFonts w:ascii="Times New Roman" w:cs="Times New Roman" w:eastAsia="Times New Roman" w:hAnsi="Times New Roman"/>
          <w:sz w:val="17"/>
          <w:szCs w:val="17"/>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 securities at the current time. The ability of PSSL to liquidate these investments and realize value is subject to significant limitations and uncertainties.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15962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 LLC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2019</w:t>
      </w:r>
    </w:p>
    <w:p>
      <w:pPr>
        <w:spacing w:after="0" w:line="200" w:lineRule="exact"/>
        <w:rPr>
          <w:sz w:val="20"/>
          <w:szCs w:val="20"/>
          <w:color w:val="auto"/>
        </w:rPr>
      </w:pPr>
    </w:p>
    <w:p>
      <w:pPr>
        <w:spacing w:after="0" w:line="232" w:lineRule="exact"/>
        <w:rPr>
          <w:sz w:val="20"/>
          <w:szCs w:val="20"/>
          <w:color w:val="auto"/>
        </w:rPr>
      </w:pPr>
    </w:p>
    <w:p>
      <w:pPr>
        <w:jc w:val="both"/>
        <w:ind w:firstLine="462"/>
        <w:spacing w:after="0" w:line="285" w:lineRule="auto"/>
        <w:rPr>
          <w:sz w:val="20"/>
          <w:szCs w:val="20"/>
          <w:color w:val="auto"/>
        </w:rPr>
      </w:pPr>
      <w:r>
        <w:rPr>
          <w:rFonts w:ascii="Times New Roman" w:cs="Times New Roman" w:eastAsia="Times New Roman" w:hAnsi="Times New Roman"/>
          <w:sz w:val="15"/>
          <w:szCs w:val="15"/>
          <w:color w:val="auto"/>
        </w:rPr>
        <w:t>PSSL may borrow funds in order to increase the amount of capital available for investment. The use of leverage can improve the return on invested capital, however, such use may also magnify the potential for loss on invested equity capital. If the value of PSSL’s assets decreases, leveraging would cause net asset value to decline more sharply than it otherwise would have had PSSL not leveraged. Similarly, any decrease in PSSL’s income would cause net income to decline more sharply than it would have had PSSL not borrowed. Borrowings will usually be from credit facilities and will typically be secured by PSSL’s securities and other assets. Under certain circumstances, such credit facilities may demand an increase in the collateral that secures PSSL’s obligations and if PSSL was unable to provide additional collateral, the credit facilities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30" w:lineRule="exact"/>
        <w:rPr>
          <w:sz w:val="20"/>
          <w:szCs w:val="20"/>
          <w:color w:val="auto"/>
        </w:rPr>
      </w:pPr>
    </w:p>
    <w:p>
      <w:pPr>
        <w:jc w:val="both"/>
        <w:ind w:firstLine="462"/>
        <w:spacing w:after="0" w:line="255" w:lineRule="auto"/>
        <w:rPr>
          <w:sz w:val="20"/>
          <w:szCs w:val="20"/>
          <w:color w:val="auto"/>
        </w:rPr>
      </w:pPr>
      <w:r>
        <w:rPr>
          <w:rFonts w:ascii="Times New Roman" w:cs="Times New Roman" w:eastAsia="Times New Roman" w:hAnsi="Times New Roman"/>
          <w:sz w:val="17"/>
          <w:szCs w:val="17"/>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FINANCIAL HIGHLIGHTS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The Members are responsible for all investment making and business decisions, and therefore, there is no requirement to show financial highlights per ASC 946, which have been omitted accordingly.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CREDIT FACILITY</w:t>
      </w:r>
    </w:p>
    <w:p>
      <w:pPr>
        <w:spacing w:after="0" w:line="205" w:lineRule="exact"/>
        <w:rPr>
          <w:sz w:val="20"/>
          <w:szCs w:val="20"/>
          <w:color w:val="auto"/>
        </w:rPr>
      </w:pPr>
    </w:p>
    <w:p>
      <w:pPr>
        <w:jc w:val="both"/>
        <w:ind w:firstLine="462"/>
        <w:spacing w:after="0" w:line="248" w:lineRule="auto"/>
        <w:rPr>
          <w:sz w:val="20"/>
          <w:szCs w:val="20"/>
          <w:color w:val="auto"/>
        </w:rPr>
      </w:pPr>
      <w:r>
        <w:rPr>
          <w:rFonts w:ascii="Times New Roman" w:cs="Times New Roman" w:eastAsia="Times New Roman" w:hAnsi="Times New Roman"/>
          <w:sz w:val="17"/>
          <w:szCs w:val="17"/>
          <w:color w:val="auto"/>
        </w:rPr>
        <w:t>As of September 30, 2019, PSSL had a $420.0 million multi-currency Credit Facility with Capital One, N.A. as the lender and administrative agent. As of September 30, 2019 and 2018, we had $308.7 million and $275.3 million, respectively, in outstanding borrowings under the Credit Facility. The Credit Facility had a weighted average interest rate of 4.21% and 4.33%, excluding the undrawn commitment fees as of September 30, 2019 and 2018, respectively. The Credit Facility is a five-year revolving facility with a stated maturity date of May 2, 2023 and pricing set at 2.25% over LIBOR. The Credit Facility is secured by substantially all of the assets held by us. The carrying value of our Credit Facility approximates fair value. The Credit Facility contains customary financial and other covenants. As of September 30, 2019 we are in compliance with the covenants of our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SUBSEQUENT EVENTS</w:t>
      </w:r>
    </w:p>
    <w:p>
      <w:pPr>
        <w:spacing w:after="0" w:line="230" w:lineRule="exact"/>
        <w:rPr>
          <w:sz w:val="20"/>
          <w:szCs w:val="20"/>
          <w:color w:val="auto"/>
        </w:rPr>
      </w:pPr>
    </w:p>
    <w:p>
      <w:pPr>
        <w:jc w:val="both"/>
        <w:ind w:firstLine="462"/>
        <w:spacing w:after="0" w:line="267" w:lineRule="auto"/>
        <w:rPr>
          <w:sz w:val="20"/>
          <w:szCs w:val="20"/>
          <w:color w:val="auto"/>
        </w:rPr>
      </w:pPr>
      <w:r>
        <w:rPr>
          <w:rFonts w:ascii="Times New Roman" w:cs="Times New Roman" w:eastAsia="Times New Roman" w:hAnsi="Times New Roman"/>
          <w:sz w:val="17"/>
          <w:szCs w:val="17"/>
          <w:color w:val="auto"/>
        </w:rPr>
        <w:t>Subsequent events are evaluated and disclosed as appropriate for events occurring through the date the consolidated financial statements were available to be issued, November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lowerLetter"/>
      <w:start w:val="1"/>
    </w:lvl>
  </w:abstractNum>
  <w:abstractNum w:abstractNumId="6">
    <w:nsid w:val="5DB70AE5"/>
    <w:multiLevelType w:val="hybridMultilevel"/>
    <w:lvl w:ilvl="0">
      <w:lvlJc w:val="left"/>
      <w:lvlText w:val="%1)"/>
      <w:numFmt w:val="lowerLetter"/>
      <w:start w:val="2"/>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1)"/>
      <w:numFmt w:val="lowerLetter"/>
      <w:start w:val="3"/>
    </w:lvl>
  </w:abstractNum>
  <w:abstractNum w:abstractNumId="9">
    <w:nsid w:val="15014ACB"/>
    <w:multiLevelType w:val="hybridMultilevel"/>
    <w:lvl w:ilvl="0">
      <w:lvlJc w:val="left"/>
      <w:lvlText w:val="%1)"/>
      <w:numFmt w:val="lowerLetter"/>
      <w:start w:val="4"/>
    </w:lvl>
  </w:abstractNum>
  <w:abstractNum w:abstractNumId="10">
    <w:nsid w:val="5F5E7FD0"/>
    <w:multiLevelType w:val="hybridMultilevel"/>
    <w:lvl w:ilvl="0">
      <w:lvlJc w:val="left"/>
      <w:lvlText w:val="%1)"/>
      <w:numFmt w:val="lowerLetter"/>
      <w:start w:val="1"/>
    </w:lvl>
  </w:abstractNum>
  <w:abstractNum w:abstractNumId="11">
    <w:nsid w:val="98A3148"/>
    <w:multiLevelType w:val="hybridMultilevel"/>
    <w:lvl w:ilvl="0">
      <w:lvlJc w:val="left"/>
      <w:lvlText w:val="%1)"/>
      <w:numFmt w:val="lowerLetter"/>
      <w:start w:val="2"/>
    </w:lvl>
  </w:abstractNum>
  <w:abstractNum w:abstractNumId="12">
    <w:nsid w:val="799D0247"/>
    <w:multiLevelType w:val="hybridMultilevel"/>
    <w:lvl w:ilvl="0">
      <w:lvlJc w:val="left"/>
      <w:lvlText w:val="%1)"/>
      <w:numFmt w:val="lowerLetter"/>
      <w:start w:val="3"/>
    </w:lvl>
  </w:abstractNum>
  <w:abstractNum w:abstractNumId="13">
    <w:nsid w:val="6B94764"/>
    <w:multiLevelType w:val="hybridMultilevel"/>
    <w:lvl w:ilvl="0">
      <w:lvlJc w:val="left"/>
      <w:lvlText w:val="%1)"/>
      <w:numFmt w:val="lowerLetter"/>
      <w:start w:val="4"/>
    </w:lvl>
  </w:abstractNum>
  <w:abstractNum w:abstractNumId="14">
    <w:nsid w:val="42C296BD"/>
    <w:multiLevelType w:val="hybridMultilevel"/>
    <w:lvl w:ilvl="0">
      <w:lvlJc w:val="left"/>
      <w:lvlText w:val="%1)"/>
      <w:numFmt w:val="lowerLetter"/>
      <w:start w:val="5"/>
    </w:lvl>
  </w:abstractNum>
  <w:abstractNum w:abstractNumId="15">
    <w:nsid w:val="168E121F"/>
    <w:multiLevelType w:val="hybridMultilevel"/>
    <w:lvl w:ilvl="0">
      <w:lvlJc w:val="left"/>
      <w:lvlText w:val="%1)"/>
      <w:numFmt w:val="lowerLetter"/>
      <w:start w:val="6"/>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1)"/>
      <w:numFmt w:val="decimal"/>
      <w:start w:val="5"/>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lvl w:ilvl="1">
      <w:lvlJc w:val="left"/>
      <w:lvlText w:val="="/>
      <w:numFmt w:val="bullet"/>
      <w:start w:val="1"/>
    </w:lvl>
  </w:abstractNum>
  <w:abstractNum w:abstractNumId="24">
    <w:nsid w:val="11447B73"/>
    <w:multiLevelType w:val="hybridMultilevel"/>
    <w:lvl w:ilvl="0">
      <w:lvlJc w:val="left"/>
      <w:lvlText w:val="(%1)"/>
      <w:numFmt w:val="decimal"/>
      <w:start w:val="1"/>
    </w:lvl>
  </w:abstractNum>
  <w:abstractNum w:abstractNumId="25">
    <w:nsid w:val="42963E5A"/>
    <w:multiLevelType w:val="hybridMultilevel"/>
    <w:lvl w:ilvl="0">
      <w:lvlJc w:val="left"/>
      <w:lvlText w:val="(%1)"/>
      <w:numFmt w:val="decimal"/>
      <w:start w:val="1"/>
    </w:lvl>
  </w:abstractNum>
  <w:abstractNum w:abstractNumId="2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8F2B15E"/>
    <w:multiLevelType w:val="hybridMultilevel"/>
    <w:lvl w:ilvl="0">
      <w:lvlJc w:val="left"/>
      <w:lvlText w:val="(%1)"/>
      <w:numFmt w:val="decimal"/>
      <w:start w:val="2"/>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lvl w:ilvl="1">
      <w:lvlJc w:val="left"/>
      <w:lvlText w:val="%2)"/>
      <w:numFmt w:val="decimal"/>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1)"/>
      <w:numFmt w:val="decimal"/>
      <w:start w:val="2"/>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1)"/>
      <w:numFmt w:val="decimal"/>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1"/>
    </w:lvl>
  </w:abstractNum>
  <w:abstractNum w:abstractNumId="48">
    <w:nsid w:val="3222E7CD"/>
    <w:multiLevelType w:val="hybridMultilevel"/>
    <w:lvl w:ilvl="0">
      <w:lvlJc w:val="left"/>
      <w:lvlText w:val="(%1)"/>
      <w:numFmt w:val="decimal"/>
      <w:start w:val="5"/>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lowerRoman"/>
      <w:start w:val="7"/>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lowerLetter"/>
      <w:start w:val="5"/>
    </w:lvl>
    <w:lvl w:ilvl="1">
      <w:lvlJc w:val="left"/>
      <w:lvlText w:val="%2."/>
      <w:numFmt w:val="decimal"/>
      <w:start w:val="1"/>
    </w:lvl>
  </w:abstractNum>
  <w:abstractNum w:abstractNumId="66">
    <w:nsid w:val="5FB8011C"/>
    <w:multiLevelType w:val="hybridMultilevel"/>
    <w:lvl w:ilvl="0">
      <w:lvlJc w:val="left"/>
      <w:lvlText w:val="(%1)"/>
      <w:numFmt w:val="decimal"/>
      <w:start w:val="1"/>
    </w:lvl>
  </w:abstractNum>
  <w:abstractNum w:abstractNumId="67">
    <w:nsid w:val="6AA78F7F"/>
    <w:multiLevelType w:val="hybridMultilevel"/>
    <w:lvl w:ilvl="0">
      <w:lvlJc w:val="left"/>
      <w:lvlText w:val="(%1)"/>
      <w:numFmt w:val="decimal"/>
      <w:start w:val="1"/>
    </w:lvl>
  </w:abstractNum>
  <w:abstractNum w:abstractNumId="68">
    <w:nsid w:val="7672BD23"/>
    <w:multiLevelType w:val="hybridMultilevel"/>
    <w:lvl w:ilvl="0">
      <w:lvlJc w:val="left"/>
      <w:lvlText w:val="(%1)"/>
      <w:numFmt w:val="decimal"/>
      <w:start w:val="2"/>
    </w:lvl>
  </w:abstractNum>
  <w:abstractNum w:abstractNumId="69">
    <w:nsid w:val="6FC75AF8"/>
    <w:multiLevelType w:val="hybridMultilevel"/>
    <w:lvl w:ilvl="0">
      <w:lvlJc w:val="left"/>
      <w:lvlText w:val="(%1)"/>
      <w:numFmt w:val="decimal"/>
      <w:start w:val="1"/>
    </w:lvl>
  </w:abstractNum>
  <w:abstractNum w:abstractNumId="70">
    <w:nsid w:val="6A5F7029"/>
    <w:multiLevelType w:val="hybridMultilevel"/>
    <w:lvl w:ilvl="0">
      <w:lvlJc w:val="left"/>
      <w:lvlText w:val="(%1)"/>
      <w:numFmt w:val="decimal"/>
      <w:start w:val="5"/>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1)"/>
      <w:numFmt w:val="decimal"/>
      <w:start w:val="1"/>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decimal"/>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1)"/>
      <w:numFmt w:val="lowerRoman"/>
      <w:start w:val="3"/>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1)"/>
      <w:numFmt w:val="decimal"/>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1)"/>
      <w:numFmt w:val="upperLetter"/>
      <w:start w:val="1"/>
    </w:lvl>
  </w:abstractNum>
  <w:abstractNum w:abstractNumId="83">
    <w:nsid w:val="5092CA79"/>
    <w:multiLevelType w:val="hybridMultilevel"/>
    <w:lvl w:ilvl="0">
      <w:lvlJc w:val="left"/>
      <w:lvlText w:val="(%1)"/>
      <w:numFmt w:val="upperLetter"/>
      <w:start w:val="10"/>
    </w:lvl>
  </w:abstractNum>
  <w:abstractNum w:abstractNumId="84">
    <w:nsid w:val="1D545C4D"/>
    <w:multiLevelType w:val="hybridMultilevel"/>
    <w:lvl w:ilvl="0">
      <w:lvlJc w:val="left"/>
      <w:lvlText w:val="(%1)"/>
      <w:numFmt w:val="lowerRoman"/>
      <w:start w:val="1"/>
    </w:lvl>
  </w:abstractNum>
  <w:abstractNum w:abstractNumId="85">
    <w:nsid w:val="59ADEA3D"/>
    <w:multiLevelType w:val="hybridMultilevel"/>
    <w:lvl w:ilvl="0">
      <w:lvlJc w:val="left"/>
      <w:lvlText w:val="(%1)"/>
      <w:numFmt w:val="upperLetter"/>
      <w:start w:val="1"/>
    </w:lvl>
  </w:abstractNum>
  <w:abstractNum w:abstractNumId="86">
    <w:nsid w:val="288F1A34"/>
    <w:multiLevelType w:val="hybridMultilevel"/>
    <w:lvl w:ilvl="0">
      <w:lvlJc w:val="left"/>
      <w:lvlText w:val="(%1)"/>
      <w:numFmt w:val="upperLetter"/>
      <w:start w:val="1"/>
    </w:lvl>
  </w:abstractNum>
  <w:abstractNum w:abstractNumId="87">
    <w:nsid w:val="2A155DBC"/>
    <w:multiLevelType w:val="hybridMultilevel"/>
    <w:lvl w:ilvl="0">
      <w:lvlJc w:val="left"/>
      <w:lvlText w:val="(%1)"/>
      <w:numFmt w:val="upperLetter"/>
      <w:start w:val="2"/>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upperLetter"/>
      <w:start w:val="3"/>
    </w:lvl>
  </w:abstractNum>
  <w:abstractNum w:abstractNumId="90">
    <w:nsid w:val="51088277"/>
    <w:multiLevelType w:val="hybridMultilevel"/>
    <w:lvl w:ilvl="0">
      <w:lvlJc w:val="left"/>
      <w:lvlText w:val="(%1)"/>
      <w:numFmt w:val="upperLetter"/>
      <w:start w:val="4"/>
    </w:lvl>
  </w:abstractNum>
  <w:abstractNum w:abstractNumId="91">
    <w:nsid w:val="1CA0C5FA"/>
    <w:multiLevelType w:val="hybridMultilevel"/>
    <w:lvl w:ilvl="0">
      <w:lvlJc w:val="left"/>
      <w:lvlText w:val="(%1)"/>
      <w:numFmt w:val="decimal"/>
      <w:start w:val="13"/>
    </w:lvl>
    <w:lvl w:ilvl="1">
      <w:lvlJc w:val="left"/>
      <w:lvlText w:val="(%2)"/>
      <w:numFmt w:val="upperLetter"/>
      <w:start w:val="5"/>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1)"/>
      <w:numFmt w:val="upperLetter"/>
      <w:start w:val="6"/>
    </w:lvl>
  </w:abstractNum>
  <w:abstractNum w:abstractNumId="94">
    <w:nsid w:val="7C58FD05"/>
    <w:multiLevelType w:val="hybridMultilevel"/>
    <w:lvl w:ilvl="0">
      <w:lvlJc w:val="left"/>
      <w:lvlText w:val="(%1)"/>
      <w:numFmt w:val="upperLetter"/>
      <w:start w:val="7"/>
    </w:lvl>
  </w:abstractNum>
  <w:abstractNum w:abstractNumId="95">
    <w:nsid w:val="23D86AAC"/>
    <w:multiLevelType w:val="hybridMultilevel"/>
    <w:lvl w:ilvl="0">
      <w:lvlJc w:val="left"/>
      <w:lvlText w:val="(%1)"/>
      <w:numFmt w:val="upperLetter"/>
      <w:start w:val="8"/>
    </w:lvl>
  </w:abstractNum>
  <w:abstractNum w:abstractNumId="96">
    <w:nsid w:val="45E6D486"/>
    <w:multiLevelType w:val="hybridMultilevel"/>
    <w:lvl w:ilvl="0">
      <w:lvlJc w:val="left"/>
      <w:lvlText w:val="(%1)"/>
      <w:numFmt w:val="upperLetter"/>
      <w:start w:val="9"/>
    </w:lvl>
  </w:abstractNum>
  <w:abstractNum w:abstractNumId="97">
    <w:nsid w:val="5C10FE21"/>
    <w:multiLevelType w:val="hybridMultilevel"/>
    <w:lvl w:ilvl="0">
      <w:lvlJc w:val="left"/>
      <w:lvlText w:val="(%1)"/>
      <w:numFmt w:val="upperLetter"/>
      <w:start w:val="10"/>
    </w:lvl>
  </w:abstractNum>
  <w:abstractNum w:abstractNumId="98">
    <w:nsid w:val="E7FFA2B"/>
    <w:multiLevelType w:val="hybridMultilevel"/>
    <w:lvl w:ilvl="0">
      <w:lvlJc w:val="left"/>
      <w:lvlText w:val="(%1)"/>
      <w:numFmt w:val="upperLetter"/>
      <w:start w:val="11"/>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1)"/>
      <w:numFmt w:val="upperLetter"/>
      <w:start w:val="1"/>
    </w:lvl>
  </w:abstractNum>
  <w:abstractNum w:abstractNumId="101">
    <w:nsid w:val="78DF6A55"/>
    <w:multiLevelType w:val="hybridMultilevel"/>
    <w:lvl w:ilvl="0">
      <w:lvlJc w:val="left"/>
      <w:lvlText w:val="(%1)"/>
      <w:numFmt w:val="upperLetter"/>
      <w:start w:val="2"/>
    </w:lvl>
  </w:abstractNum>
  <w:abstractNum w:abstractNumId="102">
    <w:nsid w:val="39B7AAA2"/>
    <w:multiLevelType w:val="hybridMultilevel"/>
    <w:lvl w:ilvl="0">
      <w:lvlJc w:val="left"/>
      <w:lvlText w:val="(%1)"/>
      <w:numFmt w:val="upperLetter"/>
      <w:start w:val="3"/>
    </w:lvl>
  </w:abstractNum>
  <w:abstractNum w:abstractNumId="103">
    <w:nsid w:val="2B0D8DBE"/>
    <w:multiLevelType w:val="hybridMultilevel"/>
    <w:lvl w:ilvl="0">
      <w:lvlJc w:val="left"/>
      <w:lvlText w:val="(%1)"/>
      <w:numFmt w:val="upperLetter"/>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upperLetter"/>
      <w:start w:val="5"/>
    </w:lvl>
  </w:abstractNum>
  <w:abstractNum w:abstractNumId="106">
    <w:nsid w:val="69E373"/>
    <w:multiLevelType w:val="hybridMultilevel"/>
    <w:lvl w:ilvl="0">
      <w:lvlJc w:val="left"/>
      <w:lvlText w:val="(%1)"/>
      <w:numFmt w:val="upperLetter"/>
      <w:start w:val="1"/>
    </w:lvl>
  </w:abstractNum>
  <w:abstractNum w:abstractNumId="107">
    <w:nsid w:val="2C27173B"/>
    <w:multiLevelType w:val="hybridMultilevel"/>
    <w:lvl w:ilvl="0">
      <w:lvlJc w:val="left"/>
      <w:lvlText w:val="(%1)"/>
      <w:numFmt w:val="upperLetter"/>
      <w:start w:val="2"/>
    </w:lvl>
  </w:abstractNum>
  <w:abstractNum w:abstractNumId="108">
    <w:nsid w:val="4C9B0904"/>
    <w:multiLevelType w:val="hybridMultilevel"/>
    <w:lvl w:ilvl="0">
      <w:lvlJc w:val="left"/>
      <w:lvlText w:val="(%1)"/>
      <w:numFmt w:val="upperLetter"/>
      <w:start w:val="2"/>
    </w:lvl>
  </w:abstractNum>
  <w:abstractNum w:abstractNumId="109">
    <w:nsid w:val="6AA7B75C"/>
    <w:multiLevelType w:val="hybridMultilevel"/>
    <w:lvl w:ilvl="0">
      <w:lvlJc w:val="left"/>
      <w:lvlText w:val="(%1)"/>
      <w:numFmt w:val="upperLetter"/>
      <w:start w:val="1"/>
    </w:lvl>
  </w:abstractNum>
  <w:abstractNum w:abstractNumId="110">
    <w:nsid w:val="1DF029D3"/>
    <w:multiLevelType w:val="hybridMultilevel"/>
    <w:lvl w:ilvl="0">
      <w:lvlJc w:val="left"/>
      <w:lvlText w:val="(%1)"/>
      <w:numFmt w:val="decimal"/>
      <w:start w:val="1"/>
    </w:lvl>
  </w:abstractNum>
  <w:abstractNum w:abstractNumId="111">
    <w:nsid w:val="5675FF36"/>
    <w:multiLevelType w:val="hybridMultilevel"/>
    <w:lvl w:ilvl="0">
      <w:lvlJc w:val="left"/>
      <w:lvlText w:val="(%1)"/>
      <w:numFmt w:val="upperLetter"/>
      <w:start w:val="3"/>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upperLetter"/>
      <w:start w:val="4"/>
    </w:lvl>
  </w:abstractNum>
  <w:abstractNum w:abstractNumId="114">
    <w:nsid w:val="2708C9AF"/>
    <w:multiLevelType w:val="hybridMultilevel"/>
    <w:lvl w:ilvl="0">
      <w:lvlJc w:val="left"/>
      <w:lvlText w:val="%1."/>
      <w:numFmt w:val="decimal"/>
      <w:start w:val="1"/>
    </w:lvl>
    <w:lvl w:ilvl="1">
      <w:lvlJc w:val="left"/>
      <w:lvlText w:val="%2)"/>
      <w:numFmt w:val="lowerLetter"/>
      <w:start w:val="1"/>
    </w:lvl>
  </w:abstractNum>
  <w:abstractNum w:abstractNumId="115">
    <w:nsid w:val="5B25ACE2"/>
    <w:multiLevelType w:val="hybridMultilevel"/>
    <w:lvl w:ilvl="0">
      <w:lvlJc w:val="left"/>
      <w:lvlText w:val="%1."/>
      <w:numFmt w:val="decimal"/>
      <w:start w:val="1"/>
    </w:lvl>
    <w:lvl w:ilvl="1">
      <w:lvlJc w:val="left"/>
      <w:lvlText w:val="%2)"/>
      <w:numFmt w:val="lowerLetter"/>
      <w:start w:val="1"/>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121" Type="http://schemas.openxmlformats.org/officeDocument/2006/relationships/hyperlink" Target="http://www.sec.gov/Archives/edgar/data/1504619/000119312511080862/dex99a.htm" TargetMode="External"/><Relationship Id="rId122" Type="http://schemas.openxmlformats.org/officeDocument/2006/relationships/hyperlink" Target="http://www.sec.gov/Archives/edgar/data/1504619/000156459020024167/pflt-ex32_144.htm" TargetMode="External"/><Relationship Id="rId123" Type="http://schemas.openxmlformats.org/officeDocument/2006/relationships/hyperlink" Target="http://www.sec.gov/Archives/edgar/data/1504619/000119312511088977/dex99d.htm" TargetMode="External"/><Relationship Id="rId124" Type="http://schemas.openxmlformats.org/officeDocument/2006/relationships/hyperlink" Target="http://www.sec.gov/Archives/edgar/data/1504619/000119312517368270/d487151dex99d8.htm" TargetMode="External"/><Relationship Id="rId125" Type="http://schemas.openxmlformats.org/officeDocument/2006/relationships/hyperlink" Target="http://www.sec.gov/Archives/edgar/data/1504619/000119312519250688/d808045dex992.htm" TargetMode="External"/><Relationship Id="rId126" Type="http://schemas.openxmlformats.org/officeDocument/2006/relationships/hyperlink" Target="http://www.sec.gov/Archives/edgar/data/1504619/000156459019043972/pflt-ex44_124.htm" TargetMode="External"/><Relationship Id="rId127" Type="http://schemas.openxmlformats.org/officeDocument/2006/relationships/hyperlink" Target="http://www.sec.gov/Archives/edgar/data/1504619/000150461911000006/exhibit102purchaseandcontr.htm" TargetMode="External"/><Relationship Id="rId128" Type="http://schemas.openxmlformats.org/officeDocument/2006/relationships/hyperlink" Target="http://www.sec.gov/Archives/edgar/data/1504619/000156459018001680/pflt-ex104_47.htm" TargetMode="External"/><Relationship Id="rId129" Type="http://schemas.openxmlformats.org/officeDocument/2006/relationships/hyperlink" Target="http://www.sec.gov/Archives/edgar/data/1504619/000119312511080862/dex99k2.htm" TargetMode="External"/><Relationship Id="rId130" Type="http://schemas.openxmlformats.org/officeDocument/2006/relationships/hyperlink" Target="http://www.sec.gov/Archives/edgar/data/1504619/000119312511080862/dex99e.htm" TargetMode="External"/><Relationship Id="rId131" Type="http://schemas.openxmlformats.org/officeDocument/2006/relationships/hyperlink" Target="http://www.sec.gov/Archives/edgar/data/1504619/000119312516450643/d38254dex101.htm" TargetMode="External"/><Relationship Id="rId132" Type="http://schemas.openxmlformats.org/officeDocument/2006/relationships/hyperlink" Target="http://www.sec.gov/Archives/edgar/data/1504619/000156459017016504/pflt-ex101_78.htm" TargetMode="External"/><Relationship Id="rId133" Type="http://schemas.openxmlformats.org/officeDocument/2006/relationships/hyperlink" Target="http://www.sec.gov/Archives/edgar/data/1504619/000119312516775064/d290892dex106.htm" TargetMode="External"/><Relationship Id="rId134" Type="http://schemas.openxmlformats.org/officeDocument/2006/relationships/hyperlink" Target="http://www.sec.gov/Archives/edgar/data/1504619/000119312519250688/d808045dex993.htm" TargetMode="External"/><Relationship Id="rId135" Type="http://schemas.openxmlformats.org/officeDocument/2006/relationships/hyperlink" Target="http://www.sec.gov/Archives/edgar/data/1504619/000119312519250688/d808045dex994.htm" TargetMode="External"/><Relationship Id="rId136" Type="http://schemas.openxmlformats.org/officeDocument/2006/relationships/hyperlink" Target="http://www.sec.gov/Archives/edgar/data/1504619/000119312519250688/d808045dex995.htm" TargetMode="External"/><Relationship Id="rId137" Type="http://schemas.openxmlformats.org/officeDocument/2006/relationships/hyperlink" Target="http://www.sec.gov/Archives/edgar/data/1504619/000119312519250688/d808045dex996.htm" TargetMode="External"/><Relationship Id="rId138" Type="http://schemas.openxmlformats.org/officeDocument/2006/relationships/hyperlink" Target="http://www.sec.gov/Archives/edgar/data/1504619/000119312518322533/d642622dex101.htm" TargetMode="External"/><Relationship Id="rId141"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2020-11-18T15:11:14Z</dcterms:created>
  <dcterms:modified xsi:type="dcterms:W3CDTF">2020-11-18T15:11:14Z</dcterms:modified>
</cp:coreProperties>
</file>