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3,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August 3, 2022, PennantPark Floating Rate Capital Ltd., or the Company, issued a press release announcing its financial results for the third fiscal quarter ended June 30, 2022. A copy of the press release is furnished as Exhibit 99.1 to this report pursuant to Item 2.02 on Form 8-K and Regulation FD.</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June 30, 2022, including “Item 2. Management's Discussion and Analysis of Financial Condition and Results of Operations – COVID-19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August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3, 2022</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Richard T. Allorto, Jr.</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spacing w:after="0" w:line="4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2022</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MIAMI, Aug. 03, 2022 (GLOBE NEWSWIRE) -- PennantPark Floating Rate Capital Ltd. (NYSE: PFLT) (TASE: PFLT) announced today financial results for the third fiscal quarter ended June 30, 2022.</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June 30, 2022</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4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0"/>
        </w:trPr>
        <w:tc>
          <w:tcPr>
            <w:tcW w:w="7480" w:type="dxa"/>
            <w:vAlign w:val="bottom"/>
          </w:tcPr>
          <w:p>
            <w:pPr>
              <w:ind w:left="120"/>
              <w:spacing w:after="0" w:line="319" w:lineRule="exact"/>
              <w:rPr>
                <w:sz w:val="20"/>
                <w:szCs w:val="20"/>
                <w:color w:val="auto"/>
              </w:rPr>
            </w:pPr>
            <w:r>
              <w:rPr>
                <w:rFonts w:ascii="Arial" w:cs="Arial" w:eastAsia="Arial" w:hAnsi="Arial"/>
                <w:sz w:val="22"/>
                <w:szCs w:val="22"/>
                <w:color w:val="auto"/>
              </w:rPr>
              <w:t>Investment portfolio</w:t>
            </w:r>
            <w:r>
              <w:rPr>
                <w:rFonts w:ascii="Arial" w:cs="Arial" w:eastAsia="Arial" w:hAnsi="Arial"/>
                <w:sz w:val="35"/>
                <w:szCs w:val="35"/>
                <w:color w:val="auto"/>
                <w:vertAlign w:val="superscript"/>
              </w:rPr>
              <w:t>(1)</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1,226.4</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504.9</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12.21</w:t>
            </w: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Quarterly decrease GAAP net asset value per share</w:t>
            </w:r>
          </w:p>
        </w:tc>
        <w:tc>
          <w:tcPr>
            <w:tcW w:w="26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74"/>
        </w:trPr>
        <w:tc>
          <w:tcPr>
            <w:tcW w:w="7480" w:type="dxa"/>
            <w:vAlign w:val="bottom"/>
          </w:tcPr>
          <w:p>
            <w:pPr>
              <w:ind w:left="120"/>
              <w:spacing w:after="0"/>
              <w:rPr>
                <w:sz w:val="20"/>
                <w:szCs w:val="20"/>
                <w:color w:val="auto"/>
              </w:rPr>
            </w:pPr>
            <w:r>
              <w:rPr>
                <w:rFonts w:ascii="Arial" w:cs="Arial" w:eastAsia="Arial" w:hAnsi="Arial"/>
                <w:sz w:val="22"/>
                <w:szCs w:val="22"/>
                <w:color w:val="auto"/>
              </w:rPr>
              <w:t>Adjusted net asset value per share</w:t>
            </w:r>
            <w:r>
              <w:rPr>
                <w:rFonts w:ascii="Arial" w:cs="Arial" w:eastAsia="Arial" w:hAnsi="Arial"/>
                <w:sz w:val="35"/>
                <w:szCs w:val="35"/>
                <w:color w:val="auto"/>
                <w:vertAlign w:val="superscript"/>
              </w:rPr>
              <w:t>(2)</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12.02</w:t>
            </w:r>
          </w:p>
        </w:tc>
      </w:tr>
      <w:tr>
        <w:trPr>
          <w:trHeight w:val="386"/>
        </w:trPr>
        <w:tc>
          <w:tcPr>
            <w:tcW w:w="748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253.6</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2023 Notes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94.7</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2026 Notes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182.1</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2031 Asset-Backed Debt</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225.8</w:t>
            </w: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2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1.55x</w:t>
            </w:r>
          </w:p>
        </w:tc>
      </w:tr>
      <w:tr>
        <w:trPr>
          <w:trHeight w:val="327"/>
        </w:trPr>
        <w:tc>
          <w:tcPr>
            <w:tcW w:w="7480" w:type="dxa"/>
            <w:vAlign w:val="bottom"/>
          </w:tcPr>
          <w:p>
            <w:pPr>
              <w:ind w:left="120"/>
              <w:spacing w:after="0" w:line="326" w:lineRule="exact"/>
              <w:rPr>
                <w:sz w:val="20"/>
                <w:szCs w:val="20"/>
                <w:color w:val="auto"/>
              </w:rPr>
            </w:pPr>
            <w:r>
              <w:rPr>
                <w:rFonts w:ascii="Arial" w:cs="Arial" w:eastAsia="Arial" w:hAnsi="Arial"/>
                <w:sz w:val="22"/>
                <w:szCs w:val="22"/>
                <w:color w:val="auto"/>
              </w:rPr>
              <w:t>Regulatory Net Debt to Equity</w:t>
            </w:r>
            <w:r>
              <w:rPr>
                <w:rFonts w:ascii="Arial" w:cs="Arial" w:eastAsia="Arial" w:hAnsi="Arial"/>
                <w:sz w:val="35"/>
                <w:szCs w:val="35"/>
                <w:color w:val="auto"/>
                <w:vertAlign w:val="superscript"/>
              </w:rPr>
              <w:t>(3)</w:t>
            </w:r>
          </w:p>
        </w:tc>
        <w:tc>
          <w:tcPr>
            <w:tcW w:w="264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1.45x</w:t>
            </w:r>
          </w:p>
        </w:tc>
      </w:tr>
      <w:tr>
        <w:trPr>
          <w:trHeight w:val="471"/>
        </w:trPr>
        <w:tc>
          <w:tcPr>
            <w:tcW w:w="7480" w:type="dxa"/>
            <w:vAlign w:val="bottom"/>
          </w:tcPr>
          <w:p>
            <w:pPr>
              <w:ind w:left="120"/>
              <w:spacing w:after="0"/>
              <w:rPr>
                <w:sz w:val="20"/>
                <w:szCs w:val="20"/>
                <w:color w:val="auto"/>
              </w:rPr>
            </w:pPr>
            <w:r>
              <w:rPr>
                <w:rFonts w:ascii="Arial" w:cs="Arial" w:eastAsia="Arial" w:hAnsi="Arial"/>
                <w:sz w:val="22"/>
                <w:szCs w:val="22"/>
                <w:color w:val="auto"/>
              </w:rPr>
              <w:t>GAAP Net Debt to Equity</w:t>
            </w:r>
            <w:r>
              <w:rPr>
                <w:rFonts w:ascii="Arial" w:cs="Arial" w:eastAsia="Arial" w:hAnsi="Arial"/>
                <w:sz w:val="35"/>
                <w:szCs w:val="35"/>
                <w:color w:val="auto"/>
                <w:vertAlign w:val="superscript"/>
              </w:rPr>
              <w:t>(4)</w:t>
            </w:r>
          </w:p>
        </w:tc>
        <w:tc>
          <w:tcPr>
            <w:tcW w:w="264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1.42x</w:t>
            </w:r>
          </w:p>
        </w:tc>
      </w:tr>
      <w:tr>
        <w:trPr>
          <w:trHeight w:val="390"/>
        </w:trPr>
        <w:tc>
          <w:tcPr>
            <w:tcW w:w="7480" w:type="dxa"/>
            <w:vAlign w:val="bottom"/>
          </w:tcPr>
          <w:p>
            <w:pPr>
              <w:ind w:left="120"/>
              <w:spacing w:after="0"/>
              <w:rPr>
                <w:sz w:val="20"/>
                <w:szCs w:val="20"/>
                <w:color w:val="auto"/>
              </w:rPr>
            </w:pPr>
            <w:r>
              <w:rPr>
                <w:rFonts w:ascii="Arial" w:cs="Arial" w:eastAsia="Arial" w:hAnsi="Arial"/>
                <w:sz w:val="22"/>
                <w:szCs w:val="22"/>
                <w:color w:val="auto"/>
              </w:rPr>
              <w:t>Weighted average yield on debt investments at quarter-end</w:t>
            </w:r>
          </w:p>
        </w:tc>
        <w:tc>
          <w:tcPr>
            <w:tcW w:w="26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941"/>
        </w:trPr>
        <w:tc>
          <w:tcPr>
            <w:tcW w:w="7480" w:type="dxa"/>
            <w:vAlign w:val="bottom"/>
          </w:tcPr>
          <w:p>
            <w:pPr>
              <w:spacing w:after="0"/>
              <w:rPr>
                <w:sz w:val="20"/>
                <w:szCs w:val="20"/>
                <w:color w:val="auto"/>
              </w:rPr>
            </w:pPr>
            <w:r>
              <w:rPr>
                <w:rFonts w:ascii="Arial" w:cs="Arial" w:eastAsia="Arial" w:hAnsi="Arial"/>
                <w:sz w:val="22"/>
                <w:szCs w:val="22"/>
                <w:color w:val="auto"/>
              </w:rPr>
              <w:t>Operating Results:</w:t>
            </w:r>
          </w:p>
        </w:tc>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11.8</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0.29</w:t>
            </w: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0.285</w:t>
            </w:r>
          </w:p>
        </w:tc>
      </w:tr>
      <w:tr>
        <w:trPr>
          <w:trHeight w:val="536"/>
        </w:trPr>
        <w:tc>
          <w:tcPr>
            <w:tcW w:w="7480" w:type="dxa"/>
            <w:vAlign w:val="bottom"/>
          </w:tcPr>
          <w:p>
            <w:pPr>
              <w:spacing w:after="0"/>
              <w:rPr>
                <w:sz w:val="20"/>
                <w:szCs w:val="20"/>
                <w:color w:val="auto"/>
              </w:rPr>
            </w:pPr>
            <w:r>
              <w:rPr>
                <w:rFonts w:ascii="Arial" w:cs="Arial" w:eastAsia="Arial" w:hAnsi="Arial"/>
                <w:sz w:val="22"/>
                <w:szCs w:val="22"/>
                <w:color w:val="auto"/>
              </w:rPr>
              <w:t>PFLT Portfolio Activity:</w:t>
            </w:r>
          </w:p>
        </w:tc>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104.8</w:t>
            </w: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55.0</w:t>
            </w:r>
          </w:p>
        </w:tc>
      </w:tr>
      <w:tr>
        <w:trPr>
          <w:trHeight w:val="536"/>
        </w:trPr>
        <w:tc>
          <w:tcPr>
            <w:tcW w:w="7480" w:type="dxa"/>
            <w:vAlign w:val="bottom"/>
          </w:tcPr>
          <w:p>
            <w:pPr>
              <w:spacing w:after="0"/>
              <w:rPr>
                <w:sz w:val="20"/>
                <w:szCs w:val="20"/>
                <w:color w:val="auto"/>
              </w:rPr>
            </w:pPr>
            <w:r>
              <w:rPr>
                <w:rFonts w:ascii="Arial" w:cs="Arial" w:eastAsia="Arial" w:hAnsi="Arial"/>
                <w:sz w:val="22"/>
                <w:szCs w:val="22"/>
                <w:color w:val="auto"/>
              </w:rPr>
              <w:t>PSSL Portfolio data:</w:t>
            </w:r>
          </w:p>
        </w:tc>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PSSL investment portfolio</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746.8</w:t>
            </w:r>
          </w:p>
        </w:tc>
      </w:tr>
      <w:tr>
        <w:trPr>
          <w:trHeight w:val="270"/>
        </w:trPr>
        <w:tc>
          <w:tcPr>
            <w:tcW w:w="7480" w:type="dxa"/>
            <w:vAlign w:val="bottom"/>
          </w:tcPr>
          <w:p>
            <w:pPr>
              <w:ind w:left="120"/>
              <w:spacing w:after="0"/>
              <w:rPr>
                <w:sz w:val="20"/>
                <w:szCs w:val="20"/>
                <w:color w:val="auto"/>
              </w:rPr>
            </w:pPr>
            <w:r>
              <w:rPr>
                <w:rFonts w:ascii="Arial" w:cs="Arial" w:eastAsia="Arial" w:hAnsi="Arial"/>
                <w:sz w:val="22"/>
                <w:szCs w:val="22"/>
                <w:color w:val="auto"/>
              </w:rPr>
              <w:t>Purchase of Investments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31.5</w:t>
            </w:r>
          </w:p>
        </w:tc>
      </w:tr>
      <w:tr>
        <w:trPr>
          <w:trHeight w:val="274"/>
        </w:trPr>
        <w:tc>
          <w:tcPr>
            <w:tcW w:w="74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6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13.5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44" w:lineRule="exact"/>
        <w:rPr>
          <w:sz w:val="20"/>
          <w:szCs w:val="20"/>
          <w:color w:val="auto"/>
        </w:rPr>
      </w:pPr>
    </w:p>
    <w:p>
      <w:pPr>
        <w:ind w:firstLine="8"/>
        <w:spacing w:after="0" w:line="186" w:lineRule="auto"/>
        <w:tabs>
          <w:tab w:leader="none" w:pos="340" w:val="left"/>
        </w:tabs>
        <w:numPr>
          <w:ilvl w:val="0"/>
          <w:numId w:val="3"/>
        </w:numPr>
        <w:rPr>
          <w:rFonts w:ascii="Arial" w:cs="Arial" w:eastAsia="Arial" w:hAnsi="Arial"/>
          <w:sz w:val="36"/>
          <w:szCs w:val="36"/>
          <w:color w:val="auto"/>
          <w:vertAlign w:val="superscript"/>
        </w:rPr>
      </w:pPr>
      <w:r>
        <w:rPr>
          <w:rFonts w:ascii="Arial" w:cs="Arial" w:eastAsia="Arial" w:hAnsi="Arial"/>
          <w:sz w:val="22"/>
          <w:szCs w:val="22"/>
          <w:color w:val="auto"/>
        </w:rPr>
        <w:t>Includes investments in PennantPark Senior Secured Loan Fund I LLC, or PSSL, an unconsolidated joint venture, totaling $248.9 million, at fair value.</w:t>
      </w:r>
    </w:p>
    <w:p>
      <w:pPr>
        <w:spacing w:after="0" w:line="23" w:lineRule="exact"/>
        <w:rPr>
          <w:rFonts w:ascii="Arial" w:cs="Arial" w:eastAsia="Arial" w:hAnsi="Arial"/>
          <w:sz w:val="36"/>
          <w:szCs w:val="36"/>
          <w:color w:val="auto"/>
          <w:vertAlign w:val="superscript"/>
        </w:rPr>
      </w:pPr>
    </w:p>
    <w:p>
      <w:pPr>
        <w:jc w:val="both"/>
        <w:ind w:firstLine="8"/>
        <w:spacing w:after="0" w:line="212" w:lineRule="auto"/>
        <w:tabs>
          <w:tab w:leader="none" w:pos="313" w:val="left"/>
        </w:tabs>
        <w:numPr>
          <w:ilvl w:val="0"/>
          <w:numId w:val="3"/>
        </w:numPr>
        <w:rPr>
          <w:rFonts w:ascii="Arial" w:cs="Arial" w:eastAsia="Arial" w:hAnsi="Arial"/>
          <w:sz w:val="36"/>
          <w:szCs w:val="36"/>
          <w:color w:val="auto"/>
          <w:vertAlign w:val="superscript"/>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$8.5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29" w:lineRule="exact"/>
        <w:rPr>
          <w:rFonts w:ascii="Arial" w:cs="Arial" w:eastAsia="Arial" w:hAnsi="Arial"/>
          <w:sz w:val="36"/>
          <w:szCs w:val="36"/>
          <w:color w:val="auto"/>
          <w:vertAlign w:val="superscript"/>
        </w:rPr>
      </w:pPr>
    </w:p>
    <w:p>
      <w:pPr>
        <w:jc w:val="both"/>
        <w:ind w:firstLine="8"/>
        <w:spacing w:after="0" w:line="205" w:lineRule="auto"/>
        <w:tabs>
          <w:tab w:leader="none" w:pos="313" w:val="left"/>
        </w:tabs>
        <w:numPr>
          <w:ilvl w:val="0"/>
          <w:numId w:val="3"/>
        </w:numPr>
        <w:rPr>
          <w:rFonts w:ascii="Arial" w:cs="Arial" w:eastAsia="Arial" w:hAnsi="Arial"/>
          <w:sz w:val="36"/>
          <w:szCs w:val="36"/>
          <w:color w:val="auto"/>
          <w:vertAlign w:val="superscript"/>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$40.6 million of cash and cash equivalents. The presentation of this additional information is not meant to be considered in isolation or as a substitute for financial results prepared in accordance with GAAP.</w:t>
      </w:r>
    </w:p>
    <w:p>
      <w:pPr>
        <w:spacing w:after="0" w:line="24" w:lineRule="exact"/>
        <w:rPr>
          <w:rFonts w:ascii="Arial" w:cs="Arial" w:eastAsia="Arial" w:hAnsi="Arial"/>
          <w:sz w:val="36"/>
          <w:szCs w:val="36"/>
          <w:color w:val="auto"/>
          <w:vertAlign w:val="superscript"/>
        </w:rPr>
      </w:pPr>
    </w:p>
    <w:p>
      <w:pPr>
        <w:jc w:val="both"/>
        <w:ind w:firstLine="8"/>
        <w:spacing w:after="0" w:line="237" w:lineRule="auto"/>
        <w:tabs>
          <w:tab w:leader="none" w:pos="313"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including the impact of the $8.5 million unrealized loss on the Credit Facility and the 2023 Notes net of $40.6 million of cash and cash equivalents. The presentation of this additional information is not meant to be considered in isolation or as a substitute for financial results prepared in accordance with GAAP.</w:t>
      </w:r>
    </w:p>
    <w:p>
      <w:pPr>
        <w:sectPr>
          <w:pgSz w:w="11900" w:h="16883"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CONFERENCE CALL AT 9:00 A.M. ET ON AUGUST 4, 2022</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also host a conference call at 9:00 a.m. (Eastern Time) on Thursday August 4, 2022 to discuss its financial results. All interested parties are welcome to participate. You can access the conference call by dialing toll-free (800) 289-0720 approximately 5-10 minutes prior to the call. International callers should dial (646) 828-8073. All callers should reference conference ID #1561290 or PennantPark Floating Rate Capital Ltd. An archived replay of the call will be available through August 18, 2022, by calling toll-free (888) 203-1112. International callers please dial (719) 457-0820. For all phone replays, please reference conference ID #1561290.</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are pleased with our strong credit performance this quarter. With our primary focus on lower risk, first lien senior secured floating rate loans to U.S. companies, we are positioned to preserve capital and protect against rising inflation and interest rates,” said Art Penn, Chairman and CEO. “We believe that the combination of rising base rates, higher spreads on new loan originations, and a growing PSSL joint venture create multiple pathways for income growth.”</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of June 30, 2022, our portfolio totaled $1,226.4 million, and consisted of $1,062.4 million of first lien secured debt (including $190.2 million in PSSL), $0.7 million of second lien secured debt and $163.4 million of preferred and common equity (including $58.8 million in PSSL). Our debt portfolio consisted of 100.0% variable-rate investments. As of June 30, 2022, we had two portfolio companies on non-accrual, representing 0.9% and 0.1% of our overall portfolio on a cost and fair value basis, respectively. Overall, the portfolio had net unrealized appreciation of $7.7 million. Our overall portfolio consisted of 123 companies with an average investment size of $10.0 million, had a weighted average yield on debt investments of 8.5%, and was invested 87% in first lien secured debt (including 16% in PSSL), less than 1% in second lien secured debt and 13% in preferred and common equity (including 5% in PSSL). As of June 30, 2022, 100.0% of the investments held by PSSL were first lien secured debt.</w:t>
      </w:r>
    </w:p>
    <w:p>
      <w:pPr>
        <w:spacing w:after="0" w:line="19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depreciation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2022, we invested $104.8 million in six new and 39 existing portfolio companies with a weighted average yield on debt investments of 8.1 %. Sales and repayments of investments for the three months ended June 30, 2022 totaled $55.0 million. For the nine months ended June 30, 2022, we invested $553.1 million in 29 new and 104 existing portfolio companies with a weighted average yield on debt investments of 7.7%. Sales and repayments of investments for the nine months ended June 30, 2022 totaled $397.2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2021, we invested $248.3 million in 10 new and 16 existing portfolio companies with a weighted average yield on debt investments of 7.5%. Sales and repayments of investments for the three months ended June 30, 2021 totaled $283.3 million. For the nine months ended June 30, 2021, we invested $475.5 million in 19 new and 50 existing portfolio companies with a weighted average yield on debt investments of 7.5%. Sales and repayments of investments for the nine months ended June 30, 2021 totaled $565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2022, PSSL’s portfolio totaled $746.8 million and consisted of 89 companies with an average investment size of $8.4 million and had a weighted average yield on debt investments of 8.2%. As of September 30, 2021, PSSL’s portfolio totaled $564.8 million and consisted of 74 companies with an average investment size of $7.6 million and had a weighted average yield on debt investments of 7.1%.</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months ended June 30, 2022, PSSL invested $31.5 million (including $16.8 million purchased from the Company) in four new and seven existing portfolio companies with a weighted average yield on debt investments of 8.8%. Sales and repayments of investments for the three months ended June 30, 2022 totaled $13.5 million. For the nine months ended June 30, 2022, PSSL invested $228.6 million (including $225.2 million purchased from the Company) in 25 new and 15 existing portfolio companies with a weighted average yield on debt investments of 7.9%. Sales and repayments of investments for the nine months ended June 30, 2022 totaled $69.2 million.</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2021, PSSL invested $133.7 million (including $98.9 million purchased from the Company) in six new and 15 existing portfolio companies with a weighted average yield on debt investments of 7.0%. Sales and repayments of investments for the three months ended June 30, 2021 totaled $88.8 million. For the nine months ended June 30, 2021, PSSL invested $277.8 million (including $224.1 million purchased from the Company) in 30 new and 26 existing portfolio companies with a weighted average yield on debt investments of 7.2%. Sales and repayments of investments for the nine months ended June 30, 2021 totaled $163.1 million.</w:t>
      </w:r>
    </w:p>
    <w:p>
      <w:pPr>
        <w:sectPr>
          <w:pgSz w:w="11900" w:h="16838" w:orient="portrait"/>
          <w:cols w:equalWidth="0" w:num="1">
            <w:col w:w="11240"/>
          </w:cols>
          <w:pgMar w:left="320" w:top="112"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Investment income for the three and nine months ended June 30, 2022 was $25.7 million and $76.7 million, respectively, which was attributable to $21.1 million and $64.0 million from first lien secured debt and $4.6 million and $12.7 million from other investments, respectively. This compares to investment income for the three and nine months ended June 30, 2021 of $20.9 million and $61.1 million, respectively, which was attributable to $18.2 million and $53.5 million from first lien secured debt and $2.7 million and $7.6 million from other investments, respectively. The increase in investment income compared to the same periods in the prior year was primarily due to an increase in the size of our portfolio.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Expenses for the three and nine months ended June 30, 2022 totaled $13.9 million and $40.8 million, respectively. Base management fee for the same periods totaled $3.1 million and $8.9 million, performance-based incentive fee totaled $2.6 million and $8.5 million, debt related interest and expenses totaled $7.4 million and $20.7 million and general and administrative expenses totaled $0.8 million and $2.4 million, respectively. This compares to expenses for the three and nine months ended June 30, 2021 that totaled $10.6 million and $30.8 million, respectively. Base management fee for the same periods totaled $2.6 million and $8.0 million, performance-based incentive fee totaled $1.7 million and $4.7 million, debt related interest and expenses totaled $5.9 million and $16.0 million and general and administrative expenses totaled $0.4 million and $1.8 million, respectively. The increase in expenses for the three and nine months ended June 30, 2022 compared to the same period in the prior year was primarily due to an increase in performance-based incentive fees and debt-related interest and expenses.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Net investment income totaled $11.8 million and $35.9 million, or $0.29 and $0.90 per share, for the three and nine months ended June 30, 2022, respectively. Net investment income totaled $10.3 million and $30.3 million, or $0.27 and $0.78 per share, for the three and nine months ended June 30, 2021, respectively. The increase in net investment income compared to the same periods in the prior year was primarily due to an increase in the size of our portfolio.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2022 totaled $55.0 million and $397.2 million, respectively, and net realized gains (losses) totaled $0.7 million and $(11.6) million, respectively. Sales and repayments of investments for the three and nine months ended June 30, 2021 totaled $283.3 million and $565.5 million, respectively, and net realized losses totaled $13.0 million and $15.3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nine months ended June 30, 2022, we reported net change in unrealized depreciation on investments of $17.7 million and $3.7 million, respectively. For the three and nine months ended June 30, 2021, we reported net change in unrealized appreciation on investments of $14.2 million and $48.8 million, respectively. As of June 30, 2022, and September 30, 2021, our net unrealized appreciation on investments totaled $7.7 million and $11.0 million, respectively. The net change in unrealized appreciation on our investments compared to the same period in the prior year was primarily due to changes in the market conditions of our investments and the values at which they were held.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nine months ended June 30, 2022, the Credit Facility and the 2023 Notes had a net change in unrealized depreciation of less than $0.1 million and $1.3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and the 2023 Notes totaled $8.5 million and $7.2 million, respectively. The net change in net unrealized depreciation compared to the same period in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increase (decrease) in net assets resulting from operations totaled $(5.1) million and $16.6 million, or $(0.12) and $0.42 per share, respectively, for the three and nine months ended June 30, 2022. Net increase in net assets resulting from operations totaled $14.7 million and $52.5 million, or $0.38 and $1.35 per share, respectively, for the three and nine months ended June 30, 2021. The decrease in the net change in net assets from operations for the three and nine months ended June 30, 2022 compared to the same period in the prior year was primarily due to a lower realized and unrealized change in our investment and debt.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line="251" w:lineRule="auto"/>
        <w:rPr>
          <w:sz w:val="20"/>
          <w:szCs w:val="20"/>
          <w:color w:val="auto"/>
        </w:rPr>
      </w:pPr>
      <w:r>
        <w:rPr>
          <w:rFonts w:ascii="Arial" w:cs="Arial" w:eastAsia="Arial" w:hAnsi="Arial"/>
          <w:sz w:val="22"/>
          <w:szCs w:val="22"/>
          <w:color w:val="auto"/>
        </w:rPr>
        <w:t>continue to use, our debt capital, proceeds from the rotation of our portfolio and proceeds from public and private offerings of securities to finance our investment objectives.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nine months ended June 30, 2022 and 2021, inclusive of the fee on the undrawn commitment on the Credit Facility, amendment costs and debt issuance costs, was 3.7% and 3.4%, respectively. As of June 30, 2022 and September 30, 2021, we had $40.7 million and $80.6 million of unused borrowing capacity under the Credit Facility, as applicable, respectively, subject to leverage and borrowing base restrictions.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2022, and September 30, 2021, our wholly owned subsidiary, PennantPark Floating Rate Funding I, LLC, borrowed $259.3 million and $219.4 million under the Credit Facility, respectively. The Credit Facility had a weighted average interest rate of 3.3% and 2.3%, exclusive of the fee on undrawn commitments as of June 30, 2022 and September 30, 2021, respectively.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2022, and September 30, 2021, we had cash equivalents of $40.6 million and $49.8 million, respectively, available for investing and general corporate purposes. We believe our liquidity and capital resources are sufficient to allow us to efficiently operate the business.</w:t>
      </w:r>
    </w:p>
    <w:p>
      <w:pPr>
        <w:spacing w:after="0" w:line="18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Our operating activities used cash of $111.6 million for the nine months ended June 30, 2022, and our financing activities provided cash of $101.7 million for the same period. Our operating activities used cash primarily for our investment activities and our financing activities provided cash primarily due to the issuance of $85 million of our 2026 Add-on Notes borrowings under our Credit Facility.</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$124.4 million for the nine months ended June 30, 2021, and our financing activities used cash of $132.3 million for the same period. Our operating activities provided cash primarily from our investment activities and our financing activities used cash primarily to pay down our Credit Facility, partially offset by the 2026 Notes issuance.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three and nine months ended June 30, 2022, we declared distributions of $0.285 and $0.855 per share, respectively, for total distributions of $11.8 and $34.1 million, respectively. During the three and nine months ended June 30, 2021,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The Company makes available on its website its Quarterly Report on Form 10-Q filed with the SEC, and stockholders may find such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ASSETS AND LIABILITIES (in thousands, except per share data)</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Arial" w:cs="Arial" w:eastAsia="Arial" w:hAnsi="Arial"/>
                <w:sz w:val="22"/>
                <w:szCs w:val="22"/>
                <w:b w:val="1"/>
                <w:bCs w:val="1"/>
                <w:color w:val="auto"/>
                <w:w w:val="87"/>
              </w:rPr>
              <w:t>September 30,</w:t>
            </w:r>
          </w:p>
        </w:tc>
        <w:tc>
          <w:tcPr>
            <w:tcW w:w="0" w:type="dxa"/>
            <w:vAlign w:val="bottom"/>
          </w:tcPr>
          <w:p>
            <w:pPr>
              <w:spacing w:after="0"/>
              <w:rPr>
                <w:sz w:val="1"/>
                <w:szCs w:val="1"/>
                <w:color w:val="auto"/>
              </w:rPr>
            </w:pPr>
          </w:p>
        </w:tc>
      </w:tr>
      <w:tr>
        <w:trPr>
          <w:trHeight w:val="280"/>
        </w:trPr>
        <w:tc>
          <w:tcPr>
            <w:tcW w:w="816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22"/>
                <w:szCs w:val="22"/>
                <w:b w:val="1"/>
                <w:bCs w:val="1"/>
                <w:color w:val="auto"/>
              </w:rPr>
              <w:t>June 30, 2022</w:t>
            </w:r>
          </w:p>
        </w:tc>
        <w:tc>
          <w:tcPr>
            <w:tcW w:w="300" w:type="dxa"/>
            <w:vAlign w:val="bottom"/>
          </w:tcPr>
          <w:p>
            <w:pPr>
              <w:spacing w:after="0"/>
              <w:rPr>
                <w:sz w:val="24"/>
                <w:szCs w:val="24"/>
                <w:color w:val="auto"/>
              </w:rPr>
            </w:pPr>
          </w:p>
        </w:tc>
        <w:tc>
          <w:tcPr>
            <w:tcW w:w="1080" w:type="dxa"/>
            <w:vAlign w:val="bottom"/>
          </w:tcPr>
          <w:p>
            <w:pPr>
              <w:jc w:val="right"/>
              <w:ind w:right="37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67"/>
        </w:trPr>
        <w:tc>
          <w:tcPr>
            <w:tcW w:w="816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b w:val="1"/>
                <w:bCs w:val="1"/>
                <w:color w:val="auto"/>
                <w:w w:val="90"/>
              </w:rPr>
              <w:t>(unaudited)</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8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1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w w:val="96"/>
              </w:rPr>
              <w:t>Non-controlled, non-affiliated investments (cost— $924,233 and $824,542, 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944,658</w:t>
            </w:r>
          </w:p>
        </w:tc>
        <w:tc>
          <w:tcPr>
            <w:tcW w:w="20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856,806</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Non-controlled, affiliated investments (cost— $ — and $22,380, respectively</w:t>
            </w:r>
          </w:p>
        </w:tc>
        <w:tc>
          <w:tcPr>
            <w:tcW w:w="1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7,433</w:t>
            </w:r>
          </w:p>
        </w:tc>
        <w:tc>
          <w:tcPr>
            <w:tcW w:w="0" w:type="dxa"/>
            <w:vAlign w:val="bottom"/>
          </w:tcPr>
          <w:p>
            <w:pPr>
              <w:spacing w:after="0"/>
              <w:rPr>
                <w:sz w:val="1"/>
                <w:szCs w:val="1"/>
                <w:color w:val="auto"/>
              </w:rPr>
            </w:pPr>
          </w:p>
        </w:tc>
      </w:tr>
      <w:tr>
        <w:trPr>
          <w:trHeight w:val="274"/>
        </w:trPr>
        <w:tc>
          <w:tcPr>
            <w:tcW w:w="8160" w:type="dxa"/>
            <w:vAlign w:val="bottom"/>
          </w:tcPr>
          <w:p>
            <w:pPr>
              <w:spacing w:after="0"/>
              <w:rPr>
                <w:sz w:val="20"/>
                <w:szCs w:val="20"/>
                <w:color w:val="auto"/>
              </w:rPr>
            </w:pPr>
            <w:r>
              <w:rPr>
                <w:rFonts w:ascii="Arial" w:cs="Arial" w:eastAsia="Arial" w:hAnsi="Arial"/>
                <w:sz w:val="22"/>
                <w:szCs w:val="22"/>
                <w:color w:val="auto"/>
              </w:rPr>
              <w:t>Controlled, affiliated investments (cost— $294,469 and $223,714, respectively</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281,784</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217,380</w:t>
            </w:r>
          </w:p>
        </w:tc>
        <w:tc>
          <w:tcPr>
            <w:tcW w:w="0" w:type="dxa"/>
            <w:vAlign w:val="bottom"/>
          </w:tcPr>
          <w:p>
            <w:pPr>
              <w:spacing w:after="0"/>
              <w:rPr>
                <w:sz w:val="1"/>
                <w:szCs w:val="1"/>
                <w:color w:val="auto"/>
              </w:rPr>
            </w:pPr>
          </w:p>
        </w:tc>
      </w:tr>
      <w:tr>
        <w:trPr>
          <w:trHeight w:val="259"/>
        </w:trPr>
        <w:tc>
          <w:tcPr>
            <w:tcW w:w="8160" w:type="dxa"/>
            <w:vAlign w:val="bottom"/>
          </w:tcPr>
          <w:p>
            <w:pPr>
              <w:spacing w:after="0"/>
              <w:rPr>
                <w:sz w:val="20"/>
                <w:szCs w:val="20"/>
                <w:color w:val="auto"/>
              </w:rPr>
            </w:pPr>
            <w:r>
              <w:rPr>
                <w:rFonts w:ascii="Arial" w:cs="Arial" w:eastAsia="Arial" w:hAnsi="Arial"/>
                <w:sz w:val="22"/>
                <w:szCs w:val="22"/>
                <w:color w:val="auto"/>
              </w:rPr>
              <w:t>Total investments (cost— $1,218,702 and $1,070,636, respectively</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1,226,442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1,081,619</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Cash and cash equivalents (cost—$40,632 and $49,825,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40,616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49,825</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6,209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5,446</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6,609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33,966</w:t>
            </w:r>
          </w:p>
        </w:tc>
        <w:tc>
          <w:tcPr>
            <w:tcW w:w="0" w:type="dxa"/>
            <w:vAlign w:val="bottom"/>
          </w:tcPr>
          <w:p>
            <w:pPr>
              <w:spacing w:after="0"/>
              <w:rPr>
                <w:sz w:val="1"/>
                <w:szCs w:val="1"/>
                <w:color w:val="auto"/>
              </w:rPr>
            </w:pPr>
          </w:p>
        </w:tc>
      </w:tr>
      <w:tr>
        <w:trPr>
          <w:trHeight w:val="274"/>
        </w:trPr>
        <w:tc>
          <w:tcPr>
            <w:tcW w:w="81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11,278</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8160" w:type="dxa"/>
            <w:vAlign w:val="bottom"/>
          </w:tcPr>
          <w:p>
            <w:pPr>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1,291,154</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1,170,856</w:t>
            </w:r>
          </w:p>
        </w:tc>
        <w:tc>
          <w:tcPr>
            <w:tcW w:w="0" w:type="dxa"/>
            <w:vAlign w:val="bottom"/>
          </w:tcPr>
          <w:p>
            <w:pPr>
              <w:spacing w:after="0"/>
              <w:rPr>
                <w:sz w:val="1"/>
                <w:szCs w:val="1"/>
                <w:color w:val="auto"/>
              </w:rPr>
            </w:pPr>
          </w:p>
        </w:tc>
      </w:tr>
      <w:tr>
        <w:trPr>
          <w:trHeight w:val="256"/>
        </w:trPr>
        <w:tc>
          <w:tcPr>
            <w:tcW w:w="81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3,928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3,690</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9,800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13,546</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Credit Facility payable, at fair value (cost—$259,277 and $219,400,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253,443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218,851</w:t>
            </w:r>
          </w:p>
        </w:tc>
        <w:tc>
          <w:tcPr>
            <w:tcW w:w="0" w:type="dxa"/>
            <w:vAlign w:val="bottom"/>
          </w:tcPr>
          <w:p>
            <w:pPr>
              <w:spacing w:after="0"/>
              <w:rPr>
                <w:sz w:val="1"/>
                <w:szCs w:val="1"/>
                <w:color w:val="auto"/>
              </w:rPr>
            </w:pPr>
          </w:p>
        </w:tc>
      </w:tr>
      <w:tr>
        <w:trPr>
          <w:trHeight w:val="274"/>
        </w:trPr>
        <w:tc>
          <w:tcPr>
            <w:tcW w:w="8160" w:type="dxa"/>
            <w:vAlign w:val="bottom"/>
          </w:tcPr>
          <w:p>
            <w:pPr>
              <w:spacing w:after="0"/>
              <w:rPr>
                <w:sz w:val="20"/>
                <w:szCs w:val="20"/>
                <w:color w:val="auto"/>
              </w:rPr>
            </w:pPr>
            <w:r>
              <w:rPr>
                <w:rFonts w:ascii="Arial" w:cs="Arial" w:eastAsia="Arial" w:hAnsi="Arial"/>
                <w:sz w:val="22"/>
                <w:szCs w:val="22"/>
                <w:color w:val="auto"/>
              </w:rPr>
              <w:t>2023 Notes payable, at fair value (par—$97,006 and $117,793,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94,717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111,114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160" w:type="dxa"/>
            <w:vAlign w:val="bottom"/>
          </w:tcPr>
          <w:p>
            <w:pPr>
              <w:spacing w:after="0"/>
              <w:rPr>
                <w:sz w:val="20"/>
                <w:szCs w:val="20"/>
                <w:color w:val="auto"/>
              </w:rPr>
            </w:pPr>
            <w:r>
              <w:rPr>
                <w:rFonts w:ascii="Arial" w:cs="Arial" w:eastAsia="Arial" w:hAnsi="Arial"/>
                <w:sz w:val="22"/>
                <w:szCs w:val="22"/>
                <w:color w:val="auto"/>
              </w:rPr>
              <w:t>2026 Notes payable, net (par—$185,000 and $100,000, respectively)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182,082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97,171</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2031 Asset-Backed Debt, net (par—$228,000)</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225,970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225,497</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4,500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5,455</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3,062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2,707</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2,576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624</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Deferred tax liability</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5,340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81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823</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1,590</w:t>
            </w:r>
          </w:p>
        </w:tc>
        <w:tc>
          <w:tcPr>
            <w:tcW w:w="80" w:type="dxa"/>
            <w:vAlign w:val="bottom"/>
          </w:tcPr>
          <w:p>
            <w:pPr>
              <w:spacing w:after="0"/>
              <w:rPr>
                <w:sz w:val="23"/>
                <w:szCs w:val="23"/>
                <w:color w:val="auto"/>
              </w:rPr>
            </w:pPr>
          </w:p>
        </w:tc>
      </w:tr>
      <w:tr>
        <w:trPr>
          <w:trHeight w:val="267"/>
        </w:trPr>
        <w:tc>
          <w:tcPr>
            <w:tcW w:w="8160" w:type="dxa"/>
            <w:vAlign w:val="bottom"/>
          </w:tcPr>
          <w:p>
            <w:pPr>
              <w:spacing w:after="0"/>
              <w:rPr>
                <w:sz w:val="20"/>
                <w:szCs w:val="20"/>
                <w:color w:val="auto"/>
              </w:rPr>
            </w:pPr>
            <w:r>
              <w:rPr>
                <w:rFonts w:ascii="Arial" w:cs="Arial" w:eastAsia="Arial" w:hAnsi="Arial"/>
                <w:sz w:val="22"/>
                <w:szCs w:val="22"/>
                <w:b w:val="1"/>
                <w:bCs w:val="1"/>
                <w:color w:val="auto"/>
              </w:rPr>
              <w:t>Total liabilities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786,241</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680,245</w:t>
            </w:r>
          </w:p>
        </w:tc>
        <w:tc>
          <w:tcPr>
            <w:tcW w:w="80" w:type="dxa"/>
            <w:vAlign w:val="bottom"/>
          </w:tcPr>
          <w:p>
            <w:pPr>
              <w:spacing w:after="0"/>
              <w:rPr>
                <w:sz w:val="23"/>
                <w:szCs w:val="23"/>
                <w:color w:val="auto"/>
              </w:rPr>
            </w:pPr>
          </w:p>
        </w:tc>
      </w:tr>
      <w:tr>
        <w:trPr>
          <w:trHeight w:val="250"/>
        </w:trPr>
        <w:tc>
          <w:tcPr>
            <w:tcW w:w="81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81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160" w:type="dxa"/>
            <w:vAlign w:val="bottom"/>
          </w:tcPr>
          <w:p>
            <w:pPr>
              <w:spacing w:after="0" w:line="243" w:lineRule="exact"/>
              <w:rPr>
                <w:sz w:val="20"/>
                <w:szCs w:val="20"/>
                <w:color w:val="auto"/>
              </w:rPr>
            </w:pPr>
            <w:r>
              <w:rPr>
                <w:rFonts w:ascii="Arial" w:cs="Arial" w:eastAsia="Arial" w:hAnsi="Arial"/>
                <w:sz w:val="22"/>
                <w:szCs w:val="22"/>
                <w:color w:val="auto"/>
                <w:w w:val="90"/>
              </w:rPr>
              <w:t>Common stock, 41,345,638 and 38,880,728 shares issued and outstanding, respectively Par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value $0.001 per share and 100,000,000 shares authorized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39</w:t>
            </w:r>
          </w:p>
        </w:tc>
        <w:tc>
          <w:tcPr>
            <w:tcW w:w="80" w:type="dxa"/>
            <w:vAlign w:val="bottom"/>
          </w:tcPr>
          <w:p>
            <w:pPr>
              <w:spacing w:after="0"/>
              <w:rPr>
                <w:sz w:val="23"/>
                <w:szCs w:val="23"/>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570,663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538,814</w:t>
            </w:r>
          </w:p>
        </w:tc>
        <w:tc>
          <w:tcPr>
            <w:tcW w:w="80" w:type="dxa"/>
            <w:vAlign w:val="bottom"/>
          </w:tcPr>
          <w:p>
            <w:pPr>
              <w:spacing w:after="0"/>
              <w:rPr>
                <w:sz w:val="23"/>
                <w:szCs w:val="23"/>
                <w:color w:val="auto"/>
              </w:rPr>
            </w:pPr>
          </w:p>
        </w:tc>
      </w:tr>
      <w:tr>
        <w:trPr>
          <w:trHeight w:val="274"/>
        </w:trPr>
        <w:tc>
          <w:tcPr>
            <w:tcW w:w="8160" w:type="dxa"/>
            <w:vAlign w:val="bottom"/>
          </w:tcPr>
          <w:p>
            <w:pPr>
              <w:spacing w:after="0"/>
              <w:rPr>
                <w:sz w:val="20"/>
                <w:szCs w:val="20"/>
                <w:color w:val="auto"/>
              </w:rPr>
            </w:pPr>
            <w:r>
              <w:rPr>
                <w:rFonts w:ascii="Arial" w:cs="Arial" w:eastAsia="Arial" w:hAnsi="Arial"/>
                <w:sz w:val="22"/>
                <w:szCs w:val="22"/>
                <w:color w:val="auto"/>
              </w:rPr>
              <w:t>Accumulated deficit</w:t>
            </w:r>
          </w:p>
        </w:tc>
        <w:tc>
          <w:tcPr>
            <w:tcW w:w="32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2"/>
                <w:szCs w:val="22"/>
                <w:color w:val="auto"/>
              </w:rPr>
              <w:t>(65,791)</w:t>
            </w:r>
          </w:p>
        </w:tc>
        <w:tc>
          <w:tcPr>
            <w:tcW w:w="3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(48,242)</w:t>
            </w:r>
          </w:p>
        </w:tc>
      </w:tr>
      <w:tr>
        <w:trPr>
          <w:trHeight w:val="267"/>
        </w:trPr>
        <w:tc>
          <w:tcPr>
            <w:tcW w:w="8160" w:type="dxa"/>
            <w:vAlign w:val="bottom"/>
          </w:tcPr>
          <w:p>
            <w:pPr>
              <w:spacing w:after="0"/>
              <w:rPr>
                <w:sz w:val="20"/>
                <w:szCs w:val="20"/>
                <w:color w:val="auto"/>
              </w:rPr>
            </w:pPr>
            <w:r>
              <w:rPr>
                <w:rFonts w:ascii="Arial" w:cs="Arial" w:eastAsia="Arial" w:hAnsi="Arial"/>
                <w:sz w:val="22"/>
                <w:szCs w:val="22"/>
                <w:b w:val="1"/>
                <w:bCs w:val="1"/>
                <w:color w:val="auto"/>
              </w:rPr>
              <w:t>Total net assets</w:t>
            </w: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504,913</w:t>
            </w:r>
          </w:p>
        </w:tc>
        <w:tc>
          <w:tcPr>
            <w:tcW w:w="2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490,611</w:t>
            </w:r>
          </w:p>
        </w:tc>
        <w:tc>
          <w:tcPr>
            <w:tcW w:w="80" w:type="dxa"/>
            <w:vAlign w:val="bottom"/>
          </w:tcPr>
          <w:p>
            <w:pPr>
              <w:spacing w:after="0"/>
              <w:rPr>
                <w:sz w:val="23"/>
                <w:szCs w:val="23"/>
                <w:color w:val="auto"/>
              </w:rPr>
            </w:pPr>
          </w:p>
        </w:tc>
      </w:tr>
      <w:tr>
        <w:trPr>
          <w:trHeight w:val="263"/>
        </w:trPr>
        <w:tc>
          <w:tcPr>
            <w:tcW w:w="8160" w:type="dxa"/>
            <w:vAlign w:val="bottom"/>
          </w:tcPr>
          <w:p>
            <w:pPr>
              <w:spacing w:after="0"/>
              <w:rPr>
                <w:sz w:val="20"/>
                <w:szCs w:val="20"/>
                <w:color w:val="auto"/>
              </w:rPr>
            </w:pPr>
            <w:r>
              <w:rPr>
                <w:rFonts w:ascii="Arial" w:cs="Arial" w:eastAsia="Arial" w:hAnsi="Arial"/>
                <w:sz w:val="22"/>
                <w:szCs w:val="22"/>
                <w:b w:val="1"/>
                <w:bCs w:val="1"/>
                <w:color w:val="auto"/>
              </w:rPr>
              <w:t>Total liabilities and net assets</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1,291,154</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1,170,856</w:t>
            </w:r>
          </w:p>
        </w:tc>
        <w:tc>
          <w:tcPr>
            <w:tcW w:w="80" w:type="dxa"/>
            <w:vAlign w:val="bottom"/>
          </w:tcPr>
          <w:p>
            <w:pPr>
              <w:spacing w:after="0"/>
              <w:rPr>
                <w:sz w:val="22"/>
                <w:szCs w:val="22"/>
                <w:color w:val="auto"/>
              </w:rPr>
            </w:pPr>
          </w:p>
        </w:tc>
      </w:tr>
      <w:tr>
        <w:trPr>
          <w:trHeight w:val="21"/>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81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12.21</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12.62</w:t>
            </w:r>
          </w:p>
        </w:tc>
        <w:tc>
          <w:tcPr>
            <w:tcW w:w="80" w:type="dxa"/>
            <w:vAlign w:val="bottom"/>
          </w:tcPr>
          <w:p>
            <w:pPr>
              <w:spacing w:after="0"/>
              <w:rPr>
                <w:sz w:val="22"/>
                <w:szCs w:val="22"/>
                <w:color w:val="auto"/>
              </w:rPr>
            </w:pPr>
          </w:p>
        </w:tc>
      </w:tr>
      <w:tr>
        <w:trPr>
          <w:trHeight w:val="21"/>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line="230" w:lineRule="auto"/>
        <w:rPr>
          <w:sz w:val="20"/>
          <w:szCs w:val="20"/>
          <w:color w:val="auto"/>
        </w:rPr>
      </w:pPr>
      <w:r>
        <w:rPr>
          <w:rFonts w:ascii="Arial" w:cs="Arial" w:eastAsia="Arial" w:hAnsi="Arial"/>
          <w:sz w:val="22"/>
          <w:szCs w:val="22"/>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22"/>
                <w:szCs w:val="22"/>
                <w:b w:val="1"/>
                <w:bCs w:val="1"/>
                <w:color w:val="auto"/>
                <w:w w:val="90"/>
              </w:rPr>
              <w:t>Three Months Ended</w:t>
            </w:r>
          </w:p>
        </w:tc>
        <w:tc>
          <w:tcPr>
            <w:tcW w:w="258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89"/>
              </w:rPr>
              <w:t>Nine Months Ended June</w:t>
            </w:r>
          </w:p>
        </w:tc>
        <w:tc>
          <w:tcPr>
            <w:tcW w:w="0" w:type="dxa"/>
            <w:vAlign w:val="bottom"/>
          </w:tcPr>
          <w:p>
            <w:pPr>
              <w:spacing w:after="0"/>
              <w:rPr>
                <w:sz w:val="1"/>
                <w:szCs w:val="1"/>
                <w:color w:val="auto"/>
              </w:rPr>
            </w:pPr>
          </w:p>
        </w:tc>
      </w:tr>
      <w:tr>
        <w:trPr>
          <w:trHeight w:val="282"/>
        </w:trPr>
        <w:tc>
          <w:tcPr>
            <w:tcW w:w="5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22"/>
                <w:szCs w:val="22"/>
                <w:b w:val="1"/>
                <w:bCs w:val="1"/>
                <w:color w:val="auto"/>
                <w:w w:val="88"/>
              </w:rPr>
              <w:t>June 30,</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22"/>
                <w:szCs w:val="22"/>
                <w:b w:val="1"/>
                <w:bCs w:val="1"/>
                <w:color w:val="auto"/>
              </w:rPr>
              <w:t>30,</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92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2022</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w w:val="89"/>
              </w:rPr>
              <w:t>2021</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2022</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92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Interest</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16,701</w:t>
            </w:r>
          </w:p>
        </w:tc>
        <w:tc>
          <w:tcPr>
            <w:tcW w:w="2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14,495</w:t>
            </w:r>
          </w:p>
        </w:tc>
        <w:tc>
          <w:tcPr>
            <w:tcW w:w="20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49,753</w:t>
            </w:r>
          </w:p>
        </w:tc>
        <w:tc>
          <w:tcPr>
            <w:tcW w:w="2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43,521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Dividend</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577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1,731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Other income</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285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1,161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3,795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2,534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Interest</w:t>
            </w:r>
          </w:p>
        </w:tc>
        <w:tc>
          <w:tcPr>
            <w:tcW w:w="20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112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Other income</w:t>
            </w:r>
          </w:p>
        </w:tc>
        <w:tc>
          <w:tcPr>
            <w:tcW w:w="20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Interest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4,228</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2,931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10,633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8,253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Dividend</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3,938</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2,319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10,675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6,169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Other Income</w:t>
            </w:r>
          </w:p>
        </w:tc>
        <w:tc>
          <w:tcPr>
            <w:tcW w:w="20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195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920" w:type="dxa"/>
            <w:vAlign w:val="bottom"/>
          </w:tcPr>
          <w:p>
            <w:pPr>
              <w:spacing w:after="0"/>
              <w:rPr>
                <w:sz w:val="20"/>
                <w:szCs w:val="20"/>
                <w:color w:val="auto"/>
              </w:rPr>
            </w:pPr>
            <w:r>
              <w:rPr>
                <w:rFonts w:ascii="Arial" w:cs="Arial" w:eastAsia="Arial" w:hAnsi="Arial"/>
                <w:sz w:val="22"/>
                <w:szCs w:val="22"/>
                <w:b w:val="1"/>
                <w:bCs w:val="1"/>
                <w:color w:val="auto"/>
              </w:rPr>
              <w:t>Total investment income</w:t>
            </w:r>
          </w:p>
        </w:tc>
        <w:tc>
          <w:tcPr>
            <w:tcW w:w="2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25,729</w:t>
            </w:r>
          </w:p>
        </w:tc>
        <w:tc>
          <w:tcPr>
            <w:tcW w:w="2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20,906</w:t>
            </w:r>
          </w:p>
        </w:tc>
        <w:tc>
          <w:tcPr>
            <w:tcW w:w="2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76,699</w:t>
            </w:r>
          </w:p>
        </w:tc>
        <w:tc>
          <w:tcPr>
            <w:tcW w:w="22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61,074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92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Base management fee</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3,062</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2,622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8,904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7,972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Performance-based incentive fee</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2,576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1,652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8,461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4,716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Interest and expenses on debt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7,369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5,903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20,713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16,025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Administrative services expenses</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144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150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431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750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Other general and administrative expenses</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655</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1,964</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Arial" w:cs="Arial" w:eastAsia="Arial" w:hAnsi="Arial"/>
                <w:sz w:val="22"/>
                <w:szCs w:val="22"/>
                <w:b w:val="1"/>
                <w:bCs w:val="1"/>
                <w:color w:val="auto"/>
              </w:rPr>
              <w:t>Expenses before provision for taxes</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13,806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10,527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40,473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30,463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Provision for taxes on net investment income</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920" w:type="dxa"/>
            <w:vAlign w:val="bottom"/>
          </w:tcPr>
          <w:p>
            <w:pPr>
              <w:spacing w:after="0"/>
              <w:rPr>
                <w:sz w:val="20"/>
                <w:szCs w:val="20"/>
                <w:color w:val="auto"/>
              </w:rPr>
            </w:pPr>
            <w:r>
              <w:rPr>
                <w:rFonts w:ascii="Arial" w:cs="Arial" w:eastAsia="Arial" w:hAnsi="Arial"/>
                <w:sz w:val="22"/>
                <w:szCs w:val="22"/>
                <w:b w:val="1"/>
                <w:bCs w:val="1"/>
                <w:color w:val="auto"/>
              </w:rPr>
              <w:t>Total expenses</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13,906</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10,627</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40,773</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30,763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22"/>
                <w:szCs w:val="22"/>
                <w:b w:val="1"/>
                <w:bCs w:val="1"/>
                <w:color w:val="auto"/>
              </w:rPr>
              <w:t>Net investment income</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11,823</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10,279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35,926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20" w:type="dxa"/>
            <w:vAlign w:val="bottom"/>
          </w:tcPr>
          <w:p>
            <w:pPr>
              <w:spacing w:after="0"/>
              <w:rPr>
                <w:sz w:val="20"/>
                <w:szCs w:val="20"/>
                <w:color w:val="auto"/>
              </w:rPr>
            </w:pPr>
            <w:r>
              <w:rPr>
                <w:rFonts w:ascii="Arial" w:cs="Arial" w:eastAsia="Arial" w:hAnsi="Arial"/>
                <w:sz w:val="22"/>
                <w:szCs w:val="22"/>
                <w:b w:val="1"/>
                <w:bCs w:val="1"/>
                <w:color w:val="auto"/>
                <w:w w:val="92"/>
              </w:rPr>
              <w:t>Realized and unrealized gain (loss) on investments and debt:</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Net realized gain (loss) on:</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Non-controlled, non-affiliated investments</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701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7,614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10,694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6,380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Non-controlled and controlled, affiliated investments</w:t>
            </w:r>
          </w:p>
        </w:tc>
        <w:tc>
          <w:tcPr>
            <w:tcW w:w="20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2"/>
                <w:szCs w:val="22"/>
                <w:color w:val="auto"/>
              </w:rPr>
              <w:t>(20,588)</w:t>
            </w:r>
          </w:p>
        </w:tc>
        <w:tc>
          <w:tcPr>
            <w:tcW w:w="24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(22,315)</w:t>
            </w:r>
          </w:p>
        </w:tc>
        <w:tc>
          <w:tcPr>
            <w:tcW w:w="24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(21,640)</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0"/>
                <w:szCs w:val="20"/>
                <w:color w:val="auto"/>
              </w:rPr>
            </w:pPr>
            <w:r>
              <w:rPr>
                <w:rFonts w:ascii="Arial" w:cs="Arial" w:eastAsia="Arial" w:hAnsi="Arial"/>
                <w:sz w:val="22"/>
                <w:szCs w:val="22"/>
                <w:b w:val="1"/>
                <w:bCs w:val="1"/>
                <w:color w:val="auto"/>
              </w:rPr>
              <w:t>Net realized gain (loss) on investments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701</w:t>
            </w:r>
          </w:p>
        </w:tc>
        <w:tc>
          <w:tcPr>
            <w:tcW w:w="2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7"/>
              </w:rPr>
              <w:t>(12,974)</w:t>
            </w: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(11,621)</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(15,260)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22"/>
                <w:szCs w:val="22"/>
                <w:color w:val="auto"/>
              </w:rPr>
              <w:t>Non-controlled, non-affiliated investments</w:t>
            </w:r>
          </w:p>
        </w:tc>
        <w:tc>
          <w:tcPr>
            <w:tcW w:w="2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2"/>
                <w:szCs w:val="22"/>
                <w:color w:val="auto"/>
              </w:rPr>
              <w:t>(11,204)</w:t>
            </w:r>
          </w:p>
        </w:tc>
        <w:tc>
          <w:tcPr>
            <w:tcW w:w="32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2"/>
                <w:szCs w:val="22"/>
                <w:color w:val="auto"/>
              </w:rPr>
              <w:t>(6,281)</w:t>
            </w:r>
          </w:p>
        </w:tc>
        <w:tc>
          <w:tcPr>
            <w:tcW w:w="24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(12,243)</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28,407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Controlled and non-controlled, affiliated investments</w:t>
            </w:r>
          </w:p>
        </w:tc>
        <w:tc>
          <w:tcPr>
            <w:tcW w:w="2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2"/>
                <w:szCs w:val="22"/>
                <w:color w:val="auto"/>
              </w:rPr>
              <w:t>(6,431)</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20,451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8,597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20,370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1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920" w:type="dxa"/>
            <w:vAlign w:val="bottom"/>
          </w:tcPr>
          <w:p>
            <w:pPr>
              <w:spacing w:after="0"/>
              <w:rPr>
                <w:sz w:val="20"/>
                <w:szCs w:val="20"/>
                <w:color w:val="auto"/>
              </w:rPr>
            </w:pPr>
            <w:r>
              <w:rPr>
                <w:rFonts w:ascii="Arial" w:cs="Arial" w:eastAsia="Arial" w:hAnsi="Arial"/>
                <w:sz w:val="22"/>
                <w:szCs w:val="22"/>
                <w:color w:val="auto"/>
                <w:w w:val="98"/>
              </w:rPr>
              <w:t>Provision for taxes on unrealized appreciation on investments</w:t>
            </w:r>
          </w:p>
        </w:tc>
        <w:tc>
          <w:tcPr>
            <w:tcW w:w="300" w:type="dxa"/>
            <w:vAlign w:val="bottom"/>
          </w:tcPr>
          <w:p>
            <w:pPr>
              <w:spacing w:after="0"/>
              <w:rPr>
                <w:sz w:val="23"/>
                <w:szCs w:val="23"/>
                <w:color w:val="auto"/>
              </w:rPr>
            </w:pPr>
          </w:p>
        </w:tc>
        <w:tc>
          <w:tcPr>
            <w:tcW w:w="1060" w:type="dxa"/>
            <w:vAlign w:val="bottom"/>
            <w:gridSpan w:val="2"/>
          </w:tcPr>
          <w:p>
            <w:pPr>
              <w:jc w:val="right"/>
              <w:ind w:right="132"/>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2"/>
                <w:szCs w:val="22"/>
                <w:color w:val="auto"/>
              </w:rPr>
              <w:t>(5,340)</w:t>
            </w:r>
          </w:p>
        </w:tc>
        <w:tc>
          <w:tcPr>
            <w:tcW w:w="3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920" w:type="dxa"/>
            <w:vAlign w:val="bottom"/>
          </w:tcPr>
          <w:p>
            <w:pPr>
              <w:spacing w:after="0"/>
              <w:rPr>
                <w:sz w:val="20"/>
                <w:szCs w:val="20"/>
                <w:color w:val="auto"/>
              </w:rPr>
            </w:pPr>
            <w:r>
              <w:rPr>
                <w:rFonts w:ascii="Arial" w:cs="Arial" w:eastAsia="Arial" w:hAnsi="Arial"/>
                <w:sz w:val="22"/>
                <w:szCs w:val="22"/>
                <w:color w:val="auto"/>
              </w:rPr>
              <w:t>Debt (appreciation) depreciation</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3,232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1,273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(11,317)</w:t>
            </w:r>
          </w:p>
        </w:tc>
        <w:tc>
          <w:tcPr>
            <w:tcW w:w="0" w:type="dxa"/>
            <w:vAlign w:val="bottom"/>
          </w:tcPr>
          <w:p>
            <w:pPr>
              <w:spacing w:after="0"/>
              <w:rPr>
                <w:sz w:val="1"/>
                <w:szCs w:val="1"/>
                <w:color w:val="auto"/>
              </w:rPr>
            </w:pPr>
          </w:p>
        </w:tc>
      </w:tr>
      <w:tr>
        <w:trPr>
          <w:trHeight w:val="213"/>
        </w:trPr>
        <w:tc>
          <w:tcPr>
            <w:tcW w:w="5920" w:type="dxa"/>
            <w:vAlign w:val="bottom"/>
          </w:tcPr>
          <w:p>
            <w:pPr>
              <w:spacing w:after="0" w:line="212" w:lineRule="exact"/>
              <w:rPr>
                <w:sz w:val="20"/>
                <w:szCs w:val="20"/>
                <w:color w:val="auto"/>
              </w:rPr>
            </w:pPr>
            <w:r>
              <w:rPr>
                <w:rFonts w:ascii="Arial" w:cs="Arial" w:eastAsia="Arial" w:hAnsi="Arial"/>
                <w:sz w:val="22"/>
                <w:szCs w:val="22"/>
                <w:b w:val="1"/>
                <w:bCs w:val="1"/>
                <w:color w:val="auto"/>
              </w:rPr>
              <w:t>Net change in unrealized (depreciation) appreciation on</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92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300" w:type="dxa"/>
            <w:vAlign w:val="bottom"/>
          </w:tcPr>
          <w:p>
            <w:pPr>
              <w:spacing w:after="0"/>
              <w:rPr>
                <w:sz w:val="24"/>
                <w:szCs w:val="24"/>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22"/>
                <w:szCs w:val="22"/>
                <w:color w:val="auto"/>
              </w:rPr>
              <w:t>(17,609)</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17,402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2"/>
                <w:szCs w:val="22"/>
                <w:color w:val="auto"/>
              </w:rPr>
              <w:t>(7,713)</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37,460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920" w:type="dxa"/>
            <w:vAlign w:val="bottom"/>
          </w:tcPr>
          <w:p>
            <w:pPr>
              <w:spacing w:after="0" w:line="212" w:lineRule="exact"/>
              <w:rPr>
                <w:sz w:val="20"/>
                <w:szCs w:val="20"/>
                <w:color w:val="auto"/>
              </w:rPr>
            </w:pPr>
            <w:r>
              <w:rPr>
                <w:rFonts w:ascii="Arial" w:cs="Arial" w:eastAsia="Arial" w:hAnsi="Arial"/>
                <w:sz w:val="22"/>
                <w:szCs w:val="22"/>
                <w:b w:val="1"/>
                <w:bCs w:val="1"/>
                <w:color w:val="auto"/>
                <w:w w:val="92"/>
              </w:rPr>
              <w:t>Net realized and unrealized (loss) gain from investments and</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92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300" w:type="dxa"/>
            <w:vAlign w:val="bottom"/>
          </w:tcPr>
          <w:p>
            <w:pPr>
              <w:spacing w:after="0"/>
              <w:rPr>
                <w:sz w:val="24"/>
                <w:szCs w:val="24"/>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22"/>
                <w:szCs w:val="22"/>
                <w:color w:val="auto"/>
              </w:rPr>
              <w:t>(16,908)</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4,428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2"/>
                <w:szCs w:val="22"/>
                <w:color w:val="auto"/>
              </w:rPr>
              <w:t>(19,334)</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22,200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920" w:type="dxa"/>
            <w:vAlign w:val="bottom"/>
          </w:tcPr>
          <w:p>
            <w:pPr>
              <w:spacing w:after="0"/>
              <w:rPr>
                <w:sz w:val="20"/>
                <w:szCs w:val="20"/>
                <w:color w:val="auto"/>
              </w:rPr>
            </w:pPr>
            <w:r>
              <w:rPr>
                <w:rFonts w:ascii="Arial" w:cs="Arial" w:eastAsia="Arial" w:hAnsi="Arial"/>
                <w:sz w:val="22"/>
                <w:szCs w:val="22"/>
                <w:b w:val="1"/>
                <w:bCs w:val="1"/>
                <w:color w:val="auto"/>
                <w:w w:val="89"/>
              </w:rPr>
              <w:t>Net increase (decrease) in net assets resulting from operations</w:t>
            </w: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(5,085</w:t>
            </w:r>
          </w:p>
        </w:tc>
        <w:tc>
          <w:tcPr>
            <w:tcW w:w="22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14,707</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16,592</w:t>
            </w:r>
          </w:p>
        </w:tc>
        <w:tc>
          <w:tcPr>
            <w:tcW w:w="22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52,511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line="242" w:lineRule="exact"/>
              <w:rPr>
                <w:sz w:val="20"/>
                <w:szCs w:val="20"/>
                <w:color w:val="auto"/>
              </w:rPr>
            </w:pPr>
            <w:r>
              <w:rPr>
                <w:rFonts w:ascii="Arial" w:cs="Arial" w:eastAsia="Arial" w:hAnsi="Arial"/>
                <w:sz w:val="22"/>
                <w:szCs w:val="22"/>
                <w:color w:val="auto"/>
                <w:w w:val="90"/>
              </w:rPr>
              <w:t>Net increase (decrease) in net assets resulting from operations per</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920" w:type="dxa"/>
            <w:vAlign w:val="bottom"/>
            <w:vMerge w:val="continue"/>
          </w:tcPr>
          <w:p>
            <w:pPr>
              <w:spacing w:after="0"/>
              <w:rPr>
                <w:sz w:val="17"/>
                <w:szCs w:val="17"/>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1060" w:type="dxa"/>
            <w:vAlign w:val="bottom"/>
            <w:gridSpan w:val="2"/>
            <w:vMerge w:val="restart"/>
          </w:tcPr>
          <w:p>
            <w:pPr>
              <w:jc w:val="right"/>
              <w:ind w:right="32"/>
              <w:spacing w:after="0"/>
              <w:rPr>
                <w:sz w:val="20"/>
                <w:szCs w:val="20"/>
                <w:color w:val="auto"/>
              </w:rPr>
            </w:pPr>
            <w:r>
              <w:rPr>
                <w:rFonts w:ascii="Arial" w:cs="Arial" w:eastAsia="Arial" w:hAnsi="Arial"/>
                <w:sz w:val="22"/>
                <w:szCs w:val="22"/>
                <w:color w:val="auto"/>
              </w:rPr>
              <w:t>(0.12 )</w:t>
            </w:r>
          </w:p>
        </w:tc>
        <w:tc>
          <w:tcPr>
            <w:tcW w:w="320" w:type="dxa"/>
            <w:vAlign w:val="bottom"/>
            <w:vMerge w:val="restart"/>
          </w:tcPr>
          <w:p>
            <w:pPr>
              <w:jc w:val="right"/>
              <w:ind w:right="92"/>
              <w:spacing w:after="0"/>
              <w:rPr>
                <w:sz w:val="20"/>
                <w:szCs w:val="20"/>
                <w:color w:val="auto"/>
              </w:rPr>
            </w:pPr>
            <w:r>
              <w:rPr>
                <w:rFonts w:ascii="Arial" w:cs="Arial" w:eastAsia="Arial" w:hAnsi="Arial"/>
                <w:sz w:val="22"/>
                <w:szCs w:val="22"/>
                <w:color w:val="auto"/>
                <w:w w:val="81"/>
              </w:rPr>
              <w:t>$</w:t>
            </w:r>
          </w:p>
        </w:tc>
        <w:tc>
          <w:tcPr>
            <w:tcW w:w="820" w:type="dxa"/>
            <w:vAlign w:val="bottom"/>
            <w:vMerge w:val="restart"/>
          </w:tcPr>
          <w:p>
            <w:pPr>
              <w:jc w:val="right"/>
              <w:spacing w:after="0"/>
              <w:rPr>
                <w:sz w:val="20"/>
                <w:szCs w:val="20"/>
                <w:color w:val="auto"/>
              </w:rPr>
            </w:pPr>
            <w:r>
              <w:rPr>
                <w:rFonts w:ascii="Arial" w:cs="Arial" w:eastAsia="Arial" w:hAnsi="Arial"/>
                <w:sz w:val="22"/>
                <w:szCs w:val="22"/>
                <w:color w:val="auto"/>
              </w:rPr>
              <w:t>0.38</w:t>
            </w:r>
          </w:p>
        </w:tc>
        <w:tc>
          <w:tcPr>
            <w:tcW w:w="200" w:type="dxa"/>
            <w:vAlign w:val="bottom"/>
          </w:tcPr>
          <w:p>
            <w:pPr>
              <w:spacing w:after="0"/>
              <w:rPr>
                <w:sz w:val="17"/>
                <w:szCs w:val="17"/>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0.42</w:t>
            </w:r>
          </w:p>
        </w:tc>
        <w:tc>
          <w:tcPr>
            <w:tcW w:w="220" w:type="dxa"/>
            <w:vAlign w:val="bottom"/>
          </w:tcPr>
          <w:p>
            <w:pPr>
              <w:spacing w:after="0"/>
              <w:rPr>
                <w:sz w:val="17"/>
                <w:szCs w:val="17"/>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920" w:type="dxa"/>
            <w:vAlign w:val="bottom"/>
          </w:tcPr>
          <w:p>
            <w:pPr>
              <w:spacing w:after="0" w:line="251" w:lineRule="exact"/>
              <w:rPr>
                <w:sz w:val="20"/>
                <w:szCs w:val="20"/>
                <w:color w:val="auto"/>
              </w:rPr>
            </w:pPr>
            <w:r>
              <w:rPr>
                <w:rFonts w:ascii="Arial" w:cs="Arial" w:eastAsia="Arial" w:hAnsi="Arial"/>
                <w:sz w:val="22"/>
                <w:szCs w:val="22"/>
                <w:color w:val="auto"/>
              </w:rPr>
              <w:t>common share</w:t>
            </w:r>
          </w:p>
        </w:tc>
        <w:tc>
          <w:tcPr>
            <w:tcW w:w="300" w:type="dxa"/>
            <w:vAlign w:val="bottom"/>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20" w:type="dxa"/>
            <w:vAlign w:val="bottom"/>
            <w:vMerge w:val="continue"/>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0.27</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0.90</w:t>
            </w:r>
          </w:p>
        </w:tc>
        <w:tc>
          <w:tcPr>
            <w:tcW w:w="22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$6.0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color w:val="auto"/>
        </w:rPr>
        <w:t>CONTACT:</w:t>
        <w:tab/>
        <w:t>Richard T. Allorto, Jr.</w:t>
      </w:r>
    </w:p>
    <w:p>
      <w:pPr>
        <w:ind w:left="1300"/>
        <w:spacing w:after="0" w:line="238" w:lineRule="auto"/>
        <w:rPr>
          <w:sz w:val="20"/>
          <w:szCs w:val="20"/>
          <w:color w:val="auto"/>
        </w:rPr>
      </w:pPr>
      <w:r>
        <w:rPr>
          <w:rFonts w:ascii="Arial" w:cs="Arial" w:eastAsia="Arial" w:hAnsi="Arial"/>
          <w:sz w:val="22"/>
          <w:szCs w:val="22"/>
          <w:color w:val="auto"/>
        </w:rPr>
        <w:t>PennantPark Floating Rate Capital Ltd.</w:t>
      </w:r>
    </w:p>
    <w:p>
      <w:pPr>
        <w:ind w:left="1300" w:right="7940" w:firstLine="4"/>
        <w:spacing w:after="0" w:line="308" w:lineRule="auto"/>
        <w:tabs>
          <w:tab w:leader="none" w:pos="18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2022-08-03T15:15:37Z</dcterms:created>
  <dcterms:modified xsi:type="dcterms:W3CDTF">2022-08-03T15:15:37Z</dcterms:modified>
</cp:coreProperties>
</file>