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24, 2025</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PFLT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right="320" w:firstLine="389"/>
        <w:spacing w:after="0" w:line="266" w:lineRule="auto"/>
        <w:rPr>
          <w:sz w:val="20"/>
          <w:szCs w:val="20"/>
          <w:color w:val="auto"/>
        </w:rPr>
      </w:pPr>
      <w:r>
        <w:rPr>
          <w:rFonts w:ascii="Times New Roman" w:cs="Times New Roman" w:eastAsia="Times New Roman" w:hAnsi="Times New Roman"/>
          <w:sz w:val="18"/>
          <w:szCs w:val="18"/>
          <w:color w:val="auto"/>
        </w:rPr>
        <w:t>On November 24, 2025, PennantPark Floating Rate Capital Ltd., or the Company, issued a press release announcing its financial results for the fourth fiscal quarter and fiscal year ended September 30, 2025. A copy of the press release is furnished as Exhibit 99.1 to this report pursuant to Item 2.02 on Form 8-K and Regulation FD.</w:t>
      </w:r>
    </w:p>
    <w:p>
      <w:pPr>
        <w:spacing w:after="0" w:line="176" w:lineRule="exact"/>
        <w:rPr>
          <w:sz w:val="20"/>
          <w:szCs w:val="20"/>
          <w:color w:val="auto"/>
        </w:rPr>
      </w:pPr>
    </w:p>
    <w:p>
      <w:pPr>
        <w:jc w:val="both"/>
        <w:ind w:right="320" w:firstLine="389"/>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Exhibits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right="320" w:firstLine="389"/>
        <w:spacing w:after="0" w:line="261" w:lineRule="auto"/>
        <w:rPr>
          <w:sz w:val="20"/>
          <w:szCs w:val="20"/>
          <w:color w:val="auto"/>
        </w:rPr>
      </w:pPr>
      <w:r>
        <w:rPr>
          <w:rFonts w:ascii="Times New Roman" w:cs="Times New Roman" w:eastAsia="Times New Roman" w:hAnsi="Times New Roman"/>
          <w:sz w:val="18"/>
          <w:szCs w:val="18"/>
          <w:color w:val="auto"/>
        </w:rPr>
        <w:t>This report on Form 8-K, including Exhibits 99.1 furnished herewith, may contain “forward-looking statements” within the meaning of the Private Securities Litigation Reform Act of 1995. You should understand that under Section 27A(b)(2)(B) of the Securities Act and Section 21E(b)(2)</w:t>
      </w:r>
    </w:p>
    <w:p>
      <w:pPr>
        <w:jc w:val="both"/>
        <w:ind w:right="320" w:firstLine="8"/>
        <w:spacing w:after="0" w:line="252" w:lineRule="auto"/>
        <w:tabs>
          <w:tab w:leader="none" w:pos="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Exchange Act, the “safe harbor” provisions of the Private Securities Litigation Reform Act of 1995 do not apply to forward-looking statements made in periodic reports the Company files under the Exchange Act. All statements other than statements of historical facts included in this report on Form 8-K, including Exhibit 99.1 furnished herewith,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spacing w:after="0" w:line="188" w:lineRule="exact"/>
        <w:rPr>
          <w:sz w:val="20"/>
          <w:szCs w:val="20"/>
          <w:color w:val="auto"/>
        </w:rPr>
      </w:pPr>
    </w:p>
    <w:p>
      <w:pPr>
        <w:jc w:val="both"/>
        <w:ind w:right="320" w:firstLine="389"/>
        <w:spacing w:after="0" w:line="266" w:lineRule="auto"/>
        <w:rPr>
          <w:sz w:val="20"/>
          <w:szCs w:val="20"/>
          <w:color w:val="auto"/>
        </w:rPr>
      </w:pPr>
      <w:r>
        <w:rPr>
          <w:rFonts w:ascii="Times New Roman" w:cs="Times New Roman" w:eastAsia="Times New Roman" w:hAnsi="Times New Roman"/>
          <w:sz w:val="18"/>
          <w:szCs w:val="18"/>
          <w:color w:val="auto"/>
        </w:rPr>
        <w:t>The Company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920" w:right="8680" w:hanging="912"/>
        <w:spacing w:after="0" w:line="263" w:lineRule="auto"/>
        <w:tabs>
          <w:tab w:leader="none" w:pos="9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statements: </w:t>
      </w:r>
      <w:r>
        <w:rPr>
          <w:rFonts w:ascii="Times New Roman" w:cs="Times New Roman" w:eastAsia="Times New Roman" w:hAnsi="Times New Roman"/>
          <w:sz w:val="18"/>
          <w:szCs w:val="18"/>
          <w:color w:val="auto"/>
        </w:rPr>
        <w:t>None</w:t>
      </w:r>
    </w:p>
    <w:p>
      <w:pPr>
        <w:ind w:left="920" w:right="7800" w:hanging="912"/>
        <w:spacing w:after="0" w:line="250" w:lineRule="auto"/>
        <w:tabs>
          <w:tab w:leader="none" w:pos="9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ind w:left="920" w:right="8160" w:hanging="912"/>
        <w:spacing w:after="0" w:line="250" w:lineRule="auto"/>
        <w:tabs>
          <w:tab w:leader="none" w:pos="9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ind w:left="920" w:hanging="912"/>
        <w:spacing w:after="0"/>
        <w:tabs>
          <w:tab w:leader="none" w:pos="9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tbl>
      <w:tblPr>
        <w:tblLayout w:type="fixed"/>
        <w:tblInd w:w="0" w:type="dxa"/>
        <w:tblCellMar>
          <w:top w:w="0" w:type="dxa"/>
          <w:left w:w="0" w:type="dxa"/>
          <w:bottom w:w="0" w:type="dxa"/>
          <w:right w:w="0" w:type="dxa"/>
        </w:tblCellMar>
      </w:tblPr>
      <w:tr>
        <w:trPr>
          <w:trHeight w:val="185"/>
        </w:trPr>
        <w:tc>
          <w:tcPr>
            <w:tcW w:w="1820" w:type="dxa"/>
            <w:vAlign w:val="bottom"/>
            <w:gridSpan w:val="3"/>
          </w:tcPr>
          <w:p>
            <w:pPr>
              <w:ind w:left="920"/>
              <w:spacing w:after="0" w:line="18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42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0000EE"/>
              </w:rPr>
              <w:t>Press Release of PennantPark Floating Rate Capital Ltd. dated November 24, 2025</w:t>
            </w:r>
          </w:p>
        </w:tc>
      </w:tr>
      <w:tr>
        <w:trPr>
          <w:trHeight w:val="20"/>
        </w:trPr>
        <w:tc>
          <w:tcPr>
            <w:tcW w:w="9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960" w:type="dxa"/>
            <w:vAlign w:val="bottom"/>
            <w:shd w:val="clear" w:color="auto" w:fill="0000EE"/>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237"/>
        </w:trPr>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0"/>
                <w:szCs w:val="20"/>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59"/>
        </w:trPr>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68"/>
        </w:trPr>
        <w:tc>
          <w:tcPr>
            <w:tcW w:w="92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5960" w:type="dxa"/>
            <w:vAlign w:val="bottom"/>
            <w:shd w:val="clear" w:color="auto" w:fill="000000"/>
          </w:tcPr>
          <w:p>
            <w:pPr>
              <w:spacing w:after="0"/>
              <w:rPr>
                <w:sz w:val="5"/>
                <w:szCs w:val="5"/>
                <w:color w:val="auto"/>
              </w:rPr>
            </w:pPr>
          </w:p>
        </w:tc>
        <w:tc>
          <w:tcPr>
            <w:tcW w:w="346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4900" w:type="dxa"/>
            <w:vAlign w:val="bottom"/>
            <w:gridSpan w:val="3"/>
          </w:tcPr>
          <w:p>
            <w:pPr>
              <w:ind w:left="1800"/>
              <w:spacing w:after="0"/>
              <w:rPr>
                <w:sz w:val="20"/>
                <w:szCs w:val="20"/>
                <w:color w:val="auto"/>
              </w:rPr>
            </w:pPr>
            <w:r>
              <w:rPr>
                <w:rFonts w:ascii="Times New Roman" w:cs="Times New Roman" w:eastAsia="Times New Roman" w:hAnsi="Times New Roman"/>
                <w:sz w:val="18"/>
                <w:szCs w:val="18"/>
                <w:b w:val="1"/>
                <w:bCs w:val="1"/>
                <w:color w:val="auto"/>
                <w:w w:val="99"/>
              </w:rPr>
              <w:t>PennantPark Floating Rate Capital Ltd.</w:t>
            </w:r>
          </w:p>
        </w:tc>
      </w:tr>
      <w:tr>
        <w:trPr>
          <w:trHeight w:val="68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24, 2025</w:t>
            </w:r>
          </w:p>
        </w:tc>
        <w:tc>
          <w:tcPr>
            <w:tcW w:w="4900" w:type="dxa"/>
            <w:vAlign w:val="bottom"/>
            <w:gridSpan w:val="3"/>
          </w:tcPr>
          <w:p>
            <w:pPr>
              <w:ind w:left="180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6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640" w:type="dxa"/>
            <w:vAlign w:val="bottom"/>
          </w:tcPr>
          <w:p>
            <w:pPr>
              <w:spacing w:after="0"/>
              <w:rPr>
                <w:sz w:val="20"/>
                <w:szCs w:val="20"/>
                <w:color w:val="auto"/>
              </w:rPr>
            </w:pPr>
          </w:p>
        </w:tc>
      </w:tr>
      <w:tr>
        <w:trPr>
          <w:trHeight w:val="243"/>
        </w:trPr>
        <w:tc>
          <w:tcPr>
            <w:tcW w:w="366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603"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0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22"/>
          <w:szCs w:val="22"/>
          <w:b w:val="1"/>
          <w:bCs w:val="1"/>
          <w:color w:val="auto"/>
        </w:rPr>
        <w:t>PennantPark Floating Rate Capital Ltd. Announces Financial Results for the Fourth Quarter and Fiscal Year Ended September 30, 2025</w:t>
      </w:r>
    </w:p>
    <w:p>
      <w:pPr>
        <w:spacing w:after="0" w:line="154"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MIAMI, Nov. 24, 2025 (GLOBE NEWSWIRE) -- PennantPark Floating Rate Capital Ltd. (NYSE: PFLT) announced today its financial results for the fourth quarter and fiscal year ended September 30, 2025.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HIGHLIGHTS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Quarter ended September 30, 2025</w:t>
      </w:r>
    </w:p>
    <w:p>
      <w:pPr>
        <w:spacing w:after="0"/>
        <w:rPr>
          <w:sz w:val="20"/>
          <w:szCs w:val="20"/>
          <w:color w:val="auto"/>
        </w:rPr>
      </w:pPr>
      <w:r>
        <w:rPr>
          <w:rFonts w:ascii="Times New Roman" w:cs="Times New Roman" w:eastAsia="Times New Roman" w:hAnsi="Times New Roman"/>
          <w:sz w:val="22"/>
          <w:szCs w:val="22"/>
          <w:color w:val="auto"/>
        </w:rPr>
        <w:t>($ in millions, except per share amounts)</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279"/>
        </w:trPr>
        <w:tc>
          <w:tcPr>
            <w:tcW w:w="7120" w:type="dxa"/>
            <w:vAlign w:val="bottom"/>
          </w:tcPr>
          <w:p>
            <w:pPr>
              <w:spacing w:after="0"/>
              <w:rPr>
                <w:sz w:val="20"/>
                <w:szCs w:val="20"/>
                <w:color w:val="auto"/>
              </w:rPr>
            </w:pPr>
            <w:r>
              <w:rPr>
                <w:rFonts w:ascii="Times New Roman" w:cs="Times New Roman" w:eastAsia="Times New Roman" w:hAnsi="Times New Roman"/>
                <w:sz w:val="22"/>
                <w:szCs w:val="22"/>
                <w:color w:val="auto"/>
              </w:rPr>
              <w:t>Assets and Liabilities:</w:t>
            </w: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15"/>
        </w:trPr>
        <w:tc>
          <w:tcPr>
            <w:tcW w:w="7120" w:type="dxa"/>
            <w:vAlign w:val="bottom"/>
          </w:tcPr>
          <w:p>
            <w:pPr>
              <w:ind w:left="200"/>
              <w:spacing w:after="0" w:line="314" w:lineRule="exact"/>
              <w:rPr>
                <w:sz w:val="20"/>
                <w:szCs w:val="20"/>
                <w:color w:val="auto"/>
              </w:rPr>
            </w:pPr>
            <w:r>
              <w:rPr>
                <w:rFonts w:ascii="Times New Roman" w:cs="Times New Roman" w:eastAsia="Times New Roman" w:hAnsi="Times New Roman"/>
                <w:sz w:val="22"/>
                <w:szCs w:val="22"/>
                <w:color w:val="auto"/>
              </w:rPr>
              <w:t>Investment portfolio</w:t>
            </w:r>
            <w:r>
              <w:rPr>
                <w:rFonts w:ascii="Times New Roman" w:cs="Times New Roman" w:eastAsia="Times New Roman" w:hAnsi="Times New Roman"/>
                <w:sz w:val="35"/>
                <w:szCs w:val="35"/>
                <w:color w:val="auto"/>
                <w:vertAlign w:val="superscript"/>
              </w:rPr>
              <w:t>(1)</w:t>
            </w: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2,773.3</w:t>
            </w:r>
          </w:p>
        </w:tc>
      </w:tr>
      <w:tr>
        <w:trPr>
          <w:trHeight w:val="270"/>
        </w:trPr>
        <w:tc>
          <w:tcPr>
            <w:tcW w:w="71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Net assets</w:t>
            </w:r>
          </w:p>
        </w:tc>
        <w:tc>
          <w:tcPr>
            <w:tcW w:w="9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1,074.5</w:t>
            </w:r>
          </w:p>
        </w:tc>
      </w:tr>
      <w:tr>
        <w:trPr>
          <w:trHeight w:val="270"/>
        </w:trPr>
        <w:tc>
          <w:tcPr>
            <w:tcW w:w="71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GAAP net asset value per share</w:t>
            </w:r>
          </w:p>
        </w:tc>
        <w:tc>
          <w:tcPr>
            <w:tcW w:w="9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10.83</w:t>
            </w:r>
          </w:p>
        </w:tc>
      </w:tr>
      <w:tr>
        <w:trPr>
          <w:trHeight w:val="282"/>
        </w:trPr>
        <w:tc>
          <w:tcPr>
            <w:tcW w:w="71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Quarterly change in net asset value per share</w:t>
            </w: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933"/>
        </w:trPr>
        <w:tc>
          <w:tcPr>
            <w:tcW w:w="7120" w:type="dxa"/>
            <w:vAlign w:val="bottom"/>
          </w:tcPr>
          <w:p>
            <w:pPr>
              <w:spacing w:after="0"/>
              <w:rPr>
                <w:sz w:val="20"/>
                <w:szCs w:val="20"/>
                <w:color w:val="auto"/>
              </w:rPr>
            </w:pPr>
            <w:r>
              <w:rPr>
                <w:rFonts w:ascii="Times New Roman" w:cs="Times New Roman" w:eastAsia="Times New Roman" w:hAnsi="Times New Roman"/>
                <w:sz w:val="22"/>
                <w:szCs w:val="22"/>
                <w:color w:val="auto"/>
              </w:rPr>
              <w:t>Credit Facility</w:t>
            </w: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683.8</w:t>
            </w:r>
          </w:p>
        </w:tc>
      </w:tr>
      <w:tr>
        <w:trPr>
          <w:trHeight w:val="270"/>
        </w:trPr>
        <w:tc>
          <w:tcPr>
            <w:tcW w:w="7120" w:type="dxa"/>
            <w:vAlign w:val="bottom"/>
          </w:tcPr>
          <w:p>
            <w:pPr>
              <w:spacing w:after="0"/>
              <w:rPr>
                <w:sz w:val="20"/>
                <w:szCs w:val="20"/>
                <w:color w:val="auto"/>
              </w:rPr>
            </w:pPr>
            <w:r>
              <w:rPr>
                <w:rFonts w:ascii="Times New Roman" w:cs="Times New Roman" w:eastAsia="Times New Roman" w:hAnsi="Times New Roman"/>
                <w:sz w:val="22"/>
                <w:szCs w:val="22"/>
                <w:color w:val="auto"/>
              </w:rPr>
              <w:t>2036 Asset-Backed Debt, net of unamortized deferred financing costs</w:t>
            </w:r>
          </w:p>
        </w:tc>
        <w:tc>
          <w:tcPr>
            <w:tcW w:w="9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284.6</w:t>
            </w:r>
          </w:p>
        </w:tc>
      </w:tr>
      <w:tr>
        <w:trPr>
          <w:trHeight w:val="270"/>
        </w:trPr>
        <w:tc>
          <w:tcPr>
            <w:tcW w:w="7120" w:type="dxa"/>
            <w:vAlign w:val="bottom"/>
          </w:tcPr>
          <w:p>
            <w:pPr>
              <w:spacing w:after="0"/>
              <w:rPr>
                <w:sz w:val="20"/>
                <w:szCs w:val="20"/>
                <w:color w:val="auto"/>
              </w:rPr>
            </w:pPr>
            <w:r>
              <w:rPr>
                <w:rFonts w:ascii="Times New Roman" w:cs="Times New Roman" w:eastAsia="Times New Roman" w:hAnsi="Times New Roman"/>
                <w:sz w:val="22"/>
                <w:szCs w:val="22"/>
                <w:color w:val="auto"/>
              </w:rPr>
              <w:t>2036-R Asset-Backed Debt, net of unamortized deferred financing costs</w:t>
            </w:r>
          </w:p>
        </w:tc>
        <w:tc>
          <w:tcPr>
            <w:tcW w:w="9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265.4</w:t>
            </w:r>
          </w:p>
        </w:tc>
      </w:tr>
      <w:tr>
        <w:trPr>
          <w:trHeight w:val="270"/>
        </w:trPr>
        <w:tc>
          <w:tcPr>
            <w:tcW w:w="7120" w:type="dxa"/>
            <w:vAlign w:val="bottom"/>
          </w:tcPr>
          <w:p>
            <w:pPr>
              <w:spacing w:after="0"/>
              <w:rPr>
                <w:sz w:val="20"/>
                <w:szCs w:val="20"/>
                <w:color w:val="auto"/>
              </w:rPr>
            </w:pPr>
            <w:r>
              <w:rPr>
                <w:rFonts w:ascii="Times New Roman" w:cs="Times New Roman" w:eastAsia="Times New Roman" w:hAnsi="Times New Roman"/>
                <w:sz w:val="22"/>
                <w:szCs w:val="22"/>
                <w:color w:val="auto"/>
              </w:rPr>
              <w:t>2037 Asset-Backed Debt, net of unamortized deferred financing costs</w:t>
            </w:r>
          </w:p>
        </w:tc>
        <w:tc>
          <w:tcPr>
            <w:tcW w:w="9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358.3</w:t>
            </w:r>
          </w:p>
        </w:tc>
      </w:tr>
      <w:tr>
        <w:trPr>
          <w:trHeight w:val="270"/>
        </w:trPr>
        <w:tc>
          <w:tcPr>
            <w:tcW w:w="7120" w:type="dxa"/>
            <w:vAlign w:val="bottom"/>
          </w:tcPr>
          <w:p>
            <w:pPr>
              <w:spacing w:after="0"/>
              <w:rPr>
                <w:sz w:val="20"/>
                <w:szCs w:val="20"/>
                <w:color w:val="auto"/>
              </w:rPr>
            </w:pPr>
            <w:r>
              <w:rPr>
                <w:rFonts w:ascii="Times New Roman" w:cs="Times New Roman" w:eastAsia="Times New Roman" w:hAnsi="Times New Roman"/>
                <w:sz w:val="22"/>
                <w:szCs w:val="22"/>
                <w:color w:val="auto"/>
              </w:rPr>
              <w:t>2026 Notes, net of unamortized deferred financing costs</w:t>
            </w:r>
          </w:p>
        </w:tc>
        <w:tc>
          <w:tcPr>
            <w:tcW w:w="9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184.6</w:t>
            </w:r>
          </w:p>
        </w:tc>
      </w:tr>
      <w:tr>
        <w:trPr>
          <w:trHeight w:val="270"/>
        </w:trPr>
        <w:tc>
          <w:tcPr>
            <w:tcW w:w="7120" w:type="dxa"/>
            <w:vAlign w:val="bottom"/>
          </w:tcPr>
          <w:p>
            <w:pPr>
              <w:spacing w:after="0"/>
              <w:rPr>
                <w:sz w:val="20"/>
                <w:szCs w:val="20"/>
                <w:color w:val="auto"/>
              </w:rPr>
            </w:pPr>
            <w:r>
              <w:rPr>
                <w:rFonts w:ascii="Times New Roman" w:cs="Times New Roman" w:eastAsia="Times New Roman" w:hAnsi="Times New Roman"/>
                <w:sz w:val="22"/>
                <w:szCs w:val="22"/>
                <w:color w:val="auto"/>
              </w:rPr>
              <w:t>Regulatory debt to equity</w:t>
            </w:r>
          </w:p>
        </w:tc>
        <w:tc>
          <w:tcPr>
            <w:tcW w:w="9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1.66x</w:t>
            </w:r>
          </w:p>
        </w:tc>
      </w:tr>
      <w:tr>
        <w:trPr>
          <w:trHeight w:val="282"/>
        </w:trPr>
        <w:tc>
          <w:tcPr>
            <w:tcW w:w="7120" w:type="dxa"/>
            <w:vAlign w:val="bottom"/>
          </w:tcPr>
          <w:p>
            <w:pPr>
              <w:spacing w:after="0"/>
              <w:rPr>
                <w:sz w:val="20"/>
                <w:szCs w:val="20"/>
                <w:color w:val="auto"/>
              </w:rPr>
            </w:pPr>
            <w:r>
              <w:rPr>
                <w:rFonts w:ascii="Times New Roman" w:cs="Times New Roman" w:eastAsia="Times New Roman" w:hAnsi="Times New Roman"/>
                <w:sz w:val="22"/>
                <w:szCs w:val="22"/>
                <w:color w:val="auto"/>
              </w:rPr>
              <w:t>Weighted average yield on debt investments at quarter-end</w:t>
            </w: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w:t>
            </w:r>
          </w:p>
        </w:tc>
      </w:tr>
      <w:tr>
        <w:trPr>
          <w:trHeight w:val="929"/>
        </w:trPr>
        <w:tc>
          <w:tcPr>
            <w:tcW w:w="7120" w:type="dxa"/>
            <w:vAlign w:val="bottom"/>
          </w:tcPr>
          <w:p>
            <w:pPr>
              <w:spacing w:after="0"/>
              <w:rPr>
                <w:sz w:val="24"/>
                <w:szCs w:val="24"/>
                <w:color w:val="auto"/>
              </w:rPr>
            </w:pPr>
          </w:p>
        </w:tc>
        <w:tc>
          <w:tcPr>
            <w:tcW w:w="2420" w:type="dxa"/>
            <w:vAlign w:val="bottom"/>
            <w:gridSpan w:val="2"/>
          </w:tcPr>
          <w:p>
            <w:pPr>
              <w:jc w:val="center"/>
              <w:ind w:left="752"/>
              <w:spacing w:after="0"/>
              <w:rPr>
                <w:sz w:val="20"/>
                <w:szCs w:val="20"/>
                <w:color w:val="auto"/>
              </w:rPr>
            </w:pPr>
            <w:r>
              <w:rPr>
                <w:rFonts w:ascii="Times New Roman" w:cs="Times New Roman" w:eastAsia="Times New Roman" w:hAnsi="Times New Roman"/>
                <w:sz w:val="22"/>
                <w:szCs w:val="22"/>
                <w:b w:val="1"/>
                <w:bCs w:val="1"/>
                <w:color w:val="auto"/>
                <w:w w:val="97"/>
              </w:rPr>
              <w:t>Quarter Ended</w:t>
            </w:r>
          </w:p>
        </w:tc>
        <w:tc>
          <w:tcPr>
            <w:tcW w:w="24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Year Ended</w:t>
            </w:r>
          </w:p>
        </w:tc>
      </w:tr>
      <w:tr>
        <w:trPr>
          <w:trHeight w:val="243"/>
        </w:trPr>
        <w:tc>
          <w:tcPr>
            <w:tcW w:w="7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4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September 30,</w:t>
            </w:r>
          </w:p>
        </w:tc>
        <w:tc>
          <w:tcPr>
            <w:tcW w:w="240" w:type="dxa"/>
            <w:vAlign w:val="bottom"/>
          </w:tcPr>
          <w:p>
            <w:pPr>
              <w:spacing w:after="0"/>
              <w:rPr>
                <w:sz w:val="21"/>
                <w:szCs w:val="21"/>
                <w:color w:val="auto"/>
              </w:rPr>
            </w:pPr>
          </w:p>
        </w:tc>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September 30,</w:t>
            </w:r>
          </w:p>
        </w:tc>
      </w:tr>
      <w:tr>
        <w:trPr>
          <w:trHeight w:val="286"/>
        </w:trPr>
        <w:tc>
          <w:tcPr>
            <w:tcW w:w="7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9"/>
              </w:rPr>
              <w:t>2025</w:t>
            </w:r>
          </w:p>
        </w:tc>
        <w:tc>
          <w:tcPr>
            <w:tcW w:w="24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2025</w:t>
            </w:r>
          </w:p>
        </w:tc>
      </w:tr>
      <w:tr>
        <w:trPr>
          <w:trHeight w:val="528"/>
        </w:trPr>
        <w:tc>
          <w:tcPr>
            <w:tcW w:w="7120" w:type="dxa"/>
            <w:vAlign w:val="bottom"/>
          </w:tcPr>
          <w:p>
            <w:pPr>
              <w:spacing w:after="0"/>
              <w:rPr>
                <w:sz w:val="20"/>
                <w:szCs w:val="20"/>
                <w:color w:val="auto"/>
              </w:rPr>
            </w:pPr>
            <w:r>
              <w:rPr>
                <w:rFonts w:ascii="Times New Roman" w:cs="Times New Roman" w:eastAsia="Times New Roman" w:hAnsi="Times New Roman"/>
                <w:sz w:val="22"/>
                <w:szCs w:val="22"/>
                <w:color w:val="auto"/>
              </w:rPr>
              <w:t>Operating Results:</w:t>
            </w: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Net investment income</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27.5</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107.2</w:t>
            </w:r>
          </w:p>
        </w:tc>
      </w:tr>
      <w:tr>
        <w:trPr>
          <w:trHeight w:val="279"/>
        </w:trPr>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Net investment income per share (GAAP)</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0.28</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1.16</w:t>
            </w:r>
          </w:p>
        </w:tc>
      </w:tr>
      <w:tr>
        <w:trPr>
          <w:trHeight w:val="315"/>
        </w:trPr>
        <w:tc>
          <w:tcPr>
            <w:tcW w:w="7120" w:type="dxa"/>
            <w:vAlign w:val="bottom"/>
          </w:tcPr>
          <w:p>
            <w:pPr>
              <w:ind w:left="120"/>
              <w:spacing w:after="0" w:line="314" w:lineRule="exact"/>
              <w:rPr>
                <w:sz w:val="20"/>
                <w:szCs w:val="20"/>
                <w:color w:val="auto"/>
              </w:rPr>
            </w:pPr>
            <w:r>
              <w:rPr>
                <w:rFonts w:ascii="Times New Roman" w:cs="Times New Roman" w:eastAsia="Times New Roman" w:hAnsi="Times New Roman"/>
                <w:sz w:val="22"/>
                <w:szCs w:val="22"/>
                <w:color w:val="auto"/>
              </w:rPr>
              <w:t>Core net investment income per share</w:t>
            </w:r>
            <w:r>
              <w:rPr>
                <w:rFonts w:ascii="Times New Roman" w:cs="Times New Roman" w:eastAsia="Times New Roman" w:hAnsi="Times New Roman"/>
                <w:sz w:val="35"/>
                <w:szCs w:val="35"/>
                <w:color w:val="auto"/>
                <w:vertAlign w:val="superscript"/>
              </w:rPr>
              <w:t>(2)</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0.28</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1.18</w:t>
            </w:r>
          </w:p>
        </w:tc>
      </w:tr>
      <w:tr>
        <w:trPr>
          <w:trHeight w:val="282"/>
        </w:trPr>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Distributions declared per share</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0.31</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1.23</w:t>
            </w:r>
          </w:p>
        </w:tc>
      </w:tr>
      <w:tr>
        <w:trPr>
          <w:trHeight w:val="528"/>
        </w:trPr>
        <w:tc>
          <w:tcPr>
            <w:tcW w:w="7120" w:type="dxa"/>
            <w:vAlign w:val="bottom"/>
          </w:tcPr>
          <w:p>
            <w:pPr>
              <w:spacing w:after="0"/>
              <w:rPr>
                <w:sz w:val="20"/>
                <w:szCs w:val="20"/>
                <w:color w:val="auto"/>
              </w:rPr>
            </w:pPr>
            <w:r>
              <w:rPr>
                <w:rFonts w:ascii="Times New Roman" w:cs="Times New Roman" w:eastAsia="Times New Roman" w:hAnsi="Times New Roman"/>
                <w:sz w:val="22"/>
                <w:szCs w:val="22"/>
                <w:color w:val="auto"/>
              </w:rPr>
              <w:t>Portfolio Activity:</w:t>
            </w: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Purchases of investments</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633.0</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1,741.3</w:t>
            </w:r>
          </w:p>
        </w:tc>
      </w:tr>
      <w:tr>
        <w:trPr>
          <w:trHeight w:val="282"/>
        </w:trPr>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Sales and repayments of investments</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256.2</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925.7</w:t>
            </w:r>
          </w:p>
        </w:tc>
      </w:tr>
      <w:tr>
        <w:trPr>
          <w:trHeight w:val="528"/>
        </w:trPr>
        <w:tc>
          <w:tcPr>
            <w:tcW w:w="7120" w:type="dxa"/>
            <w:vAlign w:val="bottom"/>
          </w:tcPr>
          <w:p>
            <w:pPr>
              <w:spacing w:after="0"/>
              <w:rPr>
                <w:sz w:val="20"/>
                <w:szCs w:val="20"/>
                <w:color w:val="auto"/>
              </w:rPr>
            </w:pPr>
            <w:r>
              <w:rPr>
                <w:rFonts w:ascii="Times New Roman" w:cs="Times New Roman" w:eastAsia="Times New Roman" w:hAnsi="Times New Roman"/>
                <w:sz w:val="22"/>
                <w:szCs w:val="22"/>
                <w:color w:val="auto"/>
              </w:rPr>
              <w:t>PSSL Portfolio data:</w:t>
            </w: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PSSL investment portfolio</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1,084.6</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1,084.6</w:t>
            </w:r>
          </w:p>
        </w:tc>
      </w:tr>
      <w:tr>
        <w:trPr>
          <w:trHeight w:val="270"/>
        </w:trPr>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Purchases of investments</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88.7</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425.9</w:t>
            </w:r>
          </w:p>
        </w:tc>
      </w:tr>
      <w:tr>
        <w:trPr>
          <w:trHeight w:val="282"/>
        </w:trPr>
        <w:tc>
          <w:tcPr>
            <w:tcW w:w="7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Sales and repayments of investments</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51.0</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228.2</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206" w:lineRule="exact"/>
        <w:rPr>
          <w:sz w:val="20"/>
          <w:szCs w:val="20"/>
          <w:color w:val="auto"/>
        </w:rPr>
      </w:pPr>
    </w:p>
    <w:p>
      <w:pPr>
        <w:ind w:right="360" w:firstLine="8"/>
        <w:spacing w:after="0" w:line="258" w:lineRule="auto"/>
        <w:tabs>
          <w:tab w:leader="none" w:pos="30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Includes investments in PennantPark Senior Secured Loan Fund I LLC, or PSSL, an unconsolidated joint venture, totaling $282.0 million, at fair value.</w:t>
      </w:r>
    </w:p>
    <w:p>
      <w:pPr>
        <w:spacing w:after="0" w:line="158" w:lineRule="exact"/>
        <w:rPr>
          <w:rFonts w:ascii="Times New Roman" w:cs="Times New Roman" w:eastAsia="Times New Roman" w:hAnsi="Times New Roman"/>
          <w:sz w:val="22"/>
          <w:szCs w:val="22"/>
          <w:color w:val="auto"/>
        </w:rPr>
      </w:pPr>
    </w:p>
    <w:p>
      <w:pPr>
        <w:jc w:val="both"/>
        <w:ind w:firstLine="8"/>
        <w:spacing w:after="0" w:line="236" w:lineRule="auto"/>
        <w:tabs>
          <w:tab w:leader="none" w:pos="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Core net investment income (“Core NII”) is a non-GAAP financial measure. The Company believes that Core NII provides useful information to investors and management because it reflects the Company's financial performance excluding one-time or non-recurring investment income and expenses. The presentation of this additional information is not meant to be considered in isolation or as a substitute for financial results prepared in accordance with GAAP. For the quarter ended September 30, 2025, there were no one-time events resulting in $0.28 of Core NII. For the year ended September 30, 2025, Core NII excluded: i) $3.3m of credit facility amendment costs and ii) $1.3m of incentive fee expense offset.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 AT 9:00 A.M. ET ON November 25, 2025</w:t>
      </w:r>
    </w:p>
    <w:p>
      <w:pPr>
        <w:sectPr>
          <w:pgSz w:w="11900" w:h="16838" w:orient="portrait"/>
          <w:cols w:equalWidth="0" w:num="1">
            <w:col w:w="11240"/>
          </w:cols>
          <w:pgMar w:left="320" w:top="108" w:right="339" w:bottom="0" w:gutter="0" w:footer="0" w:header="0"/>
        </w:sectPr>
      </w:pPr>
    </w:p>
    <w:bookmarkStart w:id="4" w:name="page5"/>
    <w:bookmarkEnd w:id="4"/>
    <w:p>
      <w:pPr>
        <w:jc w:val="both"/>
        <w:spacing w:after="0" w:line="236" w:lineRule="auto"/>
        <w:rPr>
          <w:sz w:val="20"/>
          <w:szCs w:val="20"/>
          <w:color w:val="auto"/>
        </w:rPr>
      </w:pPr>
      <w:r>
        <w:rPr>
          <w:rFonts w:ascii="Times New Roman" w:cs="Times New Roman" w:eastAsia="Times New Roman" w:hAnsi="Times New Roman"/>
          <w:sz w:val="22"/>
          <w:szCs w:val="22"/>
          <w:color w:val="auto"/>
        </w:rPr>
        <w:t>PennantPark Floating Rate Capital Ltd. ("we", "our", "us", or the "Company") will also host a conference call at 9:00 a.m. (Eastern Time) on Tuesday, November 25, 2025 to discuss its financial results. All interested parties are welcome to participate. You can access the conference call by dialing toll-free (800) 330-6710 approximately 5-10 minutes prior to the call. International callers should dial (646) 769-9200. All callers should reference conference ID #4736718 or PennantPark Floating Rate Capital Ltd. An archived replay will also be available on a webcast link located on the Quarterly Earnings page in the Investor section of PennantPark’s website.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PORTFOLIO AND INVESTMENT ACTIVITY</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"Our investment portfolio continues to perform well and we remain confident in the continued resilience of the portfolio, supported by our disciplined focus on the core middle market. Investments in the core middle market typically feature attractive credit spreads, lower leverage, and enhanced lender protections relative to the upper middle market. Our portfolio has among the lowest PIK interest in the industry of only 1.8%, which is a result of our lower risk core middle market loans" said Art Penn, Chairman and CEO. “Our NII remains stable given the interest rate environment and we are targeting growth in our NII as we ramp the new joint venture. We expect our dividend policy to remain stable at the present time, with support from a growing net investment income and to the extent necessary, spillover income of 25 cents per share," added Mr. Penn.</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As of September 30, 2025, our portfolio totaled $2,773.3 million, and consisted of $2,513.6 million of first lien secured debt (including $237.7 million in PSSL), $19.0 million of second lien and subordinated debt and $240.7 million of preferred and common equity (including $44.3 million in PSSL). Our debt portfolio consisted of approximately 99% variable-rate investments. As of September 30, 2025, we had three portfolio companies on non-accrual, representing 0.4% and 0.2% of our overall portfolio on a cost and fair value basis, respectively. As of September 30, 2025, the portfolio had net unrealized depreciation of $46.1 million. Our overall portfolio consisted of 164 companies with an average investment size of $16.9 million and had a weighted average yield on debt investments of 10.2%.</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As of September 30, 2024, our portfolio totaled $1,983.5 million and consisted of $1,746.7 million of first lien secured debt (including $237.7 million in PSSL), $2.7 million of second lien secured debt and subordinated debt and $234.1 million of preferred and common equity (including $56.5 million in PSSL). Our debt portfolio consisted of approximately 100% variable-rate investments. As of September 30, 2024, we had two portfolio companies on non-accrual, representing 0.4% and 0.2% of our overall portfolio on a cost and fair value basis, respectively. As of September 30, 2024, the portfolio had net unrealized depreciation of $11.4 million. Our overall portfolio consisted of 158 companies with an average investment size of $12.6 million, and a weighted average yield on debt investments of 11.5%.</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For the three months ended September 30, 2025, we invested $633.0 million in 11 new and 105 existing portfolio companies at a weighted average yield on debt investments of 10.5%. Sales and repayments of investments for the same period totaled $256.2 million. For the year ended September 30, 2025, we invested $1,741.3 million in 29 new and 205 existing portfolio companies with a weighted average yield on debt investments of 10.3%. Sales and repayments of investments for the same period totaled $925.7 million.</w:t>
      </w:r>
    </w:p>
    <w:p>
      <w:pPr>
        <w:spacing w:after="0" w:line="17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For the three months ended September 30, 2024, we invested $445.8 million in 10 new and 50 existing portfolio companies at a weighted average yield on debt investments of 11.0%. For the three months ended September 30, 2024, sales and repayments of investments totaled $127.9 million. For the year ended September 30, 2024, we invested $1,407.5 million in 43 new and 91 existing portfolio companies at a weighted average yield on debt investments of 11.4%. For the year ended September 30, 2024, sales and repayments of investments totaled $514.1 million.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PennantPark Senior Secured Loan Fund I LLC</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As of September 30, 2025, PSSL’s portfolio totaled $1,084.6 million and consisted of 117 companies with an average investment size of $9.3 million and had a weighted average yield on debt investments of 10.1%. As of September 30, 2024, PSSL’s portfolio totaled $913.3 million, consisted of 109 companies with an average investment size of $8.4 million and had a weighted average yield on debt investments of 11.4%.</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For the three months ended September 30, 2025, PSSL invested $88.7 million in four new and 14 existing portfolio companies with a weighted average yield on debt investments of 9.7%. Sales and repayments of investments for the three months ended September 30, 2025 totaled $51.0 million. For the year ended September 30, 2025, PSSL invested $425.9 million, including $379.7 million purchased from the Company, in 28 new and 26 existing portfolio companies with a weighted average yield on debt investments of 10.2%. PSSL’s sales and repayments of investments for the same period totaled $228.2 million.</w:t>
      </w:r>
    </w:p>
    <w:p>
      <w:pPr>
        <w:spacing w:after="0" w:line="17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For the three months ended September 30, 2024, PSSL invested $45.8 million in five new and 26 existing portfolio companies at a weighted average yield on debt investments of 11.3%. Sales and repayments of investments for the three months ended September 30, 2024 totaled $35.9 million. For the year ended September 30, 2024, PSSL invested $286.2 million, including $253.6 million purchased from the Company, in 24 new and 36 existing portfolio companies at a weighted average yield on debt investments of 11.7%. Sales and repayments of investments for the year ended September 30, 2024 totaled $160.1 million.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Set forth below are the results of operations for the three months and year ended September 30, 2025 and 2024.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Investment Income</w:t>
      </w:r>
    </w:p>
    <w:p>
      <w:pPr>
        <w:sectPr>
          <w:pgSz w:w="11900" w:h="16838" w:orient="portrait"/>
          <w:cols w:equalWidth="0" w:num="1">
            <w:col w:w="11240"/>
          </w:cols>
          <w:pgMar w:left="320" w:top="112" w:right="339" w:bottom="0" w:gutter="0" w:footer="0" w:header="0"/>
        </w:sectPr>
      </w:pPr>
    </w:p>
    <w:bookmarkStart w:id="5" w:name="page6"/>
    <w:bookmarkEnd w:id="5"/>
    <w:p>
      <w:pPr>
        <w:jc w:val="both"/>
        <w:spacing w:after="0" w:line="236" w:lineRule="auto"/>
        <w:rPr>
          <w:sz w:val="20"/>
          <w:szCs w:val="20"/>
          <w:color w:val="auto"/>
        </w:rPr>
      </w:pPr>
      <w:r>
        <w:rPr>
          <w:rFonts w:ascii="Times New Roman" w:cs="Times New Roman" w:eastAsia="Times New Roman" w:hAnsi="Times New Roman"/>
          <w:sz w:val="22"/>
          <w:szCs w:val="22"/>
          <w:color w:val="auto"/>
        </w:rPr>
        <w:t>For the three months and year ended September 30, 2025 investment income was $69.0 million and $261.4 million, respectively, which was attributable to $63.6 million and $238.7 million from first lien secured debt and $5.4 million and $22.7 million from other investments, respectively. For the three months and year ended September 30, 2024, investment income was $55.5 million and $186.4 million, respectively, which was attributable to $49.2 million and $164.3 million from first lien secured debt and $6.3 million and $22.1 million from other investments, respectively. The increase in investment income for the three months and year ended September 30, 2025, was primarily due to the increase in the size of the debt portfolio.</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Expenses</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For the three months and year ended September 30, 2025, expenses totaled $41.4 million and $154.3 million, respectively and were comprised of: $25.8 million and $96.5 million of debt related interest and expenses, $6.5 million and $23.3 million of base management fees, $6.9 million and $26.0 million of performance-based incentive fees, $2.0 million and $7.5 million of general and administrative expenses, $0.2 million and $0.9 million of taxes. For the three months and year ended September 30, 2024, expenses totaled $37.5 million and $108.6 million, respectively and were comprised of: $27.8 million and $67.9 million of debt related interest and expenses, $4.6 million and $14.9 million of base management fees, $3.2 million and $18.1 million of performance-based incentive fees, $1.7 million and $6.7 million of general and administrative expenses and $0.2 million and $1.1 million of taxes. The increase in expenses for the three months and year ended September 30, 2025, was primarily due to the increase in interest expense from increased borrowings and an increase in base management fees and incentive fee as a result of the increase in our investment portfolio.</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Net Investment Income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For the three months and year ended September 30, 2025 net investment income totaled $27.5 million or $0.28 per share, and $107.2 million or $1.16 per share, respectively. For the three months and year ended September 30, 2024, net investment income totaled $18.0 million or $0.24 per share, and $77.7 million or $1.18 per share, respectively. The increase in net investment income for the three months and year ended September 30, 2025, was primarily due to an increase in the size of our debt portfolio.</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Net Realized Gains or Losses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For the three months and year ended September 30, 2025 net realized gains (losses) totaled $(14.3) million and $(5.9) million, respectively. For the three months and year ended September 30, 2024, net realized gains (losses) totaled $(0.3) million and $0.2 million, respectively. The change in net realized gains (losses) was primarily due to changes in the market conditions of our investments and the values at which they were realized.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Unrealized Appreciation or Depreciation on Investments and Debt</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the three months and year ended September 30, 2025 we reported net change in unrealized appreciation (depreciation) on investments of $5.2 million and $(34.6) million, respectively. For the three months and year ended September 30, 2024, we reported net change in unrealized appreciation (depreciation) on investments of $4.3 million and $14.3 million, respectively. As of September 30, 2025 and September 30, 2024, our net unrealized appreciation (depreciation) on investments totaled $(46.1) million and $(11.4) million, respectively. The net change in unrealized appreciation (depreciation) on our investments was primarily due to the operating performance of the portfolio companies within our portfolio, changes in the capital market conditions of our investments and realization of investments.</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For the three months and year ended September 30, 2025, our Credit Facility had a net change in unrealized appreciation (depreciation) of less than $0.1 million and less than $0.1 million, respectively. For the three months and year ended September 30, 2024, our Credit Facility had a net change in unrealized appreciation (depreciation) of less then $(0.1) million, respectively. As of September 30, 2025 and September 30, 2024, the net unrealized appreciation (depreciation) on the Credit Facility totaled zero and zero, respectively. The net change in net unrealized (appreciation) or depreciation was primarily due to changes in the capital markets.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Net Change in Net Assets Resulting from Operations</w:t>
      </w:r>
    </w:p>
    <w:p>
      <w:pPr>
        <w:spacing w:after="0" w:line="2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For the three months and year ended September 30, 2025, net increase (decrease) in net assets resulting from operations totaled $17.5 million or $0.18 per share and $66.4 million or $0.72 per share, respectively. For the three months and year ended September 30, 2024, net increase (decrease) in net assets resulting from operations totaled $21.3 million or $0.29 per share and $91.8 million, or $1.40 per share, respectively. The net decrease from operations for the three months and year ended September 30, 2025, was primarily due to depreciation of the portfolio driven by changes in capital market conditions of our investments.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Our liquidity and capital resources are derived primarily from cash flows from operations, including income earned, proceeds from investment sales and repayments, and proceeds of securities offerings and debt financings. Our primary use of funds from operations includes investments in portfolio companies and payments of fees and other operating expenses we incur. We have used, and expect to continue to use, our debt capital, proceeds from our portfolio and proceeds from public and private offerings of securities to finance our investment objectives and operations.</w:t>
      </w:r>
    </w:p>
    <w:p>
      <w:pPr>
        <w:sectPr>
          <w:pgSz w:w="11900" w:h="16838" w:orient="portrait"/>
          <w:cols w:equalWidth="0" w:num="1">
            <w:col w:w="11240"/>
          </w:cols>
          <w:pgMar w:left="320" w:top="111" w:right="339" w:bottom="192" w:gutter="0" w:footer="0" w:header="0"/>
        </w:sectPr>
      </w:pPr>
    </w:p>
    <w:bookmarkStart w:id="6" w:name="page7"/>
    <w:bookmarkEnd w:id="6"/>
    <w:p>
      <w:pPr>
        <w:jc w:val="both"/>
        <w:spacing w:after="0"/>
        <w:rPr>
          <w:sz w:val="20"/>
          <w:szCs w:val="20"/>
          <w:color w:val="auto"/>
        </w:rPr>
      </w:pPr>
      <w:r>
        <w:rPr>
          <w:rFonts w:ascii="Times New Roman" w:cs="Times New Roman" w:eastAsia="Times New Roman" w:hAnsi="Times New Roman"/>
          <w:sz w:val="22"/>
          <w:szCs w:val="22"/>
          <w:color w:val="auto"/>
        </w:rPr>
        <w:t>For the year ended September 30, 2025 and 2024, the annualized weighted average cost of debt, inclusive of the fee on the undrawn commitment on the Credit Facility, amendment costs and debt issuance costs, was 6.8% and 8.5%, respectively. As of September 30, 2025 and September 30, 2024, we had $34.1 million and $192.1 million of unused borrowing capacity under the Credit Facility, respectively, subject to leverage and borrowing base restrictions.</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PennantPark Floating Rate Capital Ltd.'s credit facility has commitments of $718 million as of September 30, 2025, pricing of SOFR plus 200 basis points, revolving period ending August 2028, and a maturity date of August 2030.</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of September 30, 2025 and September 30, 2024, we had cash equivalents of $122.7 million and $112.1 million, respectively, available for investing and general corporate purposes. We believe our liquidity and capital resources are sufficient to take advantage of market opportunities.</w:t>
      </w:r>
    </w:p>
    <w:p>
      <w:pPr>
        <w:spacing w:after="0" w:line="17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During the three months and year ended September 30, 2025 we issued zero shares and 21,638,000 shares of our common stock through the ATM Program, respectively at an average price of zero and $11.34 per share raising zero and $244.8 million of net proceeds after commissions to the Sales Agents and inclusive of proceeds from the Investment Adviser to ensure that all shares were sold at or above NAV, respectively. During the three months and year ended September 30, 2024, we issued 5,581,758 and 18,845,194 shares of common stock through the ATM Program at an average price of $11.23 per share and $11.35 per share, raising $62.7 million and $213.3 million of net proceeds after commissions to the Sales Agents and inclusive of proceeds from the Investment Adviser to ensure that all shares were sold at or above NAV, respectively.</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For the year ended September 30, 2025, our operating activities used cash of $720.6 million and our financing activities provided cash of $731.2 million. Our operating activities used cash primarily for our investment activities and our financing activities provided cash primarily from proceeds from ATM Program, borrowings under our Credit Facility and issuances of asset-backed debt.</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For the year ended September 30, 2024, our operating activities used cash of $801.4 million and our financing activities provided cash of $812.9 million. Our operating activities used cash primarily from our investment activities and our financing activities provided cash primarily due to proceeds from ATM program, borrowings under our Credit Facility and issuances of asset-backed debt.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DISTRIBUTIONS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During the three months and year ended September 30, 2025 we declared distributions of $0.31 and $1.23 per share for total distributions of $30.5 million and $113.9 million, respectively. During the three months and year ended September 30, 2024, we declared distributions of $0.31 and $1.23 per share for total distributions of $22.7 million and $80.6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RECENT DEVELOPMENTS</w:t>
      </w:r>
    </w:p>
    <w:p>
      <w:pPr>
        <w:spacing w:after="0" w:line="21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In August 2025, the Company formed PennantPark Senior Secured Loan Fund II, LLC ("PSSL II"), a joint venture with a fund managed by Hamilton Lane ("HL"). PSSL II is expected to invest primarily in middle market loans consistent with PFLT’s core origination and underwriting strategy. PFLT and HL have committed to provide a combined $200 million of notes and equity to the joint venture, with PFLT providing $150 million and HL providing $50 million. PSSL II intends to add a financing facility of $300 million which will enable the portfolio to grow to $500 million initially. In November 2025, PSSL II entered into a $150 million senior secured revolving credit facility, with an accordion up to $350 million, which bears interest at SOFR plus 175 basis points with Goldman Sachs Bank USA ("the GS credit facility"), through its wholly owned subsidiary, PSSL II SPV LLC (the "SPV"), subject to leverage and borrowing base restrictions. The GS credit facility matures November 25, 2030 and is secured by substantially all of the assets held by the SPV. As of November 24, 2025, PSSL II's portfolio totaled $191 million.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September 2025, the Company announced that it acquired a portfolio of high quality, well known assets totaling approximately $250 million which the Company projects will be accretive to Core NII by one to two cents per share, quarterly.</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Subsequent to quarter end, the Company sold $118 million of assets to PSSL and $191 million of assets to PSSL II. The net proceeds were used to paydown our Credit Facility and reduce our debt to equity ratio to 1.41x, which is at the lower end of our target range of 1.4x-1.6x.</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AVAILABLE INFORMATION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The Company makes available on its website its Annual Report on Form 10-K filed with the SEC, and stockholders may find such report on its website at </w:t>
      </w:r>
      <w:r>
        <w:rPr>
          <w:rFonts w:ascii="Times New Roman" w:cs="Times New Roman" w:eastAsia="Times New Roman" w:hAnsi="Times New Roman"/>
          <w:sz w:val="22"/>
          <w:szCs w:val="22"/>
          <w:u w:val="single" w:color="auto"/>
          <w:color w:val="auto"/>
        </w:rPr>
        <w:t>www.pennantpark.com</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38" w:lineRule="exact"/>
        <w:rPr>
          <w:sz w:val="20"/>
          <w:szCs w:val="20"/>
          <w:color w:val="auto"/>
        </w:rPr>
      </w:pPr>
    </w:p>
    <w:p>
      <w:pPr>
        <w:jc w:val="center"/>
        <w:spacing w:after="0" w:line="246" w:lineRule="auto"/>
        <w:rPr>
          <w:sz w:val="20"/>
          <w:szCs w:val="20"/>
          <w:color w:val="auto"/>
        </w:rPr>
      </w:pPr>
      <w:r>
        <w:rPr>
          <w:rFonts w:ascii="Times New Roman" w:cs="Times New Roman" w:eastAsia="Times New Roman" w:hAnsi="Times New Roman"/>
          <w:sz w:val="22"/>
          <w:szCs w:val="22"/>
          <w:b w:val="1"/>
          <w:bCs w:val="1"/>
          <w:color w:val="auto"/>
        </w:rPr>
        <w:t>PENNANTPARK FLOATING RATE CAPITAL LTD. AND SUBSIDIARIES CONSOLIDATED STATEMENTS OF ASSETS AND LIABILITIES (in thousands, except per share data)</w:t>
      </w:r>
    </w:p>
    <w:p>
      <w:pPr>
        <w:sectPr>
          <w:pgSz w:w="11900" w:h="16838" w:orient="portrait"/>
          <w:cols w:equalWidth="0" w:num="1">
            <w:col w:w="11240"/>
          </w:cols>
          <w:pgMar w:left="320" w:top="111" w:right="33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3"/>
        </w:trPr>
        <w:tc>
          <w:tcPr>
            <w:tcW w:w="7960" w:type="dxa"/>
            <w:vAlign w:val="bottom"/>
          </w:tcPr>
          <w:p>
            <w:pPr>
              <w:spacing w:after="0"/>
              <w:rPr>
                <w:sz w:val="22"/>
                <w:szCs w:val="22"/>
                <w:color w:val="auto"/>
              </w:rPr>
            </w:pPr>
          </w:p>
        </w:tc>
        <w:tc>
          <w:tcPr>
            <w:tcW w:w="1680" w:type="dxa"/>
            <w:vAlign w:val="bottom"/>
            <w:gridSpan w:val="3"/>
          </w:tcPr>
          <w:p>
            <w:pPr>
              <w:ind w:left="120"/>
              <w:spacing w:after="0"/>
              <w:rPr>
                <w:sz w:val="20"/>
                <w:szCs w:val="20"/>
                <w:color w:val="auto"/>
              </w:rPr>
            </w:pPr>
            <w:r>
              <w:rPr>
                <w:rFonts w:ascii="Times New Roman" w:cs="Times New Roman" w:eastAsia="Times New Roman" w:hAnsi="Times New Roman"/>
                <w:sz w:val="22"/>
                <w:szCs w:val="22"/>
                <w:b w:val="1"/>
                <w:bCs w:val="1"/>
                <w:color w:val="auto"/>
              </w:rPr>
              <w:t>September 30,</w:t>
            </w:r>
          </w:p>
        </w:tc>
        <w:tc>
          <w:tcPr>
            <w:tcW w:w="20" w:type="dxa"/>
            <w:vAlign w:val="bottom"/>
          </w:tcPr>
          <w:p>
            <w:pPr>
              <w:spacing w:after="0"/>
              <w:rPr>
                <w:sz w:val="22"/>
                <w:szCs w:val="22"/>
                <w:color w:val="auto"/>
              </w:rPr>
            </w:pPr>
          </w:p>
        </w:tc>
        <w:tc>
          <w:tcPr>
            <w:tcW w:w="1560" w:type="dxa"/>
            <w:vAlign w:val="bottom"/>
            <w:gridSpan w:val="2"/>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September 30,</w:t>
            </w:r>
          </w:p>
        </w:tc>
        <w:tc>
          <w:tcPr>
            <w:tcW w:w="0" w:type="dxa"/>
            <w:vAlign w:val="bottom"/>
          </w:tcPr>
          <w:p>
            <w:pPr>
              <w:spacing w:after="0"/>
              <w:rPr>
                <w:sz w:val="1"/>
                <w:szCs w:val="1"/>
                <w:color w:val="auto"/>
              </w:rPr>
            </w:pPr>
          </w:p>
        </w:tc>
      </w:tr>
      <w:tr>
        <w:trPr>
          <w:trHeight w:val="287"/>
        </w:trPr>
        <w:tc>
          <w:tcPr>
            <w:tcW w:w="79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Assets</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2024</w:t>
            </w:r>
          </w:p>
        </w:tc>
        <w:tc>
          <w:tcPr>
            <w:tcW w:w="0" w:type="dxa"/>
            <w:vAlign w:val="bottom"/>
          </w:tcPr>
          <w:p>
            <w:pPr>
              <w:spacing w:after="0"/>
              <w:rPr>
                <w:sz w:val="1"/>
                <w:szCs w:val="1"/>
                <w:color w:val="auto"/>
              </w:rPr>
            </w:pPr>
          </w:p>
        </w:tc>
      </w:tr>
      <w:tr>
        <w:trPr>
          <w:trHeight w:val="249"/>
        </w:trPr>
        <w:tc>
          <w:tcPr>
            <w:tcW w:w="796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Investments at fair value</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8"/>
              </w:rPr>
              <w:t>Non-controlled, non-affiliated investments (amortized cost— $2,458,018 and $1,622,669,</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respectively)</w:t>
            </w:r>
          </w:p>
        </w:tc>
        <w:tc>
          <w:tcPr>
            <w:tcW w:w="3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2,491,360</w:t>
            </w:r>
          </w:p>
        </w:tc>
        <w:tc>
          <w:tcPr>
            <w:tcW w:w="100" w:type="dxa"/>
            <w:vAlign w:val="bottom"/>
          </w:tcPr>
          <w:p>
            <w:pPr>
              <w:spacing w:after="0"/>
              <w:rPr>
                <w:sz w:val="23"/>
                <w:szCs w:val="23"/>
                <w:color w:val="auto"/>
              </w:rPr>
            </w:pPr>
          </w:p>
        </w:tc>
        <w:tc>
          <w:tcPr>
            <w:tcW w:w="360" w:type="dxa"/>
            <w:vAlign w:val="bottom"/>
            <w:gridSpan w:val="2"/>
          </w:tcPr>
          <w:p>
            <w:pPr>
              <w:jc w:val="right"/>
              <w:ind w:right="132"/>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1,632,269</w:t>
            </w:r>
          </w:p>
        </w:tc>
        <w:tc>
          <w:tcPr>
            <w:tcW w:w="0" w:type="dxa"/>
            <w:vAlign w:val="bottom"/>
          </w:tcPr>
          <w:p>
            <w:pPr>
              <w:spacing w:after="0"/>
              <w:rPr>
                <w:sz w:val="1"/>
                <w:szCs w:val="1"/>
                <w:color w:val="auto"/>
              </w:rPr>
            </w:pPr>
          </w:p>
        </w:tc>
      </w:tr>
      <w:tr>
        <w:trPr>
          <w:trHeight w:val="282"/>
        </w:trPr>
        <w:tc>
          <w:tcPr>
            <w:tcW w:w="79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Controlled, affiliated investments (amortized cost— $361,375 and $372,271, respectively)</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281,968</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351,235</w:t>
            </w:r>
          </w:p>
        </w:tc>
        <w:tc>
          <w:tcPr>
            <w:tcW w:w="0" w:type="dxa"/>
            <w:vAlign w:val="bottom"/>
          </w:tcPr>
          <w:p>
            <w:pPr>
              <w:spacing w:after="0"/>
              <w:rPr>
                <w:sz w:val="1"/>
                <w:szCs w:val="1"/>
                <w:color w:val="auto"/>
              </w:rPr>
            </w:pPr>
          </w:p>
        </w:tc>
      </w:tr>
      <w:tr>
        <w:trPr>
          <w:trHeight w:val="251"/>
        </w:trPr>
        <w:tc>
          <w:tcPr>
            <w:tcW w:w="7960" w:type="dxa"/>
            <w:vAlign w:val="bottom"/>
          </w:tcPr>
          <w:p>
            <w:pPr>
              <w:ind w:left="120"/>
              <w:spacing w:after="0" w:line="251" w:lineRule="exact"/>
              <w:rPr>
                <w:sz w:val="20"/>
                <w:szCs w:val="20"/>
                <w:color w:val="auto"/>
              </w:rPr>
            </w:pPr>
            <w:r>
              <w:rPr>
                <w:rFonts w:ascii="Times New Roman" w:cs="Times New Roman" w:eastAsia="Times New Roman" w:hAnsi="Times New Roman"/>
                <w:sz w:val="22"/>
                <w:szCs w:val="22"/>
                <w:color w:val="auto"/>
              </w:rPr>
              <w:t>Total investments (amortized cost— $2,819,393 and $1,994,940, respectively)</w:t>
            </w:r>
          </w:p>
        </w:tc>
        <w:tc>
          <w:tcPr>
            <w:tcW w:w="360" w:type="dxa"/>
            <w:vAlign w:val="bottom"/>
          </w:tcPr>
          <w:p>
            <w:pPr>
              <w:spacing w:after="0"/>
              <w:rPr>
                <w:sz w:val="21"/>
                <w:szCs w:val="21"/>
                <w:color w:val="auto"/>
              </w:rPr>
            </w:pPr>
          </w:p>
        </w:tc>
        <w:tc>
          <w:tcPr>
            <w:tcW w:w="122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2,773,328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1,983,504</w:t>
            </w: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Cash and cash equivalents (cost— $122,684 and $112,046, respectively)</w:t>
            </w:r>
          </w:p>
        </w:tc>
        <w:tc>
          <w:tcPr>
            <w:tcW w:w="36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122,688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112,050</w:t>
            </w: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Interest receivable</w:t>
            </w:r>
          </w:p>
        </w:tc>
        <w:tc>
          <w:tcPr>
            <w:tcW w:w="36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13,832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12,167</w:t>
            </w: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Receivable for investments sold</w:t>
            </w:r>
          </w:p>
        </w:tc>
        <w:tc>
          <w:tcPr>
            <w:tcW w:w="36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1,369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Distribution receivable</w:t>
            </w:r>
          </w:p>
        </w:tc>
        <w:tc>
          <w:tcPr>
            <w:tcW w:w="36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635</w:t>
            </w: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Due from affiliate</w:t>
            </w:r>
          </w:p>
        </w:tc>
        <w:tc>
          <w:tcPr>
            <w:tcW w:w="36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321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291</w:t>
            </w:r>
          </w:p>
        </w:tc>
        <w:tc>
          <w:tcPr>
            <w:tcW w:w="0" w:type="dxa"/>
            <w:vAlign w:val="bottom"/>
          </w:tcPr>
          <w:p>
            <w:pPr>
              <w:spacing w:after="0"/>
              <w:rPr>
                <w:sz w:val="1"/>
                <w:szCs w:val="1"/>
                <w:color w:val="auto"/>
              </w:rPr>
            </w:pPr>
          </w:p>
        </w:tc>
      </w:tr>
      <w:tr>
        <w:trPr>
          <w:trHeight w:val="282"/>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Prepaid expenses and other assets</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2,143</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198</w:t>
            </w:r>
          </w:p>
        </w:tc>
        <w:tc>
          <w:tcPr>
            <w:tcW w:w="0" w:type="dxa"/>
            <w:vAlign w:val="bottom"/>
          </w:tcPr>
          <w:p>
            <w:pPr>
              <w:spacing w:after="0"/>
              <w:rPr>
                <w:sz w:val="1"/>
                <w:szCs w:val="1"/>
                <w:color w:val="auto"/>
              </w:rPr>
            </w:pPr>
          </w:p>
        </w:tc>
      </w:tr>
      <w:tr>
        <w:trPr>
          <w:trHeight w:val="265"/>
        </w:trPr>
        <w:tc>
          <w:tcPr>
            <w:tcW w:w="796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Total assets</w:t>
            </w: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2,913,681</w:t>
            </w:r>
          </w:p>
        </w:tc>
        <w:tc>
          <w:tcPr>
            <w:tcW w:w="10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2,108,845</w:t>
            </w:r>
          </w:p>
        </w:tc>
        <w:tc>
          <w:tcPr>
            <w:tcW w:w="0" w:type="dxa"/>
            <w:vAlign w:val="bottom"/>
          </w:tcPr>
          <w:p>
            <w:pPr>
              <w:spacing w:after="0"/>
              <w:rPr>
                <w:sz w:val="1"/>
                <w:szCs w:val="1"/>
                <w:color w:val="auto"/>
              </w:rPr>
            </w:pPr>
          </w:p>
        </w:tc>
      </w:tr>
      <w:tr>
        <w:trPr>
          <w:trHeight w:val="250"/>
        </w:trPr>
        <w:tc>
          <w:tcPr>
            <w:tcW w:w="7960" w:type="dxa"/>
            <w:vAlign w:val="bottom"/>
          </w:tcPr>
          <w:p>
            <w:pPr>
              <w:spacing w:after="0" w:line="249" w:lineRule="exact"/>
              <w:rPr>
                <w:sz w:val="20"/>
                <w:szCs w:val="20"/>
                <w:color w:val="auto"/>
              </w:rPr>
            </w:pPr>
            <w:r>
              <w:rPr>
                <w:rFonts w:ascii="Times New Roman" w:cs="Times New Roman" w:eastAsia="Times New Roman" w:hAnsi="Times New Roman"/>
                <w:sz w:val="22"/>
                <w:szCs w:val="22"/>
                <w:b w:val="1"/>
                <w:bCs w:val="1"/>
                <w:color w:val="auto"/>
              </w:rPr>
              <w:t>Liabilities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Credit Facility payable, at fair value (cost— $683,855 and $443,855, respectively)</w:t>
            </w:r>
          </w:p>
        </w:tc>
        <w:tc>
          <w:tcPr>
            <w:tcW w:w="36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683,837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443,880</w:t>
            </w:r>
          </w:p>
        </w:tc>
        <w:tc>
          <w:tcPr>
            <w:tcW w:w="0" w:type="dxa"/>
            <w:vAlign w:val="bottom"/>
          </w:tcPr>
          <w:p>
            <w:pPr>
              <w:spacing w:after="0"/>
              <w:rPr>
                <w:sz w:val="1"/>
                <w:szCs w:val="1"/>
                <w:color w:val="auto"/>
              </w:rPr>
            </w:pPr>
          </w:p>
        </w:tc>
      </w:tr>
      <w:tr>
        <w:trPr>
          <w:trHeight w:val="243"/>
        </w:trPr>
        <w:tc>
          <w:tcPr>
            <w:tcW w:w="7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2026 Notes payable, net (par—$185,000) (unamortized deferred financing costs of $391</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and $1,168, respectively)</w:t>
            </w:r>
          </w:p>
        </w:tc>
        <w:tc>
          <w:tcPr>
            <w:tcW w:w="36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184,609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183,832</w:t>
            </w:r>
          </w:p>
        </w:tc>
        <w:tc>
          <w:tcPr>
            <w:tcW w:w="0" w:type="dxa"/>
            <w:vAlign w:val="bottom"/>
          </w:tcPr>
          <w:p>
            <w:pPr>
              <w:spacing w:after="0"/>
              <w:rPr>
                <w:sz w:val="1"/>
                <w:szCs w:val="1"/>
                <w:color w:val="auto"/>
              </w:rPr>
            </w:pPr>
          </w:p>
        </w:tc>
      </w:tr>
      <w:tr>
        <w:trPr>
          <w:trHeight w:val="243"/>
        </w:trPr>
        <w:tc>
          <w:tcPr>
            <w:tcW w:w="7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2036 Asset-Backed Debt, net (par—$287,000) (unamortized deferred financing costs of</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$2,373 and $2,914, respectively)</w:t>
            </w:r>
          </w:p>
        </w:tc>
        <w:tc>
          <w:tcPr>
            <w:tcW w:w="36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284,627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284,086</w:t>
            </w:r>
          </w:p>
        </w:tc>
        <w:tc>
          <w:tcPr>
            <w:tcW w:w="0" w:type="dxa"/>
            <w:vAlign w:val="bottom"/>
          </w:tcPr>
          <w:p>
            <w:pPr>
              <w:spacing w:after="0"/>
              <w:rPr>
                <w:sz w:val="1"/>
                <w:szCs w:val="1"/>
                <w:color w:val="auto"/>
              </w:rPr>
            </w:pPr>
          </w:p>
        </w:tc>
      </w:tr>
      <w:tr>
        <w:trPr>
          <w:trHeight w:val="243"/>
        </w:trPr>
        <w:tc>
          <w:tcPr>
            <w:tcW w:w="7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2036-R Asset-Backed Debt, net (par— $266,000) (unamortized deferred financing costs of</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$634 and $765, respectively)</w:t>
            </w:r>
          </w:p>
        </w:tc>
        <w:tc>
          <w:tcPr>
            <w:tcW w:w="36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265,366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265,235</w:t>
            </w:r>
          </w:p>
        </w:tc>
        <w:tc>
          <w:tcPr>
            <w:tcW w:w="0" w:type="dxa"/>
            <w:vAlign w:val="bottom"/>
          </w:tcPr>
          <w:p>
            <w:pPr>
              <w:spacing w:after="0"/>
              <w:rPr>
                <w:sz w:val="1"/>
                <w:szCs w:val="1"/>
                <w:color w:val="auto"/>
              </w:rPr>
            </w:pPr>
          </w:p>
        </w:tc>
      </w:tr>
      <w:tr>
        <w:trPr>
          <w:trHeight w:val="243"/>
        </w:trPr>
        <w:tc>
          <w:tcPr>
            <w:tcW w:w="7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2037 Asset-Backed Debt, net (par— $361,000 and $0, respectively) (unamortized deferred</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financing costs of $2,669 and $0, respectively)</w:t>
            </w:r>
          </w:p>
        </w:tc>
        <w:tc>
          <w:tcPr>
            <w:tcW w:w="36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358,331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Payable for investments purchased</w:t>
            </w:r>
          </w:p>
        </w:tc>
        <w:tc>
          <w:tcPr>
            <w:tcW w:w="36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14,852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20,363</w:t>
            </w: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Interest payable on debt</w:t>
            </w:r>
          </w:p>
        </w:tc>
        <w:tc>
          <w:tcPr>
            <w:tcW w:w="36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19,172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14,645</w:t>
            </w: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Distributions payable</w:t>
            </w:r>
          </w:p>
        </w:tc>
        <w:tc>
          <w:tcPr>
            <w:tcW w:w="36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10,170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7,834</w:t>
            </w: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Base management fee payable</w:t>
            </w:r>
          </w:p>
        </w:tc>
        <w:tc>
          <w:tcPr>
            <w:tcW w:w="36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6,549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4,588</w:t>
            </w: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Incentive fee payable</w:t>
            </w:r>
          </w:p>
        </w:tc>
        <w:tc>
          <w:tcPr>
            <w:tcW w:w="36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6,883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3,189</w:t>
            </w: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Accounts payable and accrued expenses</w:t>
            </w:r>
          </w:p>
        </w:tc>
        <w:tc>
          <w:tcPr>
            <w:tcW w:w="36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2,166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2,187</w:t>
            </w: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Deferred tax liability</w:t>
            </w:r>
          </w:p>
        </w:tc>
        <w:tc>
          <w:tcPr>
            <w:tcW w:w="36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1,864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1,712</w:t>
            </w:r>
          </w:p>
        </w:tc>
        <w:tc>
          <w:tcPr>
            <w:tcW w:w="0" w:type="dxa"/>
            <w:vAlign w:val="bottom"/>
          </w:tcPr>
          <w:p>
            <w:pPr>
              <w:spacing w:after="0"/>
              <w:rPr>
                <w:sz w:val="1"/>
                <w:szCs w:val="1"/>
                <w:color w:val="auto"/>
              </w:rPr>
            </w:pPr>
          </w:p>
        </w:tc>
      </w:tr>
      <w:tr>
        <w:trPr>
          <w:trHeight w:val="282"/>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Due to affiliate</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739</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5"/>
        </w:trPr>
        <w:tc>
          <w:tcPr>
            <w:tcW w:w="796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Total liabilities</w:t>
            </w: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1,839,165</w:t>
            </w:r>
          </w:p>
        </w:tc>
        <w:tc>
          <w:tcPr>
            <w:tcW w:w="10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1,231,551</w:t>
            </w:r>
          </w:p>
        </w:tc>
        <w:tc>
          <w:tcPr>
            <w:tcW w:w="0" w:type="dxa"/>
            <w:vAlign w:val="bottom"/>
          </w:tcPr>
          <w:p>
            <w:pPr>
              <w:spacing w:after="0"/>
              <w:rPr>
                <w:sz w:val="1"/>
                <w:szCs w:val="1"/>
                <w:color w:val="auto"/>
              </w:rPr>
            </w:pPr>
          </w:p>
        </w:tc>
      </w:tr>
      <w:tr>
        <w:trPr>
          <w:trHeight w:val="921"/>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Commitments and contingencies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79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assets</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Common stock, 99,217,896 and 77,579,896 shares issued and outstanding, respectively</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Par value $0.001 per share and 200,000,000 shares authorized</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Paid-in capital in excess of par value</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1,219,502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976,744</w:t>
            </w:r>
          </w:p>
        </w:tc>
        <w:tc>
          <w:tcPr>
            <w:tcW w:w="0" w:type="dxa"/>
            <w:vAlign w:val="bottom"/>
          </w:tcPr>
          <w:p>
            <w:pPr>
              <w:spacing w:after="0"/>
              <w:rPr>
                <w:sz w:val="1"/>
                <w:szCs w:val="1"/>
                <w:color w:val="auto"/>
              </w:rPr>
            </w:pPr>
          </w:p>
        </w:tc>
      </w:tr>
      <w:tr>
        <w:trPr>
          <w:trHeight w:val="282"/>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Accumulated deficit</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(145,085)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(99,528)</w:t>
            </w:r>
          </w:p>
        </w:tc>
        <w:tc>
          <w:tcPr>
            <w:tcW w:w="0" w:type="dxa"/>
            <w:vAlign w:val="bottom"/>
          </w:tcPr>
          <w:p>
            <w:pPr>
              <w:spacing w:after="0"/>
              <w:rPr>
                <w:sz w:val="1"/>
                <w:szCs w:val="1"/>
                <w:color w:val="auto"/>
              </w:rPr>
            </w:pPr>
          </w:p>
        </w:tc>
      </w:tr>
      <w:tr>
        <w:trPr>
          <w:trHeight w:val="265"/>
        </w:trPr>
        <w:tc>
          <w:tcPr>
            <w:tcW w:w="796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Total net assets</w:t>
            </w:r>
          </w:p>
        </w:tc>
        <w:tc>
          <w:tcPr>
            <w:tcW w:w="3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1,074,516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877,294</w:t>
            </w:r>
          </w:p>
        </w:tc>
        <w:tc>
          <w:tcPr>
            <w:tcW w:w="0" w:type="dxa"/>
            <w:vAlign w:val="bottom"/>
          </w:tcPr>
          <w:p>
            <w:pPr>
              <w:spacing w:after="0"/>
              <w:rPr>
                <w:sz w:val="1"/>
                <w:szCs w:val="1"/>
                <w:color w:val="auto"/>
              </w:rPr>
            </w:pPr>
          </w:p>
        </w:tc>
      </w:tr>
      <w:tr>
        <w:trPr>
          <w:trHeight w:val="264"/>
        </w:trPr>
        <w:tc>
          <w:tcPr>
            <w:tcW w:w="796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Total liabilities and net assets</w:t>
            </w:r>
          </w:p>
        </w:tc>
        <w:tc>
          <w:tcPr>
            <w:tcW w:w="3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2,913,681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2,108,845</w:t>
            </w:r>
          </w:p>
        </w:tc>
        <w:tc>
          <w:tcPr>
            <w:tcW w:w="0" w:type="dxa"/>
            <w:vAlign w:val="bottom"/>
          </w:tcPr>
          <w:p>
            <w:pPr>
              <w:spacing w:after="0"/>
              <w:rPr>
                <w:sz w:val="1"/>
                <w:szCs w:val="1"/>
                <w:color w:val="auto"/>
              </w:rPr>
            </w:pPr>
          </w:p>
        </w:tc>
      </w:tr>
      <w:tr>
        <w:trPr>
          <w:trHeight w:val="20"/>
        </w:trPr>
        <w:tc>
          <w:tcPr>
            <w:tcW w:w="79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Net asset value per share</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7960" w:type="dxa"/>
            <w:vAlign w:val="bottom"/>
            <w:vMerge w:val="continue"/>
          </w:tcPr>
          <w:p>
            <w:pPr>
              <w:spacing w:after="0"/>
              <w:rPr>
                <w:sz w:val="22"/>
                <w:szCs w:val="22"/>
                <w:color w:val="auto"/>
              </w:rPr>
            </w:pPr>
          </w:p>
        </w:tc>
        <w:tc>
          <w:tcPr>
            <w:tcW w:w="3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10.83</w:t>
            </w:r>
          </w:p>
        </w:tc>
        <w:tc>
          <w:tcPr>
            <w:tcW w:w="100" w:type="dxa"/>
            <w:vAlign w:val="bottom"/>
          </w:tcPr>
          <w:p>
            <w:pPr>
              <w:spacing w:after="0"/>
              <w:rPr>
                <w:sz w:val="22"/>
                <w:szCs w:val="22"/>
                <w:color w:val="auto"/>
              </w:rPr>
            </w:pPr>
          </w:p>
        </w:tc>
        <w:tc>
          <w:tcPr>
            <w:tcW w:w="20" w:type="dxa"/>
            <w:vAlign w:val="bottom"/>
            <w:vMerge w:val="continue"/>
          </w:tcPr>
          <w:p>
            <w:pPr>
              <w:spacing w:after="0"/>
              <w:rPr>
                <w:sz w:val="22"/>
                <w:szCs w:val="22"/>
                <w:color w:val="auto"/>
              </w:rPr>
            </w:pPr>
          </w:p>
        </w:tc>
        <w:tc>
          <w:tcPr>
            <w:tcW w:w="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11.31</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AND SUBSIDIARIES</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CONSOLIDATED STATEMENTS OF OPERATIONS</w:t>
      </w:r>
    </w:p>
    <w:p>
      <w:pPr>
        <w:jc w:val="center"/>
        <w:ind w:right="20"/>
        <w:spacing w:after="0" w:line="230" w:lineRule="auto"/>
        <w:rPr>
          <w:sz w:val="20"/>
          <w:szCs w:val="20"/>
          <w:color w:val="auto"/>
        </w:rPr>
      </w:pPr>
      <w:r>
        <w:rPr>
          <w:rFonts w:ascii="Times New Roman" w:cs="Times New Roman" w:eastAsia="Times New Roman" w:hAnsi="Times New Roman"/>
          <w:sz w:val="22"/>
          <w:szCs w:val="22"/>
          <w:b w:val="1"/>
          <w:bCs w:val="1"/>
          <w:color w:val="auto"/>
        </w:rPr>
        <w:t>(in thousands, except per share data)</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59" w:lineRule="exact"/>
        <w:rPr>
          <w:sz w:val="20"/>
          <w:szCs w:val="20"/>
          <w:color w:val="auto"/>
        </w:rPr>
      </w:pPr>
    </w:p>
    <w:tbl>
      <w:tblPr>
        <w:tblLayout w:type="fixed"/>
        <w:tblInd w:w="5060" w:type="dxa"/>
        <w:tblCellMar>
          <w:top w:w="0" w:type="dxa"/>
          <w:left w:w="0" w:type="dxa"/>
          <w:bottom w:w="0" w:type="dxa"/>
          <w:right w:w="0" w:type="dxa"/>
        </w:tblCellMar>
      </w:tblPr>
      <w:tr>
        <w:trPr>
          <w:trHeight w:val="270"/>
        </w:trPr>
        <w:tc>
          <w:tcPr>
            <w:tcW w:w="3140" w:type="dxa"/>
            <w:vAlign w:val="bottom"/>
            <w:gridSpan w:val="3"/>
          </w:tcPr>
          <w:p>
            <w:pPr>
              <w:ind w:left="52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960" w:type="dxa"/>
            <w:vAlign w:val="bottom"/>
          </w:tcPr>
          <w:p>
            <w:pPr>
              <w:spacing w:after="0"/>
              <w:rPr>
                <w:sz w:val="23"/>
                <w:szCs w:val="23"/>
                <w:color w:val="auto"/>
              </w:rPr>
            </w:pPr>
          </w:p>
        </w:tc>
        <w:tc>
          <w:tcPr>
            <w:tcW w:w="2060" w:type="dxa"/>
            <w:vAlign w:val="bottom"/>
          </w:tcPr>
          <w:p>
            <w:pPr>
              <w:jc w:val="center"/>
              <w:ind w:right="852"/>
              <w:spacing w:after="0"/>
              <w:rPr>
                <w:sz w:val="20"/>
                <w:szCs w:val="20"/>
                <w:color w:val="auto"/>
              </w:rPr>
            </w:pPr>
            <w:r>
              <w:rPr>
                <w:rFonts w:ascii="Times New Roman" w:cs="Times New Roman" w:eastAsia="Times New Roman" w:hAnsi="Times New Roman"/>
                <w:sz w:val="22"/>
                <w:szCs w:val="22"/>
                <w:b w:val="1"/>
                <w:bCs w:val="1"/>
                <w:color w:val="auto"/>
                <w:w w:val="97"/>
              </w:rPr>
              <w:t>Year Ended</w:t>
            </w:r>
          </w:p>
        </w:tc>
      </w:tr>
      <w:tr>
        <w:trPr>
          <w:trHeight w:val="286"/>
        </w:trPr>
        <w:tc>
          <w:tcPr>
            <w:tcW w:w="3140" w:type="dxa"/>
            <w:vAlign w:val="bottom"/>
            <w:gridSpan w:val="3"/>
          </w:tcPr>
          <w:p>
            <w:pPr>
              <w:ind w:left="840"/>
              <w:spacing w:after="0"/>
              <w:rPr>
                <w:sz w:val="20"/>
                <w:szCs w:val="20"/>
                <w:color w:val="auto"/>
              </w:rPr>
            </w:pPr>
            <w:r>
              <w:rPr>
                <w:rFonts w:ascii="Times New Roman" w:cs="Times New Roman" w:eastAsia="Times New Roman" w:hAnsi="Times New Roman"/>
                <w:sz w:val="22"/>
                <w:szCs w:val="22"/>
                <w:b w:val="1"/>
                <w:bCs w:val="1"/>
                <w:color w:val="auto"/>
              </w:rPr>
              <w:t>September 30,</w:t>
            </w:r>
          </w:p>
        </w:tc>
        <w:tc>
          <w:tcPr>
            <w:tcW w:w="302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September 30,</w:t>
            </w:r>
          </w:p>
        </w:tc>
      </w:tr>
      <w:tr>
        <w:trPr>
          <w:trHeight w:val="275"/>
        </w:trPr>
        <w:tc>
          <w:tcPr>
            <w:tcW w:w="152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22"/>
                <w:szCs w:val="22"/>
                <w:b w:val="1"/>
                <w:bCs w:val="1"/>
                <w:color w:val="auto"/>
              </w:rPr>
              <w:t>2025</w:t>
            </w:r>
          </w:p>
        </w:tc>
        <w:tc>
          <w:tcPr>
            <w:tcW w:w="1500" w:type="dxa"/>
            <w:vAlign w:val="bottom"/>
            <w:tcBorders>
              <w:top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2024</w:t>
            </w:r>
          </w:p>
        </w:tc>
        <w:tc>
          <w:tcPr>
            <w:tcW w:w="120" w:type="dxa"/>
            <w:vAlign w:val="bottom"/>
          </w:tcPr>
          <w:p>
            <w:pPr>
              <w:spacing w:after="0"/>
              <w:rPr>
                <w:sz w:val="23"/>
                <w:szCs w:val="2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2025</w:t>
            </w:r>
          </w:p>
        </w:tc>
        <w:tc>
          <w:tcPr>
            <w:tcW w:w="2060" w:type="dxa"/>
            <w:vAlign w:val="bottom"/>
            <w:tcBorders>
              <w:top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3206750</wp:posOffset>
            </wp:positionH>
            <wp:positionV relativeFrom="paragraph">
              <wp:posOffset>-5715</wp:posOffset>
            </wp:positionV>
            <wp:extent cx="39173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b w:val="1"/>
          <w:bCs w:val="1"/>
          <w:color w:val="auto"/>
        </w:rPr>
        <w:t>Investment income: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From non-controlled, non-affiliated investments:</w:t>
      </w:r>
    </w:p>
    <w:p>
      <w:pPr>
        <w:sectPr>
          <w:pgSz w:w="11900" w:h="16838" w:orient="portrait"/>
          <w:cols w:equalWidth="0" w:num="1">
            <w:col w:w="11220"/>
          </w:cols>
          <w:pgMar w:left="340" w:top="368" w:right="339" w:bottom="0" w:gutter="0" w:footer="0" w:header="0"/>
        </w:sectPr>
      </w:pPr>
    </w:p>
    <w:bookmarkStart w:id="8" w:name="page9"/>
    <w:bookmarkEnd w:id="8"/>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271"/>
        </w:trPr>
        <w:tc>
          <w:tcPr>
            <w:tcW w:w="50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Interest</w:t>
            </w:r>
          </w:p>
        </w:tc>
        <w:tc>
          <w:tcPr>
            <w:tcW w:w="44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w w:val="9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56,322</w:t>
            </w:r>
          </w:p>
        </w:tc>
        <w:tc>
          <w:tcPr>
            <w:tcW w:w="100" w:type="dxa"/>
            <w:vAlign w:val="bottom"/>
          </w:tcPr>
          <w:p>
            <w:pPr>
              <w:spacing w:after="0"/>
              <w:rPr>
                <w:sz w:val="23"/>
                <w:szCs w:val="23"/>
                <w:color w:val="auto"/>
              </w:rPr>
            </w:pPr>
          </w:p>
        </w:tc>
        <w:tc>
          <w:tcPr>
            <w:tcW w:w="4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39,704</w:t>
            </w:r>
          </w:p>
        </w:tc>
        <w:tc>
          <w:tcPr>
            <w:tcW w:w="120" w:type="dxa"/>
            <w:vAlign w:val="bottom"/>
          </w:tcPr>
          <w:p>
            <w:pPr>
              <w:spacing w:after="0"/>
              <w:rPr>
                <w:sz w:val="23"/>
                <w:szCs w:val="23"/>
                <w:color w:val="auto"/>
              </w:rPr>
            </w:pPr>
          </w:p>
        </w:tc>
        <w:tc>
          <w:tcPr>
            <w:tcW w:w="3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203,853</w:t>
            </w:r>
          </w:p>
        </w:tc>
        <w:tc>
          <w:tcPr>
            <w:tcW w:w="100" w:type="dxa"/>
            <w:vAlign w:val="bottom"/>
          </w:tcPr>
          <w:p>
            <w:pPr>
              <w:spacing w:after="0"/>
              <w:rPr>
                <w:sz w:val="23"/>
                <w:szCs w:val="23"/>
                <w:color w:val="auto"/>
              </w:rPr>
            </w:pPr>
          </w:p>
        </w:tc>
        <w:tc>
          <w:tcPr>
            <w:tcW w:w="3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128,397</w:t>
            </w:r>
          </w:p>
        </w:tc>
      </w:tr>
      <w:tr>
        <w:trPr>
          <w:trHeight w:val="270"/>
        </w:trPr>
        <w:tc>
          <w:tcPr>
            <w:tcW w:w="50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Dividend</w:t>
            </w: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1,595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2,354</w:t>
            </w:r>
          </w:p>
        </w:tc>
      </w:tr>
      <w:tr>
        <w:trPr>
          <w:trHeight w:val="270"/>
        </w:trPr>
        <w:tc>
          <w:tcPr>
            <w:tcW w:w="50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Other income</w:t>
            </w: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1,884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4,042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5,506</w:t>
            </w:r>
          </w:p>
        </w:tc>
      </w:tr>
      <w:tr>
        <w:trPr>
          <w:trHeight w:val="270"/>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From controlled, affiliated investments:</w:t>
            </w:r>
          </w:p>
        </w:tc>
        <w:tc>
          <w:tcPr>
            <w:tcW w:w="4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50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Interest</w:t>
            </w: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7,479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9,498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35,005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35,093</w:t>
            </w:r>
          </w:p>
        </w:tc>
      </w:tr>
      <w:tr>
        <w:trPr>
          <w:trHeight w:val="270"/>
        </w:trPr>
        <w:tc>
          <w:tcPr>
            <w:tcW w:w="50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Dividend</w:t>
            </w: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3,938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3,937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16,626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14,875</w:t>
            </w:r>
          </w:p>
        </w:tc>
      </w:tr>
      <w:tr>
        <w:trPr>
          <w:trHeight w:val="282"/>
        </w:trPr>
        <w:tc>
          <w:tcPr>
            <w:tcW w:w="50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Other Income</w:t>
            </w:r>
          </w:p>
        </w:tc>
        <w:tc>
          <w:tcPr>
            <w:tcW w:w="44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44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380" w:type="dxa"/>
            <w:vAlign w:val="bottom"/>
          </w:tcPr>
          <w:p>
            <w:pPr>
              <w:spacing w:after="0"/>
              <w:rPr>
                <w:sz w:val="24"/>
                <w:szCs w:val="24"/>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306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130</w:t>
            </w:r>
          </w:p>
        </w:tc>
      </w:tr>
      <w:tr>
        <w:trPr>
          <w:trHeight w:val="265"/>
        </w:trPr>
        <w:tc>
          <w:tcPr>
            <w:tcW w:w="506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Total investment income</w:t>
            </w:r>
          </w:p>
        </w:tc>
        <w:tc>
          <w:tcPr>
            <w:tcW w:w="440" w:type="dxa"/>
            <w:vAlign w:val="bottom"/>
            <w:tcBorders>
              <w:top w:val="single" w:sz="8" w:color="auto"/>
              <w:bottom w:val="single" w:sz="8" w:color="auto"/>
            </w:tcBorders>
          </w:tcPr>
          <w:p>
            <w:pPr>
              <w:spacing w:after="0"/>
              <w:rPr>
                <w:sz w:val="23"/>
                <w:szCs w:val="2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68,978</w:t>
            </w:r>
          </w:p>
        </w:tc>
        <w:tc>
          <w:tcPr>
            <w:tcW w:w="100" w:type="dxa"/>
            <w:vAlign w:val="bottom"/>
          </w:tcPr>
          <w:p>
            <w:pPr>
              <w:spacing w:after="0"/>
              <w:rPr>
                <w:sz w:val="23"/>
                <w:szCs w:val="23"/>
                <w:color w:val="auto"/>
              </w:rPr>
            </w:pPr>
          </w:p>
        </w:tc>
        <w:tc>
          <w:tcPr>
            <w:tcW w:w="440" w:type="dxa"/>
            <w:vAlign w:val="bottom"/>
            <w:tcBorders>
              <w:top w:val="single" w:sz="8" w:color="auto"/>
              <w:bottom w:val="single" w:sz="8" w:color="auto"/>
            </w:tcBorders>
          </w:tcPr>
          <w:p>
            <w:pPr>
              <w:spacing w:after="0"/>
              <w:rPr>
                <w:sz w:val="23"/>
                <w:szCs w:val="2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55,524</w:t>
            </w:r>
          </w:p>
        </w:tc>
        <w:tc>
          <w:tcPr>
            <w:tcW w:w="120" w:type="dxa"/>
            <w:vAlign w:val="bottom"/>
          </w:tcPr>
          <w:p>
            <w:pPr>
              <w:spacing w:after="0"/>
              <w:rPr>
                <w:sz w:val="23"/>
                <w:szCs w:val="23"/>
                <w:color w:val="auto"/>
              </w:rPr>
            </w:pPr>
          </w:p>
        </w:tc>
        <w:tc>
          <w:tcPr>
            <w:tcW w:w="38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261,427</w:t>
            </w:r>
          </w:p>
        </w:tc>
        <w:tc>
          <w:tcPr>
            <w:tcW w:w="100" w:type="dxa"/>
            <w:vAlign w:val="bottom"/>
          </w:tcPr>
          <w:p>
            <w:pPr>
              <w:spacing w:after="0"/>
              <w:rPr>
                <w:sz w:val="23"/>
                <w:szCs w:val="23"/>
                <w:color w:val="auto"/>
              </w:rPr>
            </w:pPr>
          </w:p>
        </w:tc>
        <w:tc>
          <w:tcPr>
            <w:tcW w:w="38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186,355</w:t>
            </w:r>
          </w:p>
        </w:tc>
      </w:tr>
      <w:tr>
        <w:trPr>
          <w:trHeight w:val="236"/>
        </w:trPr>
        <w:tc>
          <w:tcPr>
            <w:tcW w:w="5060" w:type="dxa"/>
            <w:vAlign w:val="bottom"/>
          </w:tcPr>
          <w:p>
            <w:pPr>
              <w:spacing w:after="0" w:line="236" w:lineRule="exact"/>
              <w:rPr>
                <w:sz w:val="20"/>
                <w:szCs w:val="20"/>
                <w:color w:val="auto"/>
              </w:rPr>
            </w:pPr>
            <w:r>
              <w:rPr>
                <w:rFonts w:ascii="Times New Roman" w:cs="Times New Roman" w:eastAsia="Times New Roman" w:hAnsi="Times New Roman"/>
                <w:sz w:val="22"/>
                <w:szCs w:val="22"/>
                <w:b w:val="1"/>
                <w:bCs w:val="1"/>
                <w:color w:val="auto"/>
              </w:rPr>
              <w:t>Expenses:</w:t>
            </w: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50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Interest and expenses on debt</w:t>
            </w: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25,789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19,299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93,226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59,221</w:t>
            </w:r>
          </w:p>
        </w:tc>
      </w:tr>
      <w:tr>
        <w:trPr>
          <w:trHeight w:val="270"/>
        </w:trPr>
        <w:tc>
          <w:tcPr>
            <w:tcW w:w="50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Performance-based incentive fee</w:t>
            </w: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6,883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3,189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26,029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18,125</w:t>
            </w:r>
          </w:p>
        </w:tc>
      </w:tr>
      <w:tr>
        <w:trPr>
          <w:trHeight w:val="270"/>
        </w:trPr>
        <w:tc>
          <w:tcPr>
            <w:tcW w:w="50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Base management fee</w:t>
            </w: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6,549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4,588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23,346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14,871</w:t>
            </w:r>
          </w:p>
        </w:tc>
      </w:tr>
      <w:tr>
        <w:trPr>
          <w:trHeight w:val="270"/>
        </w:trPr>
        <w:tc>
          <w:tcPr>
            <w:tcW w:w="50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General and administrative expenses</w:t>
            </w: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4,700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4,493</w:t>
            </w:r>
          </w:p>
        </w:tc>
      </w:tr>
      <w:tr>
        <w:trPr>
          <w:trHeight w:val="282"/>
        </w:trPr>
        <w:tc>
          <w:tcPr>
            <w:tcW w:w="50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Administrative services expenses</w:t>
            </w: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900</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500</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2,800</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2,161</w:t>
            </w:r>
          </w:p>
        </w:tc>
      </w:tr>
      <w:tr>
        <w:trPr>
          <w:trHeight w:val="207"/>
        </w:trPr>
        <w:tc>
          <w:tcPr>
            <w:tcW w:w="5060" w:type="dxa"/>
            <w:vAlign w:val="bottom"/>
          </w:tcPr>
          <w:p>
            <w:pPr>
              <w:ind w:left="120"/>
              <w:spacing w:after="0" w:line="206" w:lineRule="exact"/>
              <w:rPr>
                <w:sz w:val="20"/>
                <w:szCs w:val="20"/>
                <w:color w:val="auto"/>
              </w:rPr>
            </w:pPr>
            <w:r>
              <w:rPr>
                <w:rFonts w:ascii="Times New Roman" w:cs="Times New Roman" w:eastAsia="Times New Roman" w:hAnsi="Times New Roman"/>
                <w:sz w:val="22"/>
                <w:szCs w:val="22"/>
                <w:b w:val="1"/>
                <w:bCs w:val="1"/>
                <w:color w:val="auto"/>
              </w:rPr>
              <w:t>Expenses before amendment costs and provision for</w:t>
            </w: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86"/>
        </w:trPr>
        <w:tc>
          <w:tcPr>
            <w:tcW w:w="506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taxes</w:t>
            </w: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41,221</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28,776</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150,101</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98,871</w:t>
            </w:r>
          </w:p>
        </w:tc>
      </w:tr>
      <w:tr>
        <w:trPr>
          <w:trHeight w:val="251"/>
        </w:trPr>
        <w:tc>
          <w:tcPr>
            <w:tcW w:w="5060" w:type="dxa"/>
            <w:vAlign w:val="bottom"/>
          </w:tcPr>
          <w:p>
            <w:pPr>
              <w:ind w:left="120"/>
              <w:spacing w:after="0" w:line="251" w:lineRule="exact"/>
              <w:rPr>
                <w:sz w:val="20"/>
                <w:szCs w:val="20"/>
                <w:color w:val="auto"/>
              </w:rPr>
            </w:pPr>
            <w:r>
              <w:rPr>
                <w:rFonts w:ascii="Times New Roman" w:cs="Times New Roman" w:eastAsia="Times New Roman" w:hAnsi="Times New Roman"/>
                <w:sz w:val="22"/>
                <w:szCs w:val="22"/>
                <w:color w:val="auto"/>
              </w:rPr>
              <w:t>Provision for taxes on net investment income</w:t>
            </w:r>
          </w:p>
        </w:tc>
        <w:tc>
          <w:tcPr>
            <w:tcW w:w="440" w:type="dxa"/>
            <w:vAlign w:val="bottom"/>
          </w:tcPr>
          <w:p>
            <w:pPr>
              <w:spacing w:after="0"/>
              <w:rPr>
                <w:sz w:val="21"/>
                <w:szCs w:val="21"/>
                <w:color w:val="auto"/>
              </w:rPr>
            </w:pPr>
          </w:p>
        </w:tc>
        <w:tc>
          <w:tcPr>
            <w:tcW w:w="10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225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225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875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1,120</w:t>
            </w:r>
          </w:p>
        </w:tc>
      </w:tr>
      <w:tr>
        <w:trPr>
          <w:trHeight w:val="282"/>
        </w:trPr>
        <w:tc>
          <w:tcPr>
            <w:tcW w:w="50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Credit Facility amendment costs and debt issuance</w:t>
            </w:r>
          </w:p>
        </w:tc>
        <w:tc>
          <w:tcPr>
            <w:tcW w:w="44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8,549</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3,297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8,643</w:t>
            </w:r>
          </w:p>
        </w:tc>
      </w:tr>
      <w:tr>
        <w:trPr>
          <w:trHeight w:val="265"/>
        </w:trPr>
        <w:tc>
          <w:tcPr>
            <w:tcW w:w="506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Total expenses</w:t>
            </w:r>
          </w:p>
        </w:tc>
        <w:tc>
          <w:tcPr>
            <w:tcW w:w="440" w:type="dxa"/>
            <w:vAlign w:val="bottom"/>
            <w:tcBorders>
              <w:top w:val="single" w:sz="8" w:color="auto"/>
              <w:bottom w:val="single" w:sz="8" w:color="auto"/>
            </w:tcBorders>
          </w:tcPr>
          <w:p>
            <w:pPr>
              <w:spacing w:after="0"/>
              <w:rPr>
                <w:sz w:val="23"/>
                <w:szCs w:val="2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41,446</w:t>
            </w:r>
          </w:p>
        </w:tc>
        <w:tc>
          <w:tcPr>
            <w:tcW w:w="100" w:type="dxa"/>
            <w:vAlign w:val="bottom"/>
          </w:tcPr>
          <w:p>
            <w:pPr>
              <w:spacing w:after="0"/>
              <w:rPr>
                <w:sz w:val="23"/>
                <w:szCs w:val="23"/>
                <w:color w:val="auto"/>
              </w:rPr>
            </w:pPr>
          </w:p>
        </w:tc>
        <w:tc>
          <w:tcPr>
            <w:tcW w:w="440" w:type="dxa"/>
            <w:vAlign w:val="bottom"/>
            <w:tcBorders>
              <w:top w:val="single" w:sz="8" w:color="auto"/>
              <w:bottom w:val="single" w:sz="8" w:color="auto"/>
            </w:tcBorders>
          </w:tcPr>
          <w:p>
            <w:pPr>
              <w:spacing w:after="0"/>
              <w:rPr>
                <w:sz w:val="23"/>
                <w:szCs w:val="2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37,550</w:t>
            </w:r>
          </w:p>
        </w:tc>
        <w:tc>
          <w:tcPr>
            <w:tcW w:w="120" w:type="dxa"/>
            <w:vAlign w:val="bottom"/>
          </w:tcPr>
          <w:p>
            <w:pPr>
              <w:spacing w:after="0"/>
              <w:rPr>
                <w:sz w:val="23"/>
                <w:szCs w:val="23"/>
                <w:color w:val="auto"/>
              </w:rPr>
            </w:pPr>
          </w:p>
        </w:tc>
        <w:tc>
          <w:tcPr>
            <w:tcW w:w="38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154,273</w:t>
            </w:r>
          </w:p>
        </w:tc>
        <w:tc>
          <w:tcPr>
            <w:tcW w:w="100" w:type="dxa"/>
            <w:vAlign w:val="bottom"/>
          </w:tcPr>
          <w:p>
            <w:pPr>
              <w:spacing w:after="0"/>
              <w:rPr>
                <w:sz w:val="23"/>
                <w:szCs w:val="23"/>
                <w:color w:val="auto"/>
              </w:rPr>
            </w:pPr>
          </w:p>
        </w:tc>
        <w:tc>
          <w:tcPr>
            <w:tcW w:w="38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108,634</w:t>
            </w:r>
          </w:p>
        </w:tc>
      </w:tr>
      <w:tr>
        <w:trPr>
          <w:trHeight w:val="274"/>
        </w:trPr>
        <w:tc>
          <w:tcPr>
            <w:tcW w:w="506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Net investment income</w:t>
            </w: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27,532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17,974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107,154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77,721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-5715</wp:posOffset>
            </wp:positionV>
            <wp:extent cx="3917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22"/>
          <w:szCs w:val="22"/>
          <w:b w:val="1"/>
          <w:bCs w:val="1"/>
          <w:color w:val="auto"/>
        </w:rPr>
        <w:t>Realized and unrealized gain (loss) on investments and debt:</w:t>
      </w:r>
    </w:p>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258"/>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Net realized gain (loss) on investments and debt:</w:t>
            </w: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Non-controlled, non-affiliated investments</w:t>
            </w:r>
          </w:p>
        </w:tc>
        <w:tc>
          <w:tcPr>
            <w:tcW w:w="4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(14,296)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(28,752)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222</w:t>
            </w:r>
          </w:p>
        </w:tc>
        <w:tc>
          <w:tcPr>
            <w:tcW w:w="0" w:type="dxa"/>
            <w:vAlign w:val="bottom"/>
          </w:tcPr>
          <w:p>
            <w:pPr>
              <w:spacing w:after="0"/>
              <w:rPr>
                <w:sz w:val="1"/>
                <w:szCs w:val="1"/>
                <w:color w:val="auto"/>
              </w:rPr>
            </w:pPr>
          </w:p>
        </w:tc>
      </w:tr>
      <w:tr>
        <w:trPr>
          <w:trHeight w:val="270"/>
        </w:trPr>
        <w:tc>
          <w:tcPr>
            <w:tcW w:w="50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Non-controlled and controlled, affiliated investments</w:t>
            </w:r>
          </w:p>
        </w:tc>
        <w:tc>
          <w:tcPr>
            <w:tcW w:w="40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44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4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22,811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50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Debt extinguishment</w:t>
            </w:r>
          </w:p>
        </w:tc>
        <w:tc>
          <w:tcPr>
            <w:tcW w:w="40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(383)</w:t>
            </w:r>
          </w:p>
        </w:tc>
        <w:tc>
          <w:tcPr>
            <w:tcW w:w="0" w:type="dxa"/>
            <w:vAlign w:val="bottom"/>
          </w:tcPr>
          <w:p>
            <w:pPr>
              <w:spacing w:after="0"/>
              <w:rPr>
                <w:sz w:val="1"/>
                <w:szCs w:val="1"/>
                <w:color w:val="auto"/>
              </w:rPr>
            </w:pPr>
          </w:p>
        </w:tc>
      </w:tr>
      <w:tr>
        <w:trPr>
          <w:trHeight w:val="243"/>
        </w:trPr>
        <w:tc>
          <w:tcPr>
            <w:tcW w:w="50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Provision for taxes on realized gain (loss) on</w:t>
            </w: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50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investments</w:t>
            </w: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(23)</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(45)</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(105)</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(45)</w:t>
            </w:r>
          </w:p>
        </w:tc>
        <w:tc>
          <w:tcPr>
            <w:tcW w:w="0" w:type="dxa"/>
            <w:vAlign w:val="bottom"/>
          </w:tcPr>
          <w:p>
            <w:pPr>
              <w:spacing w:after="0"/>
              <w:rPr>
                <w:sz w:val="1"/>
                <w:szCs w:val="1"/>
                <w:color w:val="auto"/>
              </w:rPr>
            </w:pPr>
          </w:p>
        </w:tc>
      </w:tr>
      <w:tr>
        <w:trPr>
          <w:trHeight w:val="265"/>
        </w:trPr>
        <w:tc>
          <w:tcPr>
            <w:tcW w:w="506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Net realized gain (loss) on investments and debt</w:t>
            </w:r>
          </w:p>
        </w:tc>
        <w:tc>
          <w:tcPr>
            <w:tcW w:w="4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(14,319)</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(774)</w:t>
            </w: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(6,046)</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(206)</w:t>
            </w:r>
          </w:p>
        </w:tc>
        <w:tc>
          <w:tcPr>
            <w:tcW w:w="0" w:type="dxa"/>
            <w:vAlign w:val="bottom"/>
          </w:tcPr>
          <w:p>
            <w:pPr>
              <w:spacing w:after="0"/>
              <w:rPr>
                <w:sz w:val="1"/>
                <w:szCs w:val="1"/>
                <w:color w:val="auto"/>
              </w:rPr>
            </w:pPr>
          </w:p>
        </w:tc>
      </w:tr>
      <w:tr>
        <w:trPr>
          <w:trHeight w:val="250"/>
        </w:trPr>
        <w:tc>
          <w:tcPr>
            <w:tcW w:w="506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Net change in unrealized appreciation (depreciation) on:</w:t>
            </w: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Non-controlled, non-affiliated investments</w:t>
            </w:r>
          </w:p>
        </w:tc>
        <w:tc>
          <w:tcPr>
            <w:tcW w:w="4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14,192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(1,781)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23,738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5,662</w:t>
            </w:r>
          </w:p>
        </w:tc>
        <w:tc>
          <w:tcPr>
            <w:tcW w:w="0" w:type="dxa"/>
            <w:vAlign w:val="bottom"/>
          </w:tcPr>
          <w:p>
            <w:pPr>
              <w:spacing w:after="0"/>
              <w:rPr>
                <w:sz w:val="1"/>
                <w:szCs w:val="1"/>
                <w:color w:val="auto"/>
              </w:rPr>
            </w:pPr>
          </w:p>
        </w:tc>
      </w:tr>
      <w:tr>
        <w:trPr>
          <w:trHeight w:val="270"/>
        </w:trPr>
        <w:tc>
          <w:tcPr>
            <w:tcW w:w="50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Non-controlled and controlled, affiliated investments</w:t>
            </w:r>
          </w:p>
        </w:tc>
        <w:tc>
          <w:tcPr>
            <w:tcW w:w="4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(8,971)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6,087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(58,372)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8,606</w:t>
            </w:r>
          </w:p>
        </w:tc>
        <w:tc>
          <w:tcPr>
            <w:tcW w:w="0" w:type="dxa"/>
            <w:vAlign w:val="bottom"/>
          </w:tcPr>
          <w:p>
            <w:pPr>
              <w:spacing w:after="0"/>
              <w:rPr>
                <w:sz w:val="1"/>
                <w:szCs w:val="1"/>
                <w:color w:val="auto"/>
              </w:rPr>
            </w:pPr>
          </w:p>
        </w:tc>
      </w:tr>
      <w:tr>
        <w:trPr>
          <w:trHeight w:val="243"/>
        </w:trPr>
        <w:tc>
          <w:tcPr>
            <w:tcW w:w="50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Provision for taxes on unrealized appreciation</w:t>
            </w: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(depreciation) on investments</w:t>
            </w:r>
          </w:p>
        </w:tc>
        <w:tc>
          <w:tcPr>
            <w:tcW w:w="4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c>
          <w:tcPr>
            <w:tcW w:w="0" w:type="dxa"/>
            <w:vAlign w:val="bottom"/>
          </w:tcPr>
          <w:p>
            <w:pPr>
              <w:spacing w:after="0"/>
              <w:rPr>
                <w:sz w:val="1"/>
                <w:szCs w:val="1"/>
                <w:color w:val="auto"/>
              </w:rPr>
            </w:pPr>
          </w:p>
        </w:tc>
      </w:tr>
      <w:tr>
        <w:trPr>
          <w:trHeight w:val="282"/>
        </w:trPr>
        <w:tc>
          <w:tcPr>
            <w:tcW w:w="50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Debt (appreciation) depreciation</w:t>
            </w: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28</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43</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w:t>
            </w:r>
          </w:p>
        </w:tc>
        <w:tc>
          <w:tcPr>
            <w:tcW w:w="0" w:type="dxa"/>
            <w:vAlign w:val="bottom"/>
          </w:tcPr>
          <w:p>
            <w:pPr>
              <w:spacing w:after="0"/>
              <w:rPr>
                <w:sz w:val="1"/>
                <w:szCs w:val="1"/>
                <w:color w:val="auto"/>
              </w:rPr>
            </w:pPr>
          </w:p>
        </w:tc>
      </w:tr>
      <w:tr>
        <w:trPr>
          <w:trHeight w:val="207"/>
        </w:trPr>
        <w:tc>
          <w:tcPr>
            <w:tcW w:w="5060" w:type="dxa"/>
            <w:vAlign w:val="bottom"/>
          </w:tcPr>
          <w:p>
            <w:pPr>
              <w:ind w:left="120"/>
              <w:spacing w:after="0" w:line="206" w:lineRule="exact"/>
              <w:rPr>
                <w:sz w:val="20"/>
                <w:szCs w:val="20"/>
                <w:color w:val="auto"/>
              </w:rPr>
            </w:pPr>
            <w:r>
              <w:rPr>
                <w:rFonts w:ascii="Times New Roman" w:cs="Times New Roman" w:eastAsia="Times New Roman" w:hAnsi="Times New Roman"/>
                <w:sz w:val="22"/>
                <w:szCs w:val="22"/>
                <w:b w:val="1"/>
                <w:bCs w:val="1"/>
                <w:color w:val="auto"/>
                <w:w w:val="99"/>
              </w:rPr>
              <w:t>Net change in unrealized appreciation (depreciation)</w:t>
            </w: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506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on investments and debt</w:t>
            </w: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4,300</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4,139</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(34,743)</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14,324</w:t>
            </w:r>
          </w:p>
        </w:tc>
        <w:tc>
          <w:tcPr>
            <w:tcW w:w="0" w:type="dxa"/>
            <w:vAlign w:val="bottom"/>
          </w:tcPr>
          <w:p>
            <w:pPr>
              <w:spacing w:after="0"/>
              <w:rPr>
                <w:sz w:val="1"/>
                <w:szCs w:val="1"/>
                <w:color w:val="auto"/>
              </w:rPr>
            </w:pPr>
          </w:p>
        </w:tc>
      </w:tr>
      <w:tr>
        <w:trPr>
          <w:trHeight w:val="207"/>
        </w:trPr>
        <w:tc>
          <w:tcPr>
            <w:tcW w:w="5060" w:type="dxa"/>
            <w:vAlign w:val="bottom"/>
          </w:tcPr>
          <w:p>
            <w:pPr>
              <w:spacing w:after="0" w:line="206" w:lineRule="exact"/>
              <w:rPr>
                <w:sz w:val="20"/>
                <w:szCs w:val="20"/>
                <w:color w:val="auto"/>
              </w:rPr>
            </w:pPr>
            <w:r>
              <w:rPr>
                <w:rFonts w:ascii="Times New Roman" w:cs="Times New Roman" w:eastAsia="Times New Roman" w:hAnsi="Times New Roman"/>
                <w:sz w:val="22"/>
                <w:szCs w:val="22"/>
                <w:b w:val="1"/>
                <w:bCs w:val="1"/>
                <w:color w:val="auto"/>
              </w:rPr>
              <w:t>Net realized and unrealized gain (loss) from</w:t>
            </w: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50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investments and debt</w:t>
            </w: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(10,019)</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3,365</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(40,789)</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14,118</w:t>
            </w:r>
          </w:p>
        </w:tc>
        <w:tc>
          <w:tcPr>
            <w:tcW w:w="0" w:type="dxa"/>
            <w:vAlign w:val="bottom"/>
          </w:tcPr>
          <w:p>
            <w:pPr>
              <w:spacing w:after="0"/>
              <w:rPr>
                <w:sz w:val="1"/>
                <w:szCs w:val="1"/>
                <w:color w:val="auto"/>
              </w:rPr>
            </w:pPr>
          </w:p>
        </w:tc>
      </w:tr>
      <w:tr>
        <w:trPr>
          <w:trHeight w:val="207"/>
        </w:trPr>
        <w:tc>
          <w:tcPr>
            <w:tcW w:w="5060" w:type="dxa"/>
            <w:vAlign w:val="bottom"/>
          </w:tcPr>
          <w:p>
            <w:pPr>
              <w:spacing w:after="0" w:line="206" w:lineRule="exact"/>
              <w:rPr>
                <w:sz w:val="20"/>
                <w:szCs w:val="20"/>
                <w:color w:val="auto"/>
              </w:rPr>
            </w:pPr>
            <w:r>
              <w:rPr>
                <w:rFonts w:ascii="Times New Roman" w:cs="Times New Roman" w:eastAsia="Times New Roman" w:hAnsi="Times New Roman"/>
                <w:sz w:val="22"/>
                <w:szCs w:val="22"/>
                <w:b w:val="1"/>
                <w:bCs w:val="1"/>
                <w:color w:val="auto"/>
              </w:rPr>
              <w:t>Net increase (decrease) in net assets resulting from</w:t>
            </w:r>
          </w:p>
        </w:tc>
        <w:tc>
          <w:tcPr>
            <w:tcW w:w="40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17,513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21,339</w:t>
            </w:r>
          </w:p>
        </w:tc>
        <w:tc>
          <w:tcPr>
            <w:tcW w:w="120" w:type="dxa"/>
            <w:vAlign w:val="bottom"/>
          </w:tcPr>
          <w:p>
            <w:pPr>
              <w:spacing w:after="0"/>
              <w:rPr>
                <w:sz w:val="17"/>
                <w:szCs w:val="17"/>
                <w:color w:val="auto"/>
              </w:rPr>
            </w:pPr>
          </w:p>
        </w:tc>
        <w:tc>
          <w:tcPr>
            <w:tcW w:w="400" w:type="dxa"/>
            <w:vAlign w:val="bottom"/>
            <w:vMerge w:val="restart"/>
          </w:tcPr>
          <w:p>
            <w:pPr>
              <w:jc w:val="right"/>
              <w:ind w:right="172"/>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vMerge w:val="restart"/>
          </w:tcPr>
          <w:p>
            <w:pPr>
              <w:jc w:val="right"/>
              <w:ind w:right="12"/>
              <w:spacing w:after="0"/>
              <w:rPr>
                <w:sz w:val="20"/>
                <w:szCs w:val="20"/>
                <w:color w:val="auto"/>
              </w:rPr>
            </w:pPr>
            <w:r>
              <w:rPr>
                <w:rFonts w:ascii="Times New Roman" w:cs="Times New Roman" w:eastAsia="Times New Roman" w:hAnsi="Times New Roman"/>
                <w:sz w:val="22"/>
                <w:szCs w:val="22"/>
                <w:color w:val="auto"/>
              </w:rPr>
              <w:t>66,365</w:t>
            </w:r>
          </w:p>
        </w:tc>
        <w:tc>
          <w:tcPr>
            <w:tcW w:w="100" w:type="dxa"/>
            <w:vAlign w:val="bottom"/>
          </w:tcPr>
          <w:p>
            <w:pPr>
              <w:spacing w:after="0"/>
              <w:rPr>
                <w:sz w:val="17"/>
                <w:szCs w:val="17"/>
                <w:color w:val="auto"/>
              </w:rPr>
            </w:pPr>
          </w:p>
        </w:tc>
        <w:tc>
          <w:tcPr>
            <w:tcW w:w="440" w:type="dxa"/>
            <w:vAlign w:val="bottom"/>
            <w:vMerge w:val="restart"/>
          </w:tcPr>
          <w:p>
            <w:pPr>
              <w:jc w:val="right"/>
              <w:ind w:right="212"/>
              <w:spacing w:after="0"/>
              <w:rPr>
                <w:sz w:val="20"/>
                <w:szCs w:val="20"/>
                <w:color w:val="auto"/>
              </w:rPr>
            </w:pPr>
            <w:r>
              <w:rPr>
                <w:rFonts w:ascii="Times New Roman" w:cs="Times New Roman" w:eastAsia="Times New Roman" w:hAnsi="Times New Roman"/>
                <w:sz w:val="22"/>
                <w:szCs w:val="22"/>
                <w:color w:val="auto"/>
                <w:w w:val="90"/>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91,839</w:t>
            </w:r>
          </w:p>
        </w:tc>
        <w:tc>
          <w:tcPr>
            <w:tcW w:w="0" w:type="dxa"/>
            <w:vAlign w:val="bottom"/>
          </w:tcPr>
          <w:p>
            <w:pPr>
              <w:spacing w:after="0"/>
              <w:rPr>
                <w:sz w:val="1"/>
                <w:szCs w:val="1"/>
                <w:color w:val="auto"/>
              </w:rPr>
            </w:pPr>
          </w:p>
        </w:tc>
      </w:tr>
      <w:tr>
        <w:trPr>
          <w:trHeight w:val="261"/>
        </w:trPr>
        <w:tc>
          <w:tcPr>
            <w:tcW w:w="50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operations</w:t>
            </w: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bottom w:val="single" w:sz="8" w:color="auto"/>
            </w:tcBorders>
            <w:vMerge w:val="continue"/>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vMerge w:val="continue"/>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line="236" w:lineRule="exact"/>
              <w:rPr>
                <w:sz w:val="20"/>
                <w:szCs w:val="20"/>
                <w:color w:val="auto"/>
              </w:rPr>
            </w:pPr>
            <w:r>
              <w:rPr>
                <w:rFonts w:ascii="Times New Roman" w:cs="Times New Roman" w:eastAsia="Times New Roman" w:hAnsi="Times New Roman"/>
                <w:sz w:val="22"/>
                <w:szCs w:val="22"/>
                <w:color w:val="auto"/>
              </w:rPr>
              <w:t>Net increase (decrease) in net assets resulting from</w:t>
            </w: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060" w:type="dxa"/>
            <w:vAlign w:val="bottom"/>
            <w:vMerge w:val="continue"/>
          </w:tcPr>
          <w:p>
            <w:pPr>
              <w:spacing w:after="0"/>
              <w:rPr>
                <w:sz w:val="17"/>
                <w:szCs w:val="17"/>
                <w:color w:val="auto"/>
              </w:rPr>
            </w:pPr>
          </w:p>
        </w:tc>
        <w:tc>
          <w:tcPr>
            <w:tcW w:w="400" w:type="dxa"/>
            <w:vAlign w:val="bottom"/>
            <w:vMerge w:val="restart"/>
          </w:tcPr>
          <w:p>
            <w:pPr>
              <w:jc w:val="right"/>
              <w:ind w:right="172"/>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0.18</w:t>
            </w:r>
          </w:p>
        </w:tc>
        <w:tc>
          <w:tcPr>
            <w:tcW w:w="100" w:type="dxa"/>
            <w:vAlign w:val="bottom"/>
          </w:tcPr>
          <w:p>
            <w:pPr>
              <w:spacing w:after="0"/>
              <w:rPr>
                <w:sz w:val="17"/>
                <w:szCs w:val="17"/>
                <w:color w:val="auto"/>
              </w:rPr>
            </w:pPr>
          </w:p>
        </w:tc>
        <w:tc>
          <w:tcPr>
            <w:tcW w:w="4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0.29</w:t>
            </w:r>
          </w:p>
        </w:tc>
        <w:tc>
          <w:tcPr>
            <w:tcW w:w="120" w:type="dxa"/>
            <w:vAlign w:val="bottom"/>
          </w:tcPr>
          <w:p>
            <w:pPr>
              <w:spacing w:after="0"/>
              <w:rPr>
                <w:sz w:val="17"/>
                <w:szCs w:val="17"/>
                <w:color w:val="auto"/>
              </w:rPr>
            </w:pPr>
          </w:p>
        </w:tc>
        <w:tc>
          <w:tcPr>
            <w:tcW w:w="400" w:type="dxa"/>
            <w:vAlign w:val="bottom"/>
            <w:vMerge w:val="restart"/>
          </w:tcPr>
          <w:p>
            <w:pPr>
              <w:jc w:val="right"/>
              <w:ind w:right="172"/>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vMerge w:val="restart"/>
          </w:tcPr>
          <w:p>
            <w:pPr>
              <w:jc w:val="right"/>
              <w:ind w:right="12"/>
              <w:spacing w:after="0"/>
              <w:rPr>
                <w:sz w:val="20"/>
                <w:szCs w:val="20"/>
                <w:color w:val="auto"/>
              </w:rPr>
            </w:pPr>
            <w:r>
              <w:rPr>
                <w:rFonts w:ascii="Times New Roman" w:cs="Times New Roman" w:eastAsia="Times New Roman" w:hAnsi="Times New Roman"/>
                <w:sz w:val="22"/>
                <w:szCs w:val="22"/>
                <w:color w:val="auto"/>
              </w:rPr>
              <w:t>0.72</w:t>
            </w:r>
          </w:p>
        </w:tc>
        <w:tc>
          <w:tcPr>
            <w:tcW w:w="100" w:type="dxa"/>
            <w:vAlign w:val="bottom"/>
          </w:tcPr>
          <w:p>
            <w:pPr>
              <w:spacing w:after="0"/>
              <w:rPr>
                <w:sz w:val="17"/>
                <w:szCs w:val="17"/>
                <w:color w:val="auto"/>
              </w:rPr>
            </w:pPr>
          </w:p>
        </w:tc>
        <w:tc>
          <w:tcPr>
            <w:tcW w:w="440" w:type="dxa"/>
            <w:vAlign w:val="bottom"/>
            <w:vMerge w:val="restart"/>
          </w:tcPr>
          <w:p>
            <w:pPr>
              <w:jc w:val="right"/>
              <w:ind w:right="212"/>
              <w:spacing w:after="0"/>
              <w:rPr>
                <w:sz w:val="20"/>
                <w:szCs w:val="20"/>
                <w:color w:val="auto"/>
              </w:rPr>
            </w:pPr>
            <w:r>
              <w:rPr>
                <w:rFonts w:ascii="Times New Roman" w:cs="Times New Roman" w:eastAsia="Times New Roman" w:hAnsi="Times New Roman"/>
                <w:sz w:val="22"/>
                <w:szCs w:val="22"/>
                <w:color w:val="auto"/>
                <w:w w:val="90"/>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1.40</w:t>
            </w:r>
          </w:p>
        </w:tc>
        <w:tc>
          <w:tcPr>
            <w:tcW w:w="0" w:type="dxa"/>
            <w:vAlign w:val="bottom"/>
          </w:tcPr>
          <w:p>
            <w:pPr>
              <w:spacing w:after="0"/>
              <w:rPr>
                <w:sz w:val="1"/>
                <w:szCs w:val="1"/>
                <w:color w:val="auto"/>
              </w:rPr>
            </w:pPr>
          </w:p>
        </w:tc>
      </w:tr>
      <w:tr>
        <w:trPr>
          <w:trHeight w:val="262"/>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operations per common share</w:t>
            </w:r>
          </w:p>
        </w:tc>
        <w:tc>
          <w:tcPr>
            <w:tcW w:w="400" w:type="dxa"/>
            <w:vAlign w:val="bottom"/>
            <w:tcBorders>
              <w:bottom w:val="single" w:sz="8" w:color="auto"/>
            </w:tcBorders>
            <w:vMerge w:val="continue"/>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vMerge w:val="continue"/>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bottom w:val="single" w:sz="8" w:color="auto"/>
            </w:tcBorders>
            <w:vMerge w:val="continue"/>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vMerge w:val="continue"/>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Net investment income per common share</w:t>
            </w: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060" w:type="dxa"/>
            <w:vAlign w:val="bottom"/>
            <w:vMerge w:val="continue"/>
          </w:tcPr>
          <w:p>
            <w:pPr>
              <w:spacing w:after="0"/>
              <w:rPr>
                <w:sz w:val="22"/>
                <w:szCs w:val="22"/>
                <w:color w:val="auto"/>
              </w:rPr>
            </w:pPr>
          </w:p>
        </w:tc>
        <w:tc>
          <w:tcPr>
            <w:tcW w:w="4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0.28</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0.24</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1.16</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color w:val="auto"/>
                <w:w w:val="9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1.18</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PENNANTPARK FLOATING RATE CAPITAL LTD.</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PENNANTPARK INVESTMENT ADVISERS, LLC</w:t>
      </w:r>
    </w:p>
    <w:p>
      <w:pPr>
        <w:spacing w:after="0" w:line="2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PennantPark Investment Advisers, LLC is a leading middle-market credit platform, managing approximately $10 billion of investable capital, including potential leverage. Since its inception in 2007, PennantPark Investment Advisers, LLC has provided investors access to middle-market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 AND OTHER</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ectPr>
          <w:pgSz w:w="11900" w:h="16932" w:orient="portrait"/>
          <w:cols w:equalWidth="0" w:num="1">
            <w:col w:w="11240"/>
          </w:cols>
          <w:pgMar w:left="320" w:top="111" w:right="339" w:bottom="0" w:gutter="0" w:footer="0" w:header="0"/>
        </w:sectPr>
      </w:pPr>
    </w:p>
    <w:bookmarkStart w:id="9" w:name="page10"/>
    <w:bookmarkEnd w:id="9"/>
    <w:p>
      <w:pPr>
        <w:jc w:val="both"/>
        <w:spacing w:after="0" w:line="235" w:lineRule="auto"/>
        <w:rPr>
          <w:sz w:val="20"/>
          <w:szCs w:val="20"/>
          <w:color w:val="auto"/>
        </w:rPr>
      </w:pPr>
      <w:r>
        <w:rPr>
          <w:rFonts w:ascii="Times New Roman" w:cs="Times New Roman" w:eastAsia="Times New Roman" w:hAnsi="Times New Roman"/>
          <w:sz w:val="22"/>
          <w:szCs w:val="22"/>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CONTACT: Richard T. Allorto, Jr.</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PennantPark Floating Rate Capital Ltd.</w:t>
      </w:r>
    </w:p>
    <w:p>
      <w:pPr>
        <w:ind w:left="1200" w:right="8040" w:hanging="4"/>
        <w:spacing w:after="0" w:line="258" w:lineRule="auto"/>
        <w:tabs>
          <w:tab w:leader="none" w:pos="1722"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905-1000 </w:t>
      </w:r>
      <w:r>
        <w:rPr>
          <w:rFonts w:ascii="Times New Roman" w:cs="Times New Roman" w:eastAsia="Times New Roman" w:hAnsi="Times New Roman"/>
          <w:sz w:val="21"/>
          <w:szCs w:val="21"/>
          <w:u w:val="single" w:color="auto"/>
          <w:color w:val="auto"/>
        </w:rPr>
        <w:t>www.pennantpark.com</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upperLetter"/>
      <w:start w:val="2"/>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2025-11-24T15:20:06Z</dcterms:created>
  <dcterms:modified xsi:type="dcterms:W3CDTF">2025-11-24T15:20:06Z</dcterms:modified>
</cp:coreProperties>
</file>