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Date of Report: August 26, 2015</w:t>
      </w:r>
    </w:p>
    <w:p>
      <w:pPr>
        <w:spacing w:after="0" w:line="1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7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1560"/>
          </w:cols>
          <w:pgMar w:left="320" w:top="368"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4"/>
          <w:szCs w:val="14"/>
          <w:b w:val="1"/>
          <w:bCs w:val="1"/>
          <w:color w:val="auto"/>
        </w:rPr>
        <w:t>(IRS Employer</w:t>
      </w:r>
    </w:p>
    <w:p>
      <w:pPr>
        <w:jc w:val="center"/>
        <w:ind w:right="40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620" w:space="720"/>
            <w:col w:w="2680" w:space="720"/>
            <w:col w:w="1820"/>
          </w:cols>
          <w:pgMar w:left="320" w:top="368" w:right="1019" w:bottom="1440" w:gutter="0" w:footer="0" w:header="0"/>
          <w:type w:val="continuous"/>
        </w:sectPr>
      </w:pP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590 Madison Avenue, 15</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280"/>
          </w:cols>
          <w:pgMar w:left="320" w:top="368" w:right="101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380"/>
          </w:cols>
          <w:pgMar w:left="320" w:top="368" w:right="10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August 31, 2015, PennantPark Floating Rate Capital Ltd. (the “Company”), announced that on August 26, 2015, it amended its multi-currency, senior secured credit facility (the “Credit Facility”), to increase the size of its Credit Facility from $200 million to $290 million, and extend its reinvestment period to August 2018 and maturity date to August 2020. All other terms remain unchanged including our interest rate at London Interbank Offered Rate, or LIBOR, plus 200 basis points. SunTrust Robinson Humphrey, Inc. and Capital One, N.A. acted as joint lead arrangers in connection with the amendment.</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description above is only a summary of the material provisions of the Credit Facility and is qualified in its entirety by reference to the Credit Facility, a copy of which was filed as Exhibit 10.1 to the Company’s Form 10-Q filed on August 6, 2015, and the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amendment to the Credit Facility is attached hereto as 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310" w:lineRule="exact"/>
        <w:rPr>
          <w:sz w:val="20"/>
          <w:szCs w:val="20"/>
          <w:color w:val="auto"/>
        </w:rPr>
      </w:pPr>
    </w:p>
    <w:p>
      <w:pPr>
        <w:ind w:right="1120"/>
        <w:spacing w:after="0" w:line="407" w:lineRule="auto"/>
        <w:rPr>
          <w:sz w:val="20"/>
          <w:szCs w:val="20"/>
          <w:color w:val="auto"/>
        </w:rPr>
      </w:pPr>
      <w:r>
        <w:rPr>
          <w:rFonts w:ascii="Arial" w:cs="Arial" w:eastAsia="Arial" w:hAnsi="Arial"/>
          <w:sz w:val="18"/>
          <w:szCs w:val="18"/>
          <w:b w:val="1"/>
          <w:bCs w:val="1"/>
          <w:color w:val="auto"/>
        </w:rPr>
        <w:t xml:space="preserve">Item 2.03. Creation of a Direct Financial Obligation or an Obligation Under an Off-Balance Sheet Arrangement of a Registrant </w:t>
      </w:r>
      <w:r>
        <w:rPr>
          <w:rFonts w:ascii="Arial" w:cs="Arial" w:eastAsia="Arial" w:hAnsi="Arial"/>
          <w:sz w:val="18"/>
          <w:szCs w:val="18"/>
          <w:color w:val="auto"/>
        </w:rPr>
        <w:t>The information set forth in Item 1.01 is incorporated by reference into this Item 2.03.</w:t>
      </w:r>
    </w:p>
    <w:p>
      <w:pPr>
        <w:spacing w:after="0" w:line="20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60" w:right="9300" w:hanging="452"/>
        <w:spacing w:after="0" w:line="445" w:lineRule="auto"/>
        <w:tabs>
          <w:tab w:leader="none" w:pos="26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60" w:right="8400" w:hanging="452"/>
        <w:spacing w:after="0" w:line="407" w:lineRule="auto"/>
        <w:tabs>
          <w:tab w:leader="none" w:pos="2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60" w:right="8780" w:hanging="452"/>
        <w:spacing w:after="0" w:line="407" w:lineRule="auto"/>
        <w:tabs>
          <w:tab w:leader="none" w:pos="25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auto"/>
        </w:rPr>
        <w:t>Press Release of PennantPark Floating Rate Capital Ltd. dated August 31, 2015</w:t>
      </w:r>
    </w:p>
    <w:p>
      <w:pPr>
        <w:sectPr>
          <w:pgSz w:w="11900" w:h="16838" w:orient="portrait"/>
          <w:cols w:equalWidth="0" w:num="1">
            <w:col w:w="11200"/>
          </w:cols>
          <w:pgMar w:left="320" w:top="270" w:right="37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31, 2015</w:t>
      </w:r>
      <w:r>
        <w:rPr>
          <w:sz w:val="20"/>
          <w:szCs w:val="20"/>
          <w:color w:val="auto"/>
        </w:rPr>
        <w:tab/>
      </w:r>
      <w:r>
        <w:rPr>
          <w:rFonts w:ascii="Arial" w:cs="Arial" w:eastAsia="Arial" w:hAnsi="Arial"/>
          <w:sz w:val="17"/>
          <w:szCs w:val="17"/>
          <w:b w:val="1"/>
          <w:bCs w:val="1"/>
          <w:color w:val="auto"/>
        </w:rPr>
        <w:t>PENNANTPARK FLOATING RATE CAPITAL LTD.</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900"/>
          </w:cols>
          <w:pgMar w:left="320" w:top="270"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280" w:type="dxa"/>
            <w:vAlign w:val="bottom"/>
            <w:gridSpan w:val="3"/>
          </w:tcPr>
          <w:p>
            <w:pPr>
              <w:ind w:left="4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6280" w:type="dxa"/>
            <w:vAlign w:val="bottom"/>
            <w:gridSpan w:val="3"/>
            <w:vMerge w:val="restart"/>
          </w:tcPr>
          <w:p>
            <w:pPr>
              <w:ind w:left="5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6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280" w:type="dxa"/>
            <w:vAlign w:val="bottom"/>
            <w:gridSpan w:val="3"/>
          </w:tcPr>
          <w:p>
            <w:pPr>
              <w:ind w:left="540"/>
              <w:spacing w:after="0"/>
              <w:rPr>
                <w:sz w:val="20"/>
                <w:szCs w:val="20"/>
                <w:color w:val="auto"/>
              </w:rPr>
            </w:pPr>
            <w:r>
              <w:rPr>
                <w:rFonts w:ascii="Arial" w:cs="Arial" w:eastAsia="Arial" w:hAnsi="Arial"/>
                <w:sz w:val="18"/>
                <w:szCs w:val="18"/>
                <w:color w:val="auto"/>
                <w:w w:val="89"/>
              </w:rPr>
              <w:t>Press Release of PennantPark Floating Rate Capital Ltd. dated August 31, 2015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5417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41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Upsizes Credit Facility to $290 Million</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NEW YORK, NY — (Marketwired — August 31, 2015) — PennantPark Floating Rate Capital Ltd. (NASDAQ: PFLT) announced that on August 26, 2015, it amended its Credit Facility to increase the size of its Credit Facility from $200 million to $290 million, and extend its reinvestment period to August 2018 and maturity date to August 2020. All other terms remain unchanged including our interest rate at LIBOR plus 200 basis points. SunTrust Robinson Humphrey, Inc. and Capital One, N.A. acted as joint lead arrangers in connection with the amendment.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extremely pleased with the terms and support of our lending partners. We are also looking forward to adding additional lenders to the facility over time,” said Chairman and Chief Executive Officer Arthur H. Penn.</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CONTACT:</w:t>
            </w:r>
          </w:p>
        </w:tc>
        <w:tc>
          <w:tcPr>
            <w:tcW w:w="2840" w:type="dxa"/>
            <w:vAlign w:val="bottom"/>
            <w:gridSpan w:val="2"/>
          </w:tcPr>
          <w:p>
            <w:pPr>
              <w:spacing w:after="0"/>
              <w:rPr>
                <w:sz w:val="20"/>
                <w:szCs w:val="20"/>
                <w:color w:val="auto"/>
              </w:rPr>
            </w:pPr>
            <w:r>
              <w:rPr>
                <w:rFonts w:ascii="Arial" w:cs="Arial" w:eastAsia="Arial" w:hAnsi="Arial"/>
                <w:sz w:val="18"/>
                <w:szCs w:val="18"/>
                <w:color w:val="auto"/>
              </w:rPr>
              <w:t>Aviv Efrat</w:t>
            </w:r>
          </w:p>
        </w:tc>
      </w:tr>
      <w:tr>
        <w:trPr>
          <w:trHeight w:val="216"/>
        </w:trPr>
        <w:tc>
          <w:tcPr>
            <w:tcW w:w="13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90"/>
              </w:rPr>
              <w:t>PennantPark Floating Rate Capital Ltd.</w:t>
            </w:r>
          </w:p>
        </w:tc>
      </w:tr>
      <w:tr>
        <w:trPr>
          <w:trHeight w:val="216"/>
        </w:trPr>
        <w:tc>
          <w:tcPr>
            <w:tcW w:w="13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Reception: (212) 905-1000</w:t>
            </w:r>
          </w:p>
        </w:tc>
      </w:tr>
      <w:tr>
        <w:trPr>
          <w:trHeight w:val="190"/>
        </w:trPr>
        <w:tc>
          <w:tcPr>
            <w:tcW w:w="1320" w:type="dxa"/>
            <w:vAlign w:val="bottom"/>
          </w:tcPr>
          <w:p>
            <w:pPr>
              <w:spacing w:after="0"/>
              <w:rPr>
                <w:sz w:val="16"/>
                <w:szCs w:val="16"/>
                <w:color w:val="auto"/>
              </w:rPr>
            </w:pPr>
          </w:p>
        </w:tc>
        <w:tc>
          <w:tcPr>
            <w:tcW w:w="2840" w:type="dxa"/>
            <w:vAlign w:val="bottom"/>
            <w:gridSpan w:val="2"/>
          </w:tcPr>
          <w:p>
            <w:pPr>
              <w:spacing w:after="0" w:line="190" w:lineRule="exact"/>
              <w:rPr>
                <w:sz w:val="20"/>
                <w:szCs w:val="20"/>
                <w:color w:val="auto"/>
              </w:rPr>
            </w:pPr>
            <w:r>
              <w:rPr>
                <w:rFonts w:ascii="Arial" w:cs="Arial" w:eastAsia="Arial" w:hAnsi="Arial"/>
                <w:sz w:val="18"/>
                <w:szCs w:val="18"/>
                <w:color w:val="auto"/>
              </w:rPr>
              <w:t>www.pennantpark.com</w:t>
            </w:r>
          </w:p>
        </w:tc>
      </w:tr>
      <w:tr>
        <w:trPr>
          <w:trHeight w:val="20"/>
        </w:trPr>
        <w:tc>
          <w:tcPr>
            <w:tcW w:w="13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2020-05-05T12:10:35Z</dcterms:created>
  <dcterms:modified xsi:type="dcterms:W3CDTF">2020-05-05T12:10:35Z</dcterms:modified>
</cp:coreProperties>
</file>