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w:t>
            </w:r>
          </w:p>
        </w:tc>
        <w:tc>
          <w:tcPr>
            <w:tcW w:w="5040" w:type="dxa"/>
            <w:vAlign w:val="bottom"/>
          </w:tcPr>
          <w:p>
            <w:pPr>
              <w:spacing w:after="0"/>
              <w:rPr>
                <w:sz w:val="24"/>
                <w:szCs w:val="24"/>
                <w:color w:val="auto"/>
              </w:rPr>
            </w:pPr>
          </w:p>
        </w:tc>
      </w:tr>
      <w:tr>
        <w:trPr>
          <w:trHeight w:val="231"/>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15</w:t>
            </w:r>
            <w:r>
              <w:rPr>
                <w:rFonts w:ascii="Arial" w:cs="Arial" w:eastAsia="Arial" w:hAnsi="Arial"/>
                <w:sz w:val="11"/>
                <w:szCs w:val="11"/>
                <w:b w:val="1"/>
                <w:bCs w:val="1"/>
                <w:color w:val="auto"/>
                <w:w w:val="90"/>
              </w:rPr>
              <w:t>th</w:t>
            </w:r>
            <w:r>
              <w:rPr>
                <w:rFonts w:ascii="Arial" w:cs="Arial" w:eastAsia="Arial" w:hAnsi="Arial"/>
                <w:sz w:val="18"/>
                <w:szCs w:val="18"/>
                <w:b w:val="1"/>
                <w:bCs w:val="1"/>
                <w:color w:val="auto"/>
                <w:w w:val="90"/>
              </w:rPr>
              <w:t xml:space="preserve"> Floor, New York, N.Y.</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280" w:type="dxa"/>
            <w:vAlign w:val="bottom"/>
          </w:tcPr>
          <w:p>
            <w:pPr>
              <w:spacing w:after="0"/>
              <w:rPr>
                <w:sz w:val="24"/>
                <w:szCs w:val="24"/>
                <w:color w:val="auto"/>
              </w:rPr>
            </w:pPr>
          </w:p>
        </w:tc>
        <w:tc>
          <w:tcPr>
            <w:tcW w:w="504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280" w:type="dxa"/>
            <w:vAlign w:val="bottom"/>
          </w:tcPr>
          <w:p>
            <w:pPr>
              <w:spacing w:after="0"/>
              <w:rPr>
                <w:sz w:val="15"/>
                <w:szCs w:val="15"/>
                <w:color w:val="auto"/>
              </w:rPr>
            </w:pPr>
          </w:p>
        </w:tc>
        <w:tc>
          <w:tcPr>
            <w:tcW w:w="5040" w:type="dxa"/>
            <w:vAlign w:val="bottom"/>
          </w:tcPr>
          <w:p>
            <w:pPr>
              <w:jc w:val="center"/>
              <w:ind w:right="170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February 6, 2014 was 14,898,056.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DECEMBER 31,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6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180" w:type="dxa"/>
            <w:vAlign w:val="bottom"/>
          </w:tcPr>
          <w:p>
            <w:pPr>
              <w:spacing w:after="0"/>
              <w:rPr>
                <w:sz w:val="19"/>
                <w:szCs w:val="19"/>
                <w:color w:val="auto"/>
              </w:rPr>
            </w:pP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180" w:type="dxa"/>
            <w:vAlign w:val="bottom"/>
          </w:tcPr>
          <w:p>
            <w:pPr>
              <w:spacing w:after="0"/>
              <w:rPr>
                <w:sz w:val="24"/>
                <w:szCs w:val="24"/>
                <w:color w:val="auto"/>
              </w:rPr>
            </w:pPr>
          </w:p>
        </w:tc>
      </w:tr>
      <w:tr>
        <w:trPr>
          <w:trHeight w:val="324"/>
        </w:trPr>
        <w:tc>
          <w:tcPr>
            <w:tcW w:w="996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December 31, 2013 (unaudited) and September 30, 2013</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96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December 31, 2013 and 2012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960" w:type="dxa"/>
            <w:vAlign w:val="bottom"/>
          </w:tcPr>
          <w:p>
            <w:pPr>
              <w:ind w:left="44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Statements of Changes in Net Assets for the three months ended December 31, 2013 and 2012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96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December 31, 2013 and 2012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96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December 31, 2013 (unaudited) and September 30, 2013</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960" w:type="dxa"/>
            <w:vAlign w:val="bottom"/>
          </w:tcPr>
          <w:p>
            <w:pPr>
              <w:ind w:left="4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Notes to Consolidated Financial Statements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960" w:type="dxa"/>
            <w:vAlign w:val="bottom"/>
          </w:tcPr>
          <w:p>
            <w:pPr>
              <w:ind w:left="4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Report of Independent Registered Public Accounting Firm</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3. Quantitative And Qualitative Disclosures About Market Risk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Controls and Procedures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960" w:type="dxa"/>
            <w:vAlign w:val="bottom"/>
          </w:tcPr>
          <w:p>
            <w:pPr>
              <w:ind w:left="400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 OTHER INFORMATION</w:t>
              </w:r>
            </w:hyperlink>
          </w:p>
        </w:tc>
        <w:tc>
          <w:tcPr>
            <w:tcW w:w="1180" w:type="dxa"/>
            <w:vAlign w:val="bottom"/>
          </w:tcPr>
          <w:p>
            <w:pPr>
              <w:spacing w:after="0"/>
              <w:rPr>
                <w:sz w:val="24"/>
                <w:szCs w:val="24"/>
                <w:color w:val="auto"/>
              </w:rPr>
            </w:pP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 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1A. Risk Factors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2. Unregistered Sales of Equity Securities and 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3. Defaults Upon Senior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4. Mine Safety Disclosures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5. Other Information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6. Exhibits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96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SIGNATURES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our wholly owned consolidated subsidiary, PennantPark Floating Rate Funding I, LLC, or Funding 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8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6"/>
        </w:trPr>
        <w:tc>
          <w:tcPr>
            <w:tcW w:w="820" w:type="dxa"/>
            <w:vAlign w:val="bottom"/>
          </w:tcPr>
          <w:p>
            <w:pPr>
              <w:spacing w:after="0"/>
              <w:rPr>
                <w:sz w:val="24"/>
                <w:szCs w:val="24"/>
                <w:color w:val="auto"/>
              </w:rPr>
            </w:pPr>
          </w:p>
        </w:tc>
        <w:tc>
          <w:tcPr>
            <w:tcW w:w="7880" w:type="dxa"/>
            <w:vAlign w:val="bottom"/>
          </w:tcPr>
          <w:p>
            <w:pPr>
              <w:ind w:left="2000"/>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820" w:type="dxa"/>
            <w:vAlign w:val="bottom"/>
          </w:tcPr>
          <w:p>
            <w:pPr>
              <w:spacing w:after="0"/>
              <w:rPr>
                <w:sz w:val="19"/>
                <w:szCs w:val="19"/>
                <w:color w:val="auto"/>
              </w:rPr>
            </w:pPr>
          </w:p>
        </w:tc>
        <w:tc>
          <w:tcPr>
            <w:tcW w:w="7880" w:type="dxa"/>
            <w:vAlign w:val="bottom"/>
          </w:tcPr>
          <w:p>
            <w:pPr>
              <w:ind w:left="222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8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December 31, 2013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8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8"/>
              </w:rPr>
              <w:t>(unaudited)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2013</w:t>
            </w:r>
          </w:p>
        </w:tc>
      </w:tr>
      <w:tr>
        <w:trPr>
          <w:trHeight w:val="196"/>
        </w:trPr>
        <w:tc>
          <w:tcPr>
            <w:tcW w:w="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(cost—$370,169,860 and $319,283,468,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370,925,077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317,803,894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 equivalents (See Note 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5,315,022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4,578,249</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2,140,802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6,358,359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3,659,185</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521,379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619,737</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385,027,996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328,801,867</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7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1,340,825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1,303,580</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14,021,588</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2,376,000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934,555</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(cost—$139,200,000 and $99,600,000, respectively) (See Notes 5 and 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139,200,000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99,600,000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278,917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189,934</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731,635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Performance-based incentive fees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1,347,033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1,164,090</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829,973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790,091</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172,890,051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118,735,473</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10)</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w w:val="88"/>
              </w:rPr>
              <w:t>Net assets</w:t>
            </w:r>
          </w:p>
        </w:tc>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14,898,056 shares issued and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14,898</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207,481,368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207,481,368</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(282,531)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474,766</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Accumulated net realized gain on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4,168,993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3,574,936</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(1,479,574)</w:t>
            </w:r>
          </w:p>
        </w:tc>
      </w:tr>
      <w:tr>
        <w:trPr>
          <w:trHeight w:val="230"/>
        </w:trPr>
        <w:tc>
          <w:tcPr>
            <w:tcW w:w="82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212,137,945</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210,066,394</w:t>
            </w:r>
          </w:p>
        </w:tc>
        <w:tc>
          <w:tcPr>
            <w:tcW w:w="100" w:type="dxa"/>
            <w:vAlign w:val="bottom"/>
          </w:tcPr>
          <w:p>
            <w:pPr>
              <w:spacing w:after="0"/>
              <w:rPr>
                <w:sz w:val="20"/>
                <w:szCs w:val="20"/>
                <w:color w:val="auto"/>
              </w:rPr>
            </w:pPr>
          </w:p>
        </w:tc>
      </w:tr>
      <w:tr>
        <w:trPr>
          <w:trHeight w:val="216"/>
        </w:trPr>
        <w:tc>
          <w:tcPr>
            <w:tcW w:w="820" w:type="dxa"/>
            <w:vAlign w:val="bottom"/>
            <w:shd w:val="clear" w:color="auto" w:fill="CCEEFF"/>
          </w:tcPr>
          <w:p>
            <w:pPr>
              <w:spacing w:after="0"/>
              <w:rPr>
                <w:sz w:val="18"/>
                <w:szCs w:val="18"/>
                <w:color w:val="auto"/>
              </w:rPr>
            </w:pPr>
          </w:p>
        </w:tc>
        <w:tc>
          <w:tcPr>
            <w:tcW w:w="78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385,027,996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328,801,867</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r>
      <w:tr>
        <w:trPr>
          <w:trHeight w:val="20"/>
        </w:trPr>
        <w:tc>
          <w:tcPr>
            <w:tcW w:w="8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30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96"/>
              </w:rPr>
              <w:t>Three Months Ended December 31,</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6,754,247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3,638,227</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89,646</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6,843,893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3,962,673</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458,986</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683,150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417,029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471,068</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155,145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290,640</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Expenses before excise tax expense and amendment costs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2,793,030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1,869,728</w:t>
            </w: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34,072</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Credit Facility amendment costs (See Notes 5 and 9)</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712,930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3,615,960</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3,227,933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2,058,873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594,057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442,843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2,234,791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(358,785)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appreciation (See Note 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(377,500)</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2,234,791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(736,285)</w:t>
            </w:r>
          </w:p>
        </w:tc>
        <w:tc>
          <w:tcPr>
            <w:tcW w:w="0" w:type="dxa"/>
            <w:vAlign w:val="bottom"/>
          </w:tcPr>
          <w:p>
            <w:pPr>
              <w:spacing w:after="0"/>
              <w:rPr>
                <w:sz w:val="1"/>
                <w:szCs w:val="1"/>
                <w:color w:val="auto"/>
              </w:rPr>
            </w:pPr>
          </w:p>
        </w:tc>
      </w:tr>
      <w:tr>
        <w:trPr>
          <w:trHeight w:val="28"/>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 from investments and Credit Facility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2,828,848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(293,442)</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6,056,781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3"/>
                <w:szCs w:val="13"/>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3,227,933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2,058,873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594,057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442,843</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2,234,791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(358,785)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on Credit Facility</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(377,500)</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6,056,781</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1,765,431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(3,985,230)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(1,695,540)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2,071,551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69,891</w:t>
            </w: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210,066,394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95,743,877</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40"/>
              <w:spacing w:after="0"/>
              <w:rPr>
                <w:sz w:val="20"/>
                <w:szCs w:val="20"/>
                <w:color w:val="auto"/>
              </w:rPr>
            </w:pPr>
            <w:r>
              <w:rPr>
                <w:rFonts w:ascii="Arial" w:cs="Arial" w:eastAsia="Arial" w:hAnsi="Arial"/>
                <w:sz w:val="18"/>
                <w:szCs w:val="18"/>
                <w:color w:val="auto"/>
              </w:rPr>
              <w:t>End of period</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212,137,945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95,813,768</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(282,531)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(949,667)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9"/>
              </w:rPr>
              <w:t>Three Months Ended December 31,</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6,056,781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1,765,431</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Adjustments to reconcile net increase in net assets resulting from operations to net cash used for operating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(2,234,791)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358,785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377,500</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(594,057)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(442,843)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(301,795)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(236,560)</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(103,914,361)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(38,911,333)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(51,042)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(65,478)</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55,416,308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30,335,919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299,639</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(Increase) decrease in receivable for investments sold</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(2,699,174)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986,278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55,117</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Increase (decrease) in payable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12,613,912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(3,357,500)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34,239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206,754</w:t>
            </w:r>
          </w:p>
        </w:tc>
        <w:tc>
          <w:tcPr>
            <w:tcW w:w="0" w:type="dxa"/>
            <w:vAlign w:val="bottom"/>
          </w:tcPr>
          <w:p>
            <w:pPr>
              <w:spacing w:after="0"/>
              <w:rPr>
                <w:sz w:val="1"/>
                <w:szCs w:val="1"/>
                <w:color w:val="auto"/>
              </w:rPr>
            </w:pPr>
          </w:p>
        </w:tc>
      </w:tr>
      <w:tr>
        <w:trPr>
          <w:trHeight w:val="223"/>
        </w:trPr>
        <w:tc>
          <w:tcPr>
            <w:tcW w:w="8620" w:type="dxa"/>
            <w:vAlign w:val="bottom"/>
          </w:tcPr>
          <w:p>
            <w:pPr>
              <w:ind w:left="88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(34,915,242)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(8,454,745)</w:t>
            </w:r>
          </w:p>
        </w:tc>
        <w:tc>
          <w:tcPr>
            <w:tcW w:w="0" w:type="dxa"/>
            <w:vAlign w:val="bottom"/>
          </w:tcPr>
          <w:p>
            <w:pPr>
              <w:spacing w:after="0"/>
              <w:rPr>
                <w:sz w:val="1"/>
                <w:szCs w:val="1"/>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(3,947,985)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(1,678,413)</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Notes 5 and 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54,800,000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30,950,000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Notes 5 and 9)</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(15,200,000)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(20,675,000)</w:t>
            </w:r>
          </w:p>
        </w:tc>
        <w:tc>
          <w:tcPr>
            <w:tcW w:w="0" w:type="dxa"/>
            <w:vAlign w:val="bottom"/>
          </w:tcPr>
          <w:p>
            <w:pPr>
              <w:spacing w:after="0"/>
              <w:rPr>
                <w:sz w:val="1"/>
                <w:szCs w:val="1"/>
                <w:color w:val="auto"/>
              </w:rPr>
            </w:pPr>
          </w:p>
        </w:tc>
      </w:tr>
      <w:tr>
        <w:trPr>
          <w:trHeight w:val="230"/>
        </w:trPr>
        <w:tc>
          <w:tcPr>
            <w:tcW w:w="862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35,652,015</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141,842</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4,578,249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5,315,022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3,987,645</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647,454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440"/>
              <w:spacing w:after="0"/>
              <w:rPr>
                <w:sz w:val="20"/>
                <w:szCs w:val="20"/>
                <w:color w:val="auto"/>
              </w:rPr>
            </w:pPr>
            <w:r>
              <w:rPr>
                <w:rFonts w:ascii="Arial" w:cs="Arial" w:eastAsia="Arial" w:hAnsi="Arial"/>
                <w:sz w:val="18"/>
                <w:szCs w:val="18"/>
                <w:color w:val="auto"/>
              </w:rPr>
              <w:t>Conversions and non-cash exchanges</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5,952,277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Basis Point</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60" w:type="dxa"/>
            <w:vAlign w:val="bottom"/>
          </w:tcPr>
          <w:p>
            <w:pPr>
              <w:jc w:val="right"/>
              <w:ind w:right="333"/>
              <w:spacing w:after="0" w:line="134"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880" w:type="dxa"/>
            <w:vAlign w:val="bottom"/>
          </w:tcPr>
          <w:p>
            <w:pPr>
              <w:jc w:val="right"/>
              <w:ind w:right="253"/>
              <w:spacing w:after="0" w:line="134" w:lineRule="exact"/>
              <w:rPr>
                <w:sz w:val="20"/>
                <w:szCs w:val="20"/>
                <w:color w:val="auto"/>
              </w:rPr>
            </w:pPr>
            <w:r>
              <w:rPr>
                <w:rFonts w:ascii="Arial" w:cs="Arial" w:eastAsia="Arial" w:hAnsi="Arial"/>
                <w:sz w:val="13"/>
                <w:szCs w:val="13"/>
                <w:b w:val="1"/>
                <w:bCs w:val="1"/>
                <w:color w:val="auto"/>
              </w:rPr>
              <w:t>Par /</w:t>
            </w:r>
          </w:p>
        </w:tc>
        <w:tc>
          <w:tcPr>
            <w:tcW w:w="920" w:type="dxa"/>
            <w:vAlign w:val="bottom"/>
          </w:tcPr>
          <w:p>
            <w:pPr>
              <w:spacing w:after="0"/>
              <w:rPr>
                <w:sz w:val="11"/>
                <w:szCs w:val="11"/>
                <w:color w:val="auto"/>
              </w:rPr>
            </w:pPr>
          </w:p>
        </w:tc>
        <w:tc>
          <w:tcPr>
            <w:tcW w:w="116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1340" w:type="dxa"/>
            <w:vAlign w:val="bottom"/>
            <w:tcBorders>
              <w:bottom w:val="single" w:sz="8" w:color="auto"/>
            </w:tcBorders>
          </w:tcPr>
          <w:p>
            <w:pPr>
              <w:jc w:val="center"/>
              <w:ind w:left="353"/>
              <w:spacing w:after="0"/>
              <w:rPr>
                <w:sz w:val="20"/>
                <w:szCs w:val="20"/>
                <w:color w:val="auto"/>
              </w:rPr>
            </w:pPr>
            <w:r>
              <w:rPr>
                <w:rFonts w:ascii="Arial" w:cs="Arial" w:eastAsia="Arial" w:hAnsi="Arial"/>
                <w:sz w:val="13"/>
                <w:szCs w:val="13"/>
                <w:b w:val="1"/>
                <w:bCs w:val="1"/>
                <w:color w:val="auto"/>
              </w:rPr>
              <w:t>Maturity</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Coupon</w:t>
            </w: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Cost</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Companies—174.9% </w:t>
            </w:r>
            <w:r>
              <w:rPr>
                <w:rFonts w:ascii="Arial" w:cs="Arial" w:eastAsia="Arial" w:hAnsi="Arial"/>
                <w:sz w:val="17"/>
                <w:szCs w:val="17"/>
                <w:b w:val="1"/>
                <w:bCs w:val="1"/>
                <w:color w:val="auto"/>
                <w:vertAlign w:val="superscript"/>
              </w:rPr>
              <w:t>(3),(4)</w:t>
            </w:r>
          </w:p>
        </w:tc>
        <w:tc>
          <w:tcPr>
            <w:tcW w:w="10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b w:val="1"/>
                <w:bCs w:val="1"/>
                <w:color w:val="auto"/>
              </w:rPr>
              <w:t>First Lien Secured Debt—153.8%</w:t>
            </w:r>
          </w:p>
        </w:tc>
        <w:tc>
          <w:tcPr>
            <w:tcW w:w="1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ABG Intermediate Holdings 2, LLC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06/28/2019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$ 6,965,000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   7,000,000</w:t>
            </w:r>
          </w:p>
        </w:tc>
        <w:tc>
          <w:tcPr>
            <w:tcW w:w="0" w:type="dxa"/>
            <w:vAlign w:val="bottom"/>
          </w:tcPr>
          <w:p>
            <w:pPr>
              <w:spacing w:after="0"/>
              <w:rPr>
                <w:sz w:val="1"/>
                <w:szCs w:val="1"/>
                <w:color w:val="auto"/>
              </w:rPr>
            </w:pPr>
          </w:p>
        </w:tc>
      </w:tr>
      <w:tr>
        <w:trPr>
          <w:trHeight w:val="138"/>
        </w:trPr>
        <w:tc>
          <w:tcPr>
            <w:tcW w:w="2780" w:type="dxa"/>
            <w:vAlign w:val="bottom"/>
          </w:tcPr>
          <w:p>
            <w:pPr>
              <w:spacing w:after="0" w:line="138" w:lineRule="exact"/>
              <w:rPr>
                <w:sz w:val="20"/>
                <w:szCs w:val="20"/>
                <w:color w:val="auto"/>
              </w:rPr>
            </w:pPr>
            <w:r>
              <w:rPr>
                <w:rFonts w:ascii="Arial" w:cs="Arial" w:eastAsia="Arial" w:hAnsi="Arial"/>
                <w:sz w:val="13"/>
                <w:szCs w:val="13"/>
                <w:color w:val="auto"/>
              </w:rPr>
              <w:t>AKA Diversified Holdings, Inc.</w:t>
            </w:r>
          </w:p>
        </w:tc>
        <w:tc>
          <w:tcPr>
            <w:tcW w:w="1340" w:type="dxa"/>
            <w:vAlign w:val="bottom"/>
          </w:tcPr>
          <w:p>
            <w:pPr>
              <w:jc w:val="center"/>
              <w:ind w:left="333"/>
              <w:spacing w:after="0" w:line="138" w:lineRule="exact"/>
              <w:rPr>
                <w:sz w:val="20"/>
                <w:szCs w:val="20"/>
                <w:color w:val="auto"/>
              </w:rPr>
            </w:pPr>
            <w:r>
              <w:rPr>
                <w:rFonts w:ascii="Arial" w:cs="Arial" w:eastAsia="Arial" w:hAnsi="Arial"/>
                <w:sz w:val="13"/>
                <w:szCs w:val="13"/>
                <w:color w:val="auto"/>
                <w:w w:val="95"/>
              </w:rPr>
              <w:t>12/21/2016</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6"/>
              </w:rPr>
              <w:t>Retail</w:t>
            </w:r>
          </w:p>
        </w:tc>
        <w:tc>
          <w:tcPr>
            <w:tcW w:w="1060" w:type="dxa"/>
            <w:vAlign w:val="bottom"/>
          </w:tcPr>
          <w:p>
            <w:pPr>
              <w:jc w:val="right"/>
              <w:ind w:right="3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9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L+1,225</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2,901,283</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2,852,180</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2,903,894</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60" w:type="dxa"/>
            <w:vAlign w:val="bottom"/>
          </w:tcPr>
          <w:p>
            <w:pPr>
              <w:jc w:val="right"/>
              <w:ind w:right="113"/>
              <w:spacing w:after="0"/>
              <w:rPr>
                <w:sz w:val="20"/>
                <w:szCs w:val="20"/>
                <w:color w:val="auto"/>
              </w:rPr>
            </w:pPr>
            <w:r>
              <w:rPr>
                <w:rFonts w:ascii="Arial" w:cs="Arial" w:eastAsia="Arial" w:hAnsi="Arial"/>
                <w:sz w:val="13"/>
                <w:szCs w:val="13"/>
                <w:color w:val="auto"/>
              </w:rPr>
              <w:t>(PIK 1.50%)</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ALG USA Holdings, LLC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02/28/2019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8,436,250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8,376,984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8,457,341</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Alvogen Pharma US,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05/23/2018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2,944,315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2,912,559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2,973,758</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AMF Bowling Centers,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06/29/2018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7,900,000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7,684,697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7,919,750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Ancile Solutions,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07/16/2018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4,937,500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4,892,248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4,925,156</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AP Gaming I, LLC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12/21/2020</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9.25%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L+825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1,358,000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1,365,000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ARC Automotive Group,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11/15/2018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2,524,500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2,503,586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2,524,500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Aspen Dental Management,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10/06/2016</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2,909,278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2,903,250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ATI Holdings,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12/20/2019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2,970,000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2,943,278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2,975,584</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Azure Midstream Energy LLC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11/15/2018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Energy: Oil and Gas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7,500,000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7,390,396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7,537,500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BBB Industries, LLC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03/27/2019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2,887,500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2,867,060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2,887,500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BBTS Borrower LP</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06/04/2019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Energy: Oil and Gas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6,947,500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6,886,699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6,982,238</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Bellisio Foods,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08/01/2019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4,716,992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4,695,262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4,693,407</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07/02/2020</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4,953,959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5,159,400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Cetera Financial Group,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08/07/2019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Banking, Finance and Real Estate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4,968,750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4,875,481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5,024,648</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Charming Charlie LLC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12/24/2019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4,500,000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4,432,500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Cydcor LLC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06/12/2017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9.75%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L+725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1,916,249</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1,916,249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1,931,196</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03/19/2018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3,593,921</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3,548,916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3,504,073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12/03/2018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956,410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949,657</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954,019</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07/28/2017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876,507</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876,507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876,507</w:t>
            </w:r>
          </w:p>
        </w:tc>
        <w:tc>
          <w:tcPr>
            <w:tcW w:w="0" w:type="dxa"/>
            <w:vAlign w:val="bottom"/>
          </w:tcPr>
          <w:p>
            <w:pPr>
              <w:spacing w:after="0"/>
              <w:rPr>
                <w:sz w:val="1"/>
                <w:szCs w:val="1"/>
                <w:color w:val="auto"/>
              </w:rPr>
            </w:pPr>
          </w:p>
        </w:tc>
      </w:tr>
      <w:tr>
        <w:trPr>
          <w:trHeight w:val="138"/>
        </w:trPr>
        <w:tc>
          <w:tcPr>
            <w:tcW w:w="2780" w:type="dxa"/>
            <w:vAlign w:val="bottom"/>
          </w:tcPr>
          <w:p>
            <w:pPr>
              <w:spacing w:after="0" w:line="138" w:lineRule="exact"/>
              <w:rPr>
                <w:sz w:val="20"/>
                <w:szCs w:val="20"/>
                <w:color w:val="auto"/>
              </w:rPr>
            </w:pPr>
            <w:r>
              <w:rPr>
                <w:rFonts w:ascii="Arial" w:cs="Arial" w:eastAsia="Arial" w:hAnsi="Arial"/>
                <w:sz w:val="13"/>
                <w:szCs w:val="13"/>
                <w:color w:val="auto"/>
              </w:rPr>
              <w:t>Edmentum, Inc.</w:t>
            </w:r>
          </w:p>
        </w:tc>
        <w:tc>
          <w:tcPr>
            <w:tcW w:w="1340" w:type="dxa"/>
            <w:vAlign w:val="bottom"/>
          </w:tcPr>
          <w:p>
            <w:pPr>
              <w:jc w:val="center"/>
              <w:ind w:left="333"/>
              <w:spacing w:after="0" w:line="138" w:lineRule="exact"/>
              <w:rPr>
                <w:sz w:val="20"/>
                <w:szCs w:val="20"/>
                <w:color w:val="auto"/>
              </w:rPr>
            </w:pPr>
            <w:r>
              <w:rPr>
                <w:rFonts w:ascii="Arial" w:cs="Arial" w:eastAsia="Arial" w:hAnsi="Arial"/>
                <w:sz w:val="13"/>
                <w:szCs w:val="13"/>
                <w:color w:val="auto"/>
                <w:w w:val="95"/>
              </w:rPr>
              <w:t>05/17/2018</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936,091</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936,091</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936,091</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05/18/2018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2,463,740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2,446,957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2,476,059</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05/02/2018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2,962,575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2,949,125</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2,966,278</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e-Rewards,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10/29/2018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9,806,392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9,912,500</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FHC Health Systems,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01/09/2018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4,875,000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4,830,702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4,875,000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11/30/2017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3,638,250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3,613,279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3,645,090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GlobalLogic Holdings,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05/31/2019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3,960,557</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3,990,000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Golden Nugget,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11/21/2019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5,600,000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5,544,993</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5,677,000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1"/>
                <w:szCs w:val="11"/>
                <w:color w:val="auto"/>
              </w:rPr>
              <w:t xml:space="preserve">Golden Nugget, Inc. </w:t>
            </w:r>
            <w:r>
              <w:rPr>
                <w:rFonts w:ascii="Arial" w:cs="Arial" w:eastAsia="Arial" w:hAnsi="Arial"/>
                <w:sz w:val="17"/>
                <w:szCs w:val="17"/>
                <w:color w:val="auto"/>
                <w:vertAlign w:val="superscript"/>
              </w:rPr>
              <w:t>(10)</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02/21/2014</w:t>
            </w: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2,400,000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2,376,000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2,433,000</w:t>
            </w: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340" w:type="dxa"/>
            <w:vAlign w:val="bottom"/>
            <w:shd w:val="clear" w:color="auto" w:fill="CCEEFF"/>
          </w:tcPr>
          <w:p>
            <w:pPr>
              <w:jc w:val="center"/>
              <w:ind w:left="333"/>
              <w:spacing w:after="0" w:line="138" w:lineRule="exact"/>
              <w:rPr>
                <w:sz w:val="20"/>
                <w:szCs w:val="20"/>
                <w:color w:val="auto"/>
              </w:rPr>
            </w:pPr>
            <w:r>
              <w:rPr>
                <w:rFonts w:ascii="Arial" w:cs="Arial" w:eastAsia="Arial" w:hAnsi="Arial"/>
                <w:sz w:val="13"/>
                <w:szCs w:val="13"/>
                <w:color w:val="auto"/>
                <w:w w:val="95"/>
              </w:rPr>
              <w:t>05/23/2018</w:t>
            </w: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2,598,612</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2,593,406</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2,607,265</w:t>
            </w: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Help/Systems Holdings,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06/28/2019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4,987,500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4,941,990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08/03/2017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Wholesale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2,579,446</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2,551,661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2,424,679</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03/30/2017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11.50%</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1,971,578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2,080,000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05/01/2019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11,473,077</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11,312,662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11,243,615</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InfuSystem Holdings,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11/30/2016</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11.61%</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P+625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2,175,000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2,175,000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2,224,663</w:t>
            </w: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340" w:type="dxa"/>
            <w:vAlign w:val="bottom"/>
            <w:shd w:val="clear" w:color="auto" w:fill="CCEEFF"/>
          </w:tcPr>
          <w:p>
            <w:pPr>
              <w:jc w:val="center"/>
              <w:ind w:left="333"/>
              <w:spacing w:after="0" w:line="138" w:lineRule="exact"/>
              <w:rPr>
                <w:sz w:val="20"/>
                <w:szCs w:val="20"/>
                <w:color w:val="auto"/>
              </w:rPr>
            </w:pPr>
            <w:r>
              <w:rPr>
                <w:rFonts w:ascii="Arial" w:cs="Arial" w:eastAsia="Arial" w:hAnsi="Arial"/>
                <w:sz w:val="13"/>
                <w:szCs w:val="13"/>
                <w:color w:val="auto"/>
                <w:w w:val="95"/>
              </w:rPr>
              <w:t>08/07/2014</w:t>
            </w: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shd w:val="clear" w:color="auto" w:fill="CCEEFF"/>
          </w:tcPr>
          <w:p>
            <w:pPr>
              <w:jc w:val="right"/>
              <w:ind w:right="33"/>
              <w:spacing w:after="0" w:line="138" w:lineRule="exact"/>
              <w:rPr>
                <w:sz w:val="20"/>
                <w:szCs w:val="20"/>
                <w:color w:val="auto"/>
              </w:rPr>
            </w:pPr>
            <w:r>
              <w:rPr>
                <w:rFonts w:ascii="Arial" w:cs="Arial" w:eastAsia="Arial" w:hAnsi="Arial"/>
                <w:sz w:val="10"/>
                <w:szCs w:val="10"/>
                <w:color w:val="auto"/>
              </w:rPr>
              <w:t>3.62%</w:t>
            </w:r>
            <w:r>
              <w:rPr>
                <w:rFonts w:ascii="Arial" w:cs="Arial" w:eastAsia="Arial" w:hAnsi="Arial"/>
                <w:sz w:val="15"/>
                <w:szCs w:val="15"/>
                <w:color w:val="auto"/>
                <w:vertAlign w:val="superscript"/>
              </w:rPr>
              <w:t>(9)</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L+338</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7,399,622</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7,238,312</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6,696,658</w:t>
            </w: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10/16/2017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L+850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5,521,875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5,412,566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5,466,656</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07/11/2019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Cargo</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1,953,636</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1,925,945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1,950,706</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08/19/2019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L+900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6,157,648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6,037,638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6,095,473</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11/30/2018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5,970,000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5,885,928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5,373,000</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LJ Host Merger Sub,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12/23/2019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4,950,000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Meritas Schools Holdings, LLC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06/25/2019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2,985,000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2,957,571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2,999,925</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Milk Specialties Company</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11/09/2018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3,335,060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3,306,624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3,326,722</w:t>
            </w: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1340" w:type="dxa"/>
            <w:vAlign w:val="bottom"/>
            <w:shd w:val="clear" w:color="auto" w:fill="CCEEFF"/>
          </w:tcPr>
          <w:p>
            <w:pPr>
              <w:jc w:val="center"/>
              <w:ind w:left="333"/>
              <w:spacing w:after="0" w:line="138" w:lineRule="exact"/>
              <w:rPr>
                <w:sz w:val="20"/>
                <w:szCs w:val="20"/>
                <w:color w:val="auto"/>
              </w:rPr>
            </w:pPr>
            <w:r>
              <w:rPr>
                <w:rFonts w:ascii="Arial" w:cs="Arial" w:eastAsia="Arial" w:hAnsi="Arial"/>
                <w:sz w:val="13"/>
                <w:szCs w:val="13"/>
                <w:color w:val="auto"/>
                <w:w w:val="95"/>
              </w:rPr>
              <w:t>04/24/2018</w:t>
            </w: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Banking, Finance, Insurance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925,000</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915,097</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929,625</w:t>
            </w: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Real Estate</w:t>
            </w:r>
          </w:p>
        </w:tc>
        <w:tc>
          <w:tcPr>
            <w:tcW w:w="10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08/01/2019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6,483,750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6,423,160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6,516,169</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07/31/2019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9,975,000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9,883,117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12/19/2018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9.00%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L+775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4,500,000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4,424,930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4,522,500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B-2 Loan</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08/20/2019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10,847,813</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10,739,790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10,956,291</w:t>
            </w:r>
          </w:p>
        </w:tc>
        <w:tc>
          <w:tcPr>
            <w:tcW w:w="0" w:type="dxa"/>
            <w:vAlign w:val="bottom"/>
          </w:tcPr>
          <w:p>
            <w:pPr>
              <w:spacing w:after="0"/>
              <w:rPr>
                <w:sz w:val="1"/>
                <w:szCs w:val="1"/>
                <w:color w:val="auto"/>
              </w:rPr>
            </w:pPr>
          </w:p>
        </w:tc>
      </w:tr>
      <w:tr>
        <w:trPr>
          <w:trHeight w:val="138"/>
        </w:trPr>
        <w:tc>
          <w:tcPr>
            <w:tcW w:w="2780" w:type="dxa"/>
            <w:vAlign w:val="bottom"/>
          </w:tcPr>
          <w:p>
            <w:pPr>
              <w:spacing w:after="0" w:line="138" w:lineRule="exact"/>
              <w:rPr>
                <w:sz w:val="20"/>
                <w:szCs w:val="20"/>
                <w:color w:val="auto"/>
              </w:rPr>
            </w:pPr>
            <w:r>
              <w:rPr>
                <w:rFonts w:ascii="Arial" w:cs="Arial" w:eastAsia="Arial" w:hAnsi="Arial"/>
                <w:sz w:val="13"/>
                <w:szCs w:val="13"/>
                <w:color w:val="auto"/>
              </w:rPr>
              <w:t>Old Guard Risk Services, Inc.</w:t>
            </w:r>
          </w:p>
        </w:tc>
        <w:tc>
          <w:tcPr>
            <w:tcW w:w="1340" w:type="dxa"/>
            <w:vAlign w:val="bottom"/>
          </w:tcPr>
          <w:p>
            <w:pPr>
              <w:jc w:val="center"/>
              <w:ind w:left="333"/>
              <w:spacing w:after="0" w:line="138" w:lineRule="exact"/>
              <w:rPr>
                <w:sz w:val="20"/>
                <w:szCs w:val="20"/>
                <w:color w:val="auto"/>
              </w:rPr>
            </w:pPr>
            <w:r>
              <w:rPr>
                <w:rFonts w:ascii="Arial" w:cs="Arial" w:eastAsia="Arial" w:hAnsi="Arial"/>
                <w:sz w:val="13"/>
                <w:szCs w:val="13"/>
                <w:color w:val="auto"/>
                <w:w w:val="95"/>
              </w:rPr>
              <w:t>11/27/2018</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2"/>
              </w:rPr>
              <w:t>Banking, Finance, Insurance and</w:t>
            </w:r>
          </w:p>
        </w:tc>
        <w:tc>
          <w:tcPr>
            <w:tcW w:w="106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12.50%</w:t>
            </w:r>
          </w:p>
        </w:tc>
        <w:tc>
          <w:tcPr>
            <w:tcW w:w="9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L+1,150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8,400,000</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8,075,250</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8,232,000</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color w:val="auto"/>
                <w:w w:val="89"/>
              </w:rPr>
              <w:t>Real Estate</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03/25/2019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Transportation: Consumer</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3,980,000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3,980,000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3,993,691</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05/11/2020</w:t>
            </w:r>
          </w:p>
        </w:tc>
        <w:tc>
          <w:tcPr>
            <w:tcW w:w="214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2,493,750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2,483,481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2,493,750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07/11/2018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1,477,500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1,454,278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1,479,347</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Polyconcept Finance B.V.</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06/28/2019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7,800,176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7,729,201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7,800,176</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11/01/2018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3,366,006</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3,280,152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3,387,043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1"/>
                <w:szCs w:val="11"/>
                <w:color w:val="auto"/>
              </w:rPr>
              <w:t xml:space="preserve">Quality Home Brands Holdings LLC </w:t>
            </w:r>
            <w:r>
              <w:rPr>
                <w:rFonts w:ascii="Arial" w:cs="Arial" w:eastAsia="Arial" w:hAnsi="Arial"/>
                <w:sz w:val="17"/>
                <w:szCs w:val="17"/>
                <w:color w:val="auto"/>
                <w:vertAlign w:val="superscript"/>
              </w:rPr>
              <w:t>(8)</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12/17/2018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Consumer Goods: Durable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4,950,000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11/29/2016</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L+875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4,250,000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4,188,919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4,260,625</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SCE Partners, LLC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08/14/2019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8.25%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L+725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12,000,000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11,888,103</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11,880,000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Holdings, Inc.</w:t>
            </w:r>
          </w:p>
        </w:tc>
        <w:tc>
          <w:tcPr>
            <w:tcW w:w="1340" w:type="dxa"/>
            <w:vAlign w:val="bottom"/>
            <w:shd w:val="clear" w:color="auto" w:fill="CCEEFF"/>
          </w:tcPr>
          <w:p>
            <w:pPr>
              <w:jc w:val="center"/>
              <w:ind w:left="333"/>
              <w:spacing w:after="0"/>
              <w:rPr>
                <w:sz w:val="20"/>
                <w:szCs w:val="20"/>
                <w:color w:val="auto"/>
              </w:rPr>
            </w:pPr>
            <w:r>
              <w:rPr>
                <w:rFonts w:ascii="Arial" w:cs="Arial" w:eastAsia="Arial" w:hAnsi="Arial"/>
                <w:sz w:val="13"/>
                <w:szCs w:val="13"/>
                <w:color w:val="auto"/>
                <w:w w:val="95"/>
              </w:rPr>
              <w:t>04/30/2020</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4.75%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L+350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1,995,000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1,976,988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1,973,175</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340" w:type="dxa"/>
            <w:vAlign w:val="bottom"/>
          </w:tcPr>
          <w:p>
            <w:pPr>
              <w:jc w:val="center"/>
              <w:ind w:left="333"/>
              <w:spacing w:after="0"/>
              <w:rPr>
                <w:sz w:val="20"/>
                <w:szCs w:val="20"/>
                <w:color w:val="auto"/>
              </w:rPr>
            </w:pPr>
            <w:r>
              <w:rPr>
                <w:rFonts w:ascii="Arial" w:cs="Arial" w:eastAsia="Arial" w:hAnsi="Arial"/>
                <w:sz w:val="13"/>
                <w:szCs w:val="13"/>
                <w:color w:val="auto"/>
                <w:w w:val="95"/>
              </w:rPr>
              <w:t>04/21/2017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L+600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2,616,518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2,601,258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2,302,535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Basis Point</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33"/>
              <w:spacing w:after="0" w:line="134"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320"/>
              <w:spacing w:after="0" w:line="134" w:lineRule="exact"/>
              <w:rPr>
                <w:sz w:val="20"/>
                <w:szCs w:val="20"/>
                <w:color w:val="auto"/>
              </w:rPr>
            </w:pPr>
            <w:r>
              <w:rPr>
                <w:rFonts w:ascii="Arial" w:cs="Arial" w:eastAsia="Arial" w:hAnsi="Arial"/>
                <w:sz w:val="13"/>
                <w:szCs w:val="13"/>
                <w:b w:val="1"/>
                <w:bCs w:val="1"/>
                <w:color w:val="auto"/>
                <w:w w:val="95"/>
              </w:rPr>
              <w:t>Above</w:t>
            </w:r>
          </w:p>
        </w:tc>
        <w:tc>
          <w:tcPr>
            <w:tcW w:w="90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w w:val="99"/>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960" w:type="dxa"/>
            <w:vAlign w:val="bottom"/>
            <w:gridSpan w:val="2"/>
          </w:tcPr>
          <w:p>
            <w:pPr>
              <w:jc w:val="right"/>
              <w:ind w:right="353"/>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32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9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St. George’s University Scholastic Services LLC</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92"/>
              </w:rPr>
              <w:t>12/20/2017</w:t>
            </w:r>
          </w:p>
        </w:tc>
        <w:tc>
          <w:tcPr>
            <w:tcW w:w="12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Consumer Services</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8.50</w:t>
            </w:r>
          </w:p>
        </w:tc>
        <w:tc>
          <w:tcPr>
            <w:tcW w:w="320" w:type="dxa"/>
            <w:vAlign w:val="bottom"/>
            <w:tcBorders>
              <w:top w:val="single" w:sz="8" w:color="CCEEFF"/>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L+700</w:t>
            </w: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1,846,471</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1,815,414</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1,855,704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rPr>
                <w:sz w:val="20"/>
                <w:szCs w:val="20"/>
                <w:color w:val="auto"/>
              </w:rPr>
            </w:pPr>
            <w:r>
              <w:rPr>
                <w:rFonts w:ascii="Arial" w:cs="Arial" w:eastAsia="Arial" w:hAnsi="Arial"/>
                <w:sz w:val="13"/>
                <w:szCs w:val="13"/>
                <w:color w:val="auto"/>
              </w:rPr>
              <w:t>Surgical Specialties Corporation (US), Inc.</w:t>
            </w:r>
          </w:p>
        </w:tc>
        <w:tc>
          <w:tcPr>
            <w:tcW w:w="620" w:type="dxa"/>
            <w:vAlign w:val="bottom"/>
          </w:tcPr>
          <w:p>
            <w:pPr>
              <w:spacing w:after="0"/>
              <w:rPr>
                <w:sz w:val="20"/>
                <w:szCs w:val="20"/>
                <w:color w:val="auto"/>
              </w:rPr>
            </w:pPr>
            <w:r>
              <w:rPr>
                <w:rFonts w:ascii="Arial" w:cs="Arial" w:eastAsia="Arial" w:hAnsi="Arial"/>
                <w:sz w:val="13"/>
                <w:szCs w:val="13"/>
                <w:color w:val="auto"/>
                <w:w w:val="92"/>
              </w:rPr>
              <w:t>08/22/2018</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7.25%</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L+575</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3,510,000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3,476,689</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3,527,550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03/06/2019</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7.25%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L+600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962,500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945,748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960,094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Systems Maintenance Services Holding, Inc.</w:t>
            </w:r>
          </w:p>
        </w:tc>
        <w:tc>
          <w:tcPr>
            <w:tcW w:w="620" w:type="dxa"/>
            <w:vAlign w:val="bottom"/>
          </w:tcPr>
          <w:p>
            <w:pPr>
              <w:spacing w:after="0"/>
              <w:rPr>
                <w:sz w:val="20"/>
                <w:szCs w:val="20"/>
                <w:color w:val="auto"/>
              </w:rPr>
            </w:pPr>
            <w:r>
              <w:rPr>
                <w:rFonts w:ascii="Arial" w:cs="Arial" w:eastAsia="Arial" w:hAnsi="Arial"/>
                <w:sz w:val="13"/>
                <w:szCs w:val="13"/>
                <w:color w:val="auto"/>
                <w:w w:val="92"/>
              </w:rPr>
              <w:t>10/18/2019</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5.25%</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L+425</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6,000,000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5,971,428</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5,970,000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Active Network, Inc. and Lanyon,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11/13/2020</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L+450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2,000,000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1,990,145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gridSpan w:val="2"/>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05/31/2018</w:t>
            </w:r>
          </w:p>
        </w:tc>
        <w:tc>
          <w:tcPr>
            <w:tcW w:w="120" w:type="dxa"/>
            <w:vAlign w:val="bottom"/>
          </w:tcPr>
          <w:p>
            <w:pPr>
              <w:spacing w:after="0"/>
              <w:rPr>
                <w:sz w:val="11"/>
                <w:szCs w:val="11"/>
                <w:color w:val="auto"/>
              </w:rPr>
            </w:pPr>
          </w:p>
        </w:tc>
        <w:tc>
          <w:tcPr>
            <w:tcW w:w="232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98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L+475</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w w:val="96"/>
              </w:rPr>
              <w:t>4,331,250</w:t>
            </w:r>
          </w:p>
        </w:tc>
        <w:tc>
          <w:tcPr>
            <w:tcW w:w="80" w:type="dxa"/>
            <w:vAlign w:val="bottom"/>
          </w:tcPr>
          <w:p>
            <w:pPr>
              <w:spacing w:after="0"/>
              <w:rPr>
                <w:sz w:val="11"/>
                <w:szCs w:val="11"/>
                <w:color w:val="auto"/>
              </w:rPr>
            </w:pPr>
          </w:p>
        </w:tc>
        <w:tc>
          <w:tcPr>
            <w:tcW w:w="102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4,293,530</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4,309,594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Publishing</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Therakos,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12/27/2017</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L+625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4,964,983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4,879,135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4,969,104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04/16/2018</w:t>
            </w:r>
          </w:p>
        </w:tc>
        <w:tc>
          <w:tcPr>
            <w:tcW w:w="120" w:type="dxa"/>
            <w:vAlign w:val="bottom"/>
          </w:tcPr>
          <w:p>
            <w:pPr>
              <w:spacing w:after="0"/>
              <w:rPr>
                <w:sz w:val="11"/>
                <w:szCs w:val="11"/>
                <w:color w:val="auto"/>
              </w:rPr>
            </w:pPr>
          </w:p>
        </w:tc>
        <w:tc>
          <w:tcPr>
            <w:tcW w:w="232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Telecommunications</w:t>
            </w:r>
          </w:p>
        </w:tc>
        <w:tc>
          <w:tcPr>
            <w:tcW w:w="96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15.00%</w:t>
            </w:r>
          </w:p>
        </w:tc>
        <w:tc>
          <w:tcPr>
            <w:tcW w:w="98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L+1,350</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w w:val="96"/>
              </w:rPr>
              <w:t>2,129,016</w:t>
            </w:r>
          </w:p>
        </w:tc>
        <w:tc>
          <w:tcPr>
            <w:tcW w:w="80" w:type="dxa"/>
            <w:vAlign w:val="bottom"/>
          </w:tcPr>
          <w:p>
            <w:pPr>
              <w:spacing w:after="0"/>
              <w:rPr>
                <w:sz w:val="11"/>
                <w:szCs w:val="11"/>
                <w:color w:val="auto"/>
              </w:rPr>
            </w:pPr>
          </w:p>
        </w:tc>
        <w:tc>
          <w:tcPr>
            <w:tcW w:w="102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2,092,938</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2,107,726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3"/>
                <w:szCs w:val="13"/>
                <w:color w:val="auto"/>
              </w:rPr>
              <w:t>(PIK 4.00%)</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Univita Health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06/19/2017</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L+500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2,925,000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2,907,001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2,800,688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12/22/2016</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7.25%</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L+550</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2,925,000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2,912,674</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1,652,625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Vitera Healthcare Solutions, LLC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11/04/2020</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L+500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7,000,000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6,931,656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6,965,000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08/30/2018</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Consumer Goods: Non-Durable</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L+625</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3,187,500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3,137,224</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3,020,156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06/04/2018</w:t>
            </w:r>
          </w:p>
        </w:tc>
        <w:tc>
          <w:tcPr>
            <w:tcW w:w="1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8.02%</w:t>
            </w:r>
          </w:p>
        </w:tc>
        <w:tc>
          <w:tcPr>
            <w:tcW w:w="98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L+675</w:t>
            </w:r>
          </w:p>
        </w:tc>
        <w:tc>
          <w:tcPr>
            <w:tcW w:w="9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w w:val="96"/>
              </w:rPr>
              <w:t>4,200,000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4,105,113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4,240,236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rPr>
                <w:sz w:val="20"/>
                <w:szCs w:val="20"/>
                <w:color w:val="auto"/>
              </w:rPr>
            </w:pPr>
            <w:r>
              <w:rPr>
                <w:rFonts w:ascii="Arial" w:cs="Arial" w:eastAsia="Arial" w:hAnsi="Arial"/>
                <w:sz w:val="13"/>
                <w:szCs w:val="13"/>
                <w:color w:val="auto"/>
              </w:rPr>
              <w:t>Zest Anchors, LLC</w:t>
            </w:r>
          </w:p>
        </w:tc>
        <w:tc>
          <w:tcPr>
            <w:tcW w:w="620" w:type="dxa"/>
            <w:vAlign w:val="bottom"/>
          </w:tcPr>
          <w:p>
            <w:pPr>
              <w:spacing w:after="0"/>
              <w:rPr>
                <w:sz w:val="20"/>
                <w:szCs w:val="20"/>
                <w:color w:val="auto"/>
              </w:rPr>
            </w:pPr>
            <w:r>
              <w:rPr>
                <w:rFonts w:ascii="Arial" w:cs="Arial" w:eastAsia="Arial" w:hAnsi="Arial"/>
                <w:sz w:val="13"/>
                <w:szCs w:val="13"/>
                <w:color w:val="auto"/>
                <w:w w:val="92"/>
              </w:rPr>
              <w:t>08/17/2020</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L+550</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8,977,500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8,806,975</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8,887,725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4"/>
              </w:rPr>
              <w:t>325,774,867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326,239,855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Debt—14.9%</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09/01/2017</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Metals and Mining</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11.50%</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3,000,000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rPr>
                <w:sz w:val="20"/>
                <w:szCs w:val="20"/>
                <w:color w:val="auto"/>
              </w:rPr>
            </w:pPr>
            <w:r>
              <w:rPr>
                <w:rFonts w:ascii="Arial" w:cs="Arial" w:eastAsia="Arial" w:hAnsi="Arial"/>
                <w:sz w:val="13"/>
                <w:szCs w:val="13"/>
                <w:color w:val="auto"/>
              </w:rPr>
              <w:t>Arsloane Acquisition, LLC</w:t>
            </w:r>
          </w:p>
        </w:tc>
        <w:tc>
          <w:tcPr>
            <w:tcW w:w="620" w:type="dxa"/>
            <w:vAlign w:val="bottom"/>
          </w:tcPr>
          <w:p>
            <w:pPr>
              <w:spacing w:after="0"/>
              <w:rPr>
                <w:sz w:val="20"/>
                <w:szCs w:val="20"/>
                <w:color w:val="auto"/>
              </w:rPr>
            </w:pPr>
            <w:r>
              <w:rPr>
                <w:rFonts w:ascii="Arial" w:cs="Arial" w:eastAsia="Arial" w:hAnsi="Arial"/>
                <w:sz w:val="13"/>
                <w:szCs w:val="13"/>
                <w:color w:val="auto"/>
                <w:w w:val="92"/>
              </w:rPr>
              <w:t>10/01/2020</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11.75%</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L+1,050</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5,000,000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4,903,862</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4,950,000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10/02/2019</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L+875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1,700,000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1,671,629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1,561,875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620" w:type="dxa"/>
            <w:vAlign w:val="bottom"/>
          </w:tcPr>
          <w:p>
            <w:pPr>
              <w:spacing w:after="0"/>
              <w:rPr>
                <w:sz w:val="20"/>
                <w:szCs w:val="20"/>
                <w:color w:val="auto"/>
              </w:rPr>
            </w:pPr>
            <w:r>
              <w:rPr>
                <w:rFonts w:ascii="Arial" w:cs="Arial" w:eastAsia="Arial" w:hAnsi="Arial"/>
                <w:sz w:val="13"/>
                <w:szCs w:val="13"/>
                <w:color w:val="auto"/>
                <w:w w:val="92"/>
              </w:rPr>
              <w:t>08/01/2018</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Beverage, Food and Tobacco</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10.63%</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3,500,000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3,500,000</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3,675,000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05/15/2018</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Energy: Oil and Gas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8.63%</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4,100,000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4,038,500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4,028,250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ILC Industries, LLC</w:t>
            </w:r>
          </w:p>
        </w:tc>
        <w:tc>
          <w:tcPr>
            <w:tcW w:w="620" w:type="dxa"/>
            <w:vAlign w:val="bottom"/>
          </w:tcPr>
          <w:p>
            <w:pPr>
              <w:spacing w:after="0"/>
              <w:rPr>
                <w:sz w:val="20"/>
                <w:szCs w:val="20"/>
                <w:color w:val="auto"/>
              </w:rPr>
            </w:pPr>
            <w:r>
              <w:rPr>
                <w:rFonts w:ascii="Arial" w:cs="Arial" w:eastAsia="Arial" w:hAnsi="Arial"/>
                <w:sz w:val="13"/>
                <w:szCs w:val="13"/>
                <w:color w:val="auto"/>
                <w:w w:val="92"/>
              </w:rPr>
              <w:t>06/14/2019</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11.50%</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L+1,000</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2,000,000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1,922,563</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12/20/2016</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L+875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7,100,000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6,999,778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7,020,125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Penton Media, Inc.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10/02/2020</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Media: Diversified and Production</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9.00%</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L+775</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5,600,000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5,519,614</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5,586,000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31,555,946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31,601,250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Notes—5.9%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09/14/2018</w:t>
            </w:r>
          </w:p>
        </w:tc>
        <w:tc>
          <w:tcPr>
            <w:tcW w:w="1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Consumer Goods: Durable</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14.50%</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w w:val="96"/>
              </w:rPr>
              <w:t>4,735,000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3,936,942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4,001,075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(PIK 14.50%)</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Affinion Investments LLC </w:t>
            </w:r>
            <w:r>
              <w:rPr>
                <w:rFonts w:ascii="Arial" w:cs="Arial" w:eastAsia="Arial" w:hAnsi="Arial"/>
                <w:sz w:val="17"/>
                <w:szCs w:val="17"/>
                <w:color w:val="auto"/>
                <w:vertAlign w:val="superscript"/>
              </w:rPr>
              <w:t>(5)</w:t>
            </w:r>
          </w:p>
        </w:tc>
        <w:tc>
          <w:tcPr>
            <w:tcW w:w="620" w:type="dxa"/>
            <w:vAlign w:val="bottom"/>
          </w:tcPr>
          <w:p>
            <w:pPr>
              <w:spacing w:after="0"/>
              <w:rPr>
                <w:sz w:val="20"/>
                <w:szCs w:val="20"/>
                <w:color w:val="auto"/>
              </w:rPr>
            </w:pPr>
            <w:r>
              <w:rPr>
                <w:rFonts w:ascii="Arial" w:cs="Arial" w:eastAsia="Arial" w:hAnsi="Arial"/>
                <w:sz w:val="13"/>
                <w:szCs w:val="13"/>
                <w:color w:val="auto"/>
                <w:w w:val="92"/>
              </w:rPr>
              <w:t>08/15/2018</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13.50%</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w w:val="96"/>
              </w:rPr>
              <w:t>1,734,000</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1,746,645</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1,725,330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Infonet,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10/26/2018</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12.25%</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1,987,500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1,951,292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2,005,290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gridSpan w:val="2"/>
          </w:tcPr>
          <w:p>
            <w:pPr>
              <w:spacing w:after="0" w:line="138" w:lineRule="exact"/>
              <w:rPr>
                <w:sz w:val="20"/>
                <w:szCs w:val="20"/>
                <w:color w:val="auto"/>
              </w:rPr>
            </w:pPr>
            <w:r>
              <w:rPr>
                <w:rFonts w:ascii="Arial" w:cs="Arial" w:eastAsia="Arial" w:hAnsi="Arial"/>
                <w:sz w:val="13"/>
                <w:szCs w:val="13"/>
                <w:color w:val="auto"/>
              </w:rPr>
              <w:t>Varel International Energy Mezzanine Funding Corp.</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01/15/2018</w:t>
            </w:r>
          </w:p>
        </w:tc>
        <w:tc>
          <w:tcPr>
            <w:tcW w:w="120" w:type="dxa"/>
            <w:vAlign w:val="bottom"/>
          </w:tcPr>
          <w:p>
            <w:pPr>
              <w:spacing w:after="0"/>
              <w:rPr>
                <w:sz w:val="11"/>
                <w:szCs w:val="11"/>
                <w:color w:val="auto"/>
              </w:rPr>
            </w:pPr>
          </w:p>
        </w:tc>
        <w:tc>
          <w:tcPr>
            <w:tcW w:w="232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5"/>
              </w:rPr>
              <w:t>Energy: Oil and Gas</w:t>
            </w:r>
          </w:p>
        </w:tc>
        <w:tc>
          <w:tcPr>
            <w:tcW w:w="96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14.00%</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w w:val="96"/>
              </w:rPr>
              <w:t>1,829,446</w:t>
            </w:r>
          </w:p>
        </w:tc>
        <w:tc>
          <w:tcPr>
            <w:tcW w:w="80" w:type="dxa"/>
            <w:vAlign w:val="bottom"/>
          </w:tcPr>
          <w:p>
            <w:pPr>
              <w:spacing w:after="0"/>
              <w:rPr>
                <w:sz w:val="11"/>
                <w:szCs w:val="11"/>
                <w:color w:val="auto"/>
              </w:rPr>
            </w:pPr>
          </w:p>
        </w:tc>
        <w:tc>
          <w:tcPr>
            <w:tcW w:w="102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1,800,520</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1,816,449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3"/>
                <w:szCs w:val="13"/>
                <w:color w:val="auto"/>
              </w:rPr>
              <w:t>(PIK 4.00%)</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3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International,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06/27/2019</w:t>
            </w:r>
          </w:p>
        </w:tc>
        <w:tc>
          <w:tcPr>
            <w:tcW w:w="1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12.00%</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w w:val="96"/>
              </w:rPr>
              <w:t>2,859,027</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2,808,233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2,869,712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12,243,632</w:t>
            </w: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12,417,856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Equity/Warrants—0.3%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Affinion Group Holdings, Inc., Series A (Warrants)</w:t>
            </w:r>
          </w:p>
        </w:tc>
        <w:tc>
          <w:tcPr>
            <w:tcW w:w="620" w:type="dxa"/>
            <w:vAlign w:val="bottom"/>
          </w:tcPr>
          <w:p>
            <w:pPr>
              <w:spacing w:after="0"/>
              <w:rPr>
                <w:sz w:val="20"/>
                <w:szCs w:val="20"/>
                <w:color w:val="auto"/>
              </w:rPr>
            </w:pPr>
            <w:r>
              <w:rPr>
                <w:rFonts w:ascii="Arial" w:cs="Arial" w:eastAsia="Arial" w:hAnsi="Arial"/>
                <w:sz w:val="13"/>
                <w:szCs w:val="13"/>
                <w:color w:val="auto"/>
                <w:w w:val="92"/>
              </w:rPr>
              <w:t>12/12/2023</w:t>
            </w:r>
          </w:p>
        </w:tc>
        <w:tc>
          <w:tcPr>
            <w:tcW w:w="12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218,316</w:t>
            </w: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275,222</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275,078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 Series B (Warrants)</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12/12/2023</w:t>
            </w: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6"/>
              </w:rPr>
              <w:t>1,135,743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340" w:type="dxa"/>
            <w:vAlign w:val="bottom"/>
            <w:gridSpan w:val="2"/>
          </w:tcPr>
          <w:p>
            <w:pPr>
              <w:spacing w:after="0" w:line="138" w:lineRule="exact"/>
              <w:rPr>
                <w:sz w:val="20"/>
                <w:szCs w:val="20"/>
                <w:color w:val="auto"/>
              </w:rPr>
            </w:pPr>
            <w:r>
              <w:rPr>
                <w:rFonts w:ascii="Arial" w:cs="Arial" w:eastAsia="Arial" w:hAnsi="Arial"/>
                <w:sz w:val="13"/>
                <w:szCs w:val="13"/>
                <w:color w:val="auto"/>
              </w:rPr>
              <w:t>Old Guard Risk Services, Inc. (Warrants)</w:t>
            </w:r>
          </w:p>
        </w:tc>
        <w:tc>
          <w:tcPr>
            <w:tcW w:w="3060" w:type="dxa"/>
            <w:vAlign w:val="bottom"/>
            <w:gridSpan w:val="4"/>
          </w:tcPr>
          <w:p>
            <w:pPr>
              <w:spacing w:after="0" w:line="138" w:lineRule="exact"/>
              <w:rPr>
                <w:sz w:val="20"/>
                <w:szCs w:val="20"/>
                <w:color w:val="auto"/>
              </w:rPr>
            </w:pPr>
            <w:r>
              <w:rPr>
                <w:rFonts w:ascii="Arial" w:cs="Arial" w:eastAsia="Arial" w:hAnsi="Arial"/>
                <w:sz w:val="13"/>
                <w:szCs w:val="13"/>
                <w:color w:val="auto"/>
              </w:rPr>
              <w:t>11/27/2023   Banking, Finance, Insurance and Real</w:t>
            </w:r>
          </w:p>
        </w:tc>
        <w:tc>
          <w:tcPr>
            <w:tcW w:w="960" w:type="dxa"/>
            <w:vAlign w:val="bottom"/>
            <w:gridSpan w:val="2"/>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4,175</w:t>
            </w:r>
          </w:p>
        </w:tc>
        <w:tc>
          <w:tcPr>
            <w:tcW w:w="80" w:type="dxa"/>
            <w:vAlign w:val="bottom"/>
          </w:tcPr>
          <w:p>
            <w:pPr>
              <w:spacing w:after="0"/>
              <w:rPr>
                <w:sz w:val="11"/>
                <w:szCs w:val="11"/>
                <w:color w:val="auto"/>
              </w:rPr>
            </w:pPr>
          </w:p>
        </w:tc>
        <w:tc>
          <w:tcPr>
            <w:tcW w:w="102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58,241</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61,073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Estate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56,717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95,285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93,583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40" w:type="dxa"/>
            <w:vAlign w:val="bottom"/>
            <w:gridSpan w:val="2"/>
          </w:tcPr>
          <w:p>
            <w:pPr>
              <w:spacing w:after="0" w:line="138" w:lineRule="exact"/>
              <w:rPr>
                <w:sz w:val="20"/>
                <w:szCs w:val="20"/>
                <w:color w:val="auto"/>
              </w:rPr>
            </w:pPr>
            <w:r>
              <w:rPr>
                <w:rFonts w:ascii="Arial" w:cs="Arial" w:eastAsia="Arial" w:hAnsi="Arial"/>
                <w:sz w:val="13"/>
                <w:szCs w:val="13"/>
                <w:color w:val="auto"/>
              </w:rPr>
              <w:t>Vestcom Parent Holdings, Inc. (Vestcom International,</w:t>
            </w:r>
          </w:p>
        </w:tc>
        <w:tc>
          <w:tcPr>
            <w:tcW w:w="74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232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15,179</w:t>
            </w:r>
          </w:p>
        </w:tc>
        <w:tc>
          <w:tcPr>
            <w:tcW w:w="80" w:type="dxa"/>
            <w:vAlign w:val="bottom"/>
          </w:tcPr>
          <w:p>
            <w:pPr>
              <w:spacing w:after="0"/>
              <w:rPr>
                <w:sz w:val="11"/>
                <w:szCs w:val="11"/>
                <w:color w:val="auto"/>
              </w:rPr>
            </w:pPr>
          </w:p>
        </w:tc>
        <w:tc>
          <w:tcPr>
            <w:tcW w:w="102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166,667</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236,382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40" w:type="dxa"/>
            <w:vAlign w:val="bottom"/>
            <w:gridSpan w:val="2"/>
          </w:tcPr>
          <w:p>
            <w:pPr>
              <w:ind w:left="220"/>
              <w:spacing w:after="0"/>
              <w:rPr>
                <w:sz w:val="20"/>
                <w:szCs w:val="20"/>
                <w:color w:val="auto"/>
              </w:rPr>
            </w:pPr>
            <w:r>
              <w:rPr>
                <w:rFonts w:ascii="Arial" w:cs="Arial" w:eastAsia="Arial" w:hAnsi="Arial"/>
                <w:sz w:val="13"/>
                <w:szCs w:val="13"/>
                <w:color w:val="auto"/>
              </w:rPr>
              <w:t>Inc.)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Publishing</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595,415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666,116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w w:val="94"/>
              </w:rPr>
              <w:t>370,169,860</w:t>
            </w: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370,925,077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Equivalents—2.5%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rPr>
                <w:sz w:val="20"/>
                <w:szCs w:val="20"/>
                <w:color w:val="auto"/>
              </w:rPr>
            </w:pPr>
            <w:r>
              <w:rPr>
                <w:rFonts w:ascii="Arial" w:cs="Arial" w:eastAsia="Arial" w:hAnsi="Arial"/>
                <w:sz w:val="13"/>
                <w:szCs w:val="13"/>
                <w:color w:val="auto"/>
              </w:rPr>
              <w:t>Cash</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84,376</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84,376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6"/>
              </w:rPr>
              <w:t>BlackRock Liquidity Funds, Temp Cash, Institutional Shares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2,298,693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2,298,693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w w:val="96"/>
              </w:rPr>
              <w:t>BlackRock Liquidity Funds, Temp Fund, Institutional Shares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2,931,953</w:t>
            </w:r>
          </w:p>
        </w:tc>
        <w:tc>
          <w:tcPr>
            <w:tcW w:w="8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2,931,953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5,315,022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5,315,022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 and Cash Equivalents—177.4%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w w:val="94"/>
              </w:rPr>
              <w:t>375,484,882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376,240,099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4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Assets—(77.4)%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93"/>
              </w:rPr>
              <w:t>(164,102,154)</w:t>
            </w:r>
          </w:p>
        </w:tc>
        <w:tc>
          <w:tcPr>
            <w:tcW w:w="0" w:type="dxa"/>
            <w:vAlign w:val="bottom"/>
          </w:tcPr>
          <w:p>
            <w:pPr>
              <w:spacing w:after="0"/>
              <w:rPr>
                <w:sz w:val="1"/>
                <w:szCs w:val="1"/>
                <w:color w:val="auto"/>
              </w:rPr>
            </w:pPr>
          </w:p>
        </w:tc>
      </w:tr>
      <w:tr>
        <w:trPr>
          <w:trHeight w:val="148"/>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9"/>
              </w:rPr>
              <w:t>212,137,945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1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77" w:lineRule="exact"/>
        <w:rPr>
          <w:sz w:val="20"/>
          <w:szCs w:val="20"/>
          <w:color w:val="auto"/>
        </w:rPr>
      </w:pPr>
    </w:p>
    <w:p>
      <w:pPr>
        <w:ind w:left="340" w:right="4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44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Basis Point</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880" w:type="dxa"/>
            <w:vAlign w:val="bottom"/>
          </w:tcPr>
          <w:p>
            <w:pPr>
              <w:jc w:val="right"/>
              <w:ind w:right="253"/>
              <w:spacing w:after="0" w:line="134" w:lineRule="exact"/>
              <w:rPr>
                <w:sz w:val="20"/>
                <w:szCs w:val="20"/>
                <w:color w:val="auto"/>
              </w:rPr>
            </w:pPr>
            <w:r>
              <w:rPr>
                <w:rFonts w:ascii="Arial" w:cs="Arial" w:eastAsia="Arial" w:hAnsi="Arial"/>
                <w:sz w:val="13"/>
                <w:szCs w:val="13"/>
                <w:b w:val="1"/>
                <w:bCs w:val="1"/>
                <w:color w:val="auto"/>
              </w:rPr>
              <w:t>Par /</w:t>
            </w:r>
          </w:p>
        </w:tc>
        <w:tc>
          <w:tcPr>
            <w:tcW w:w="920" w:type="dxa"/>
            <w:vAlign w:val="bottom"/>
          </w:tcPr>
          <w:p>
            <w:pPr>
              <w:spacing w:after="0"/>
              <w:rPr>
                <w:sz w:val="11"/>
                <w:szCs w:val="11"/>
                <w:color w:val="auto"/>
              </w:rPr>
            </w:pPr>
          </w:p>
        </w:tc>
        <w:tc>
          <w:tcPr>
            <w:tcW w:w="116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110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b w:val="1"/>
                <w:bCs w:val="1"/>
                <w:color w:val="auto"/>
              </w:rPr>
              <w:t>Maturity</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Coupon</w:t>
            </w: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Cost</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28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Companies—151.3% </w:t>
            </w:r>
            <w:r>
              <w:rPr>
                <w:rFonts w:ascii="Arial" w:cs="Arial" w:eastAsia="Arial" w:hAnsi="Arial"/>
                <w:sz w:val="17"/>
                <w:szCs w:val="17"/>
                <w:b w:val="1"/>
                <w:bCs w:val="1"/>
                <w:color w:val="auto"/>
                <w:vertAlign w:val="superscript"/>
              </w:rPr>
              <w:t>(3),(4)</w:t>
            </w: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b w:val="1"/>
                <w:bCs w:val="1"/>
                <w:color w:val="auto"/>
              </w:rPr>
              <w:t>First Lien Secured Debt—133.8%</w:t>
            </w:r>
          </w:p>
        </w:tc>
        <w:tc>
          <w:tcPr>
            <w:tcW w:w="1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AKA Diversified Holdings, Inc.</w:t>
            </w:r>
          </w:p>
        </w:tc>
        <w:tc>
          <w:tcPr>
            <w:tcW w:w="110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5"/>
              </w:rPr>
              <w:t>12/21/2016</w:t>
            </w:r>
          </w:p>
        </w:tc>
        <w:tc>
          <w:tcPr>
            <w:tcW w:w="21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Retail</w:t>
            </w:r>
          </w:p>
        </w:tc>
        <w:tc>
          <w:tcPr>
            <w:tcW w:w="1040" w:type="dxa"/>
            <w:vAlign w:val="bottom"/>
            <w:shd w:val="clear" w:color="auto" w:fill="CCEEFF"/>
          </w:tcPr>
          <w:p>
            <w:pPr>
              <w:jc w:val="right"/>
              <w:ind w:right="3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L+1,225</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2,728,141</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$ 2,684,231</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   2,755,278</w:t>
            </w:r>
          </w:p>
        </w:tc>
        <w:tc>
          <w:tcPr>
            <w:tcW w:w="0" w:type="dxa"/>
            <w:vAlign w:val="bottom"/>
          </w:tcPr>
          <w:p>
            <w:pPr>
              <w:spacing w:after="0"/>
              <w:rPr>
                <w:sz w:val="1"/>
                <w:szCs w:val="1"/>
                <w:color w:val="auto"/>
              </w:rPr>
            </w:pPr>
          </w:p>
        </w:tc>
      </w:tr>
      <w:tr>
        <w:trPr>
          <w:trHeight w:val="173"/>
        </w:trPr>
        <w:tc>
          <w:tcPr>
            <w:tcW w:w="3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(PIK 1.50%)</w:t>
            </w: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ALG USA Holdings, LLC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02/28/2019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8,457,500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8,394,246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8,457,500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05/23/2018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1,995,000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1,976,374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1,980,037</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AMF Bowling Centers, Inc. </w:t>
            </w:r>
            <w:r>
              <w:rPr>
                <w:rFonts w:ascii="Arial" w:cs="Arial" w:eastAsia="Arial" w:hAnsi="Arial"/>
                <w:sz w:val="17"/>
                <w:szCs w:val="17"/>
                <w:color w:val="auto"/>
                <w:vertAlign w:val="superscript"/>
              </w:rPr>
              <w:t>(8)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06/29/2018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8.75%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L+750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7,950,000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7,711,500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7,870,500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Ancile Solutions,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07/16/2018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4,951,516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ARC Automotive Group,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11/15/2018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2,530,875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2,510,159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2,530,875</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Aspen Dental Management,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10/06/2016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2,947,500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2,916,715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2,829,600</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ATI Holdings,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12/20/2019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2,977,500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2,951,133</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2,999,831</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BBB Industries, LLC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03/27/2019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2,925,000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2,903,031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2,917,687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BBTS Borrower LP </w:t>
            </w:r>
            <w:r>
              <w:rPr>
                <w:rFonts w:ascii="Arial" w:cs="Arial" w:eastAsia="Arial" w:hAnsi="Arial"/>
                <w:sz w:val="17"/>
                <w:szCs w:val="17"/>
                <w:color w:val="auto"/>
                <w:vertAlign w:val="superscript"/>
              </w:rPr>
              <w:t>(8)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06/04/2019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Energy: Oil and Gas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6,965,000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6,899,024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7,034,650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Bellisio Foods,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08/01/2019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4,237,288</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4,216,574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4,216,102</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Bellisio Foods, Inc. </w:t>
            </w:r>
            <w:r>
              <w:rPr>
                <w:rFonts w:ascii="Arial" w:cs="Arial" w:eastAsia="Arial" w:hAnsi="Arial"/>
                <w:sz w:val="17"/>
                <w:szCs w:val="17"/>
                <w:color w:val="auto"/>
                <w:vertAlign w:val="superscript"/>
              </w:rPr>
              <w:t>(10)</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08/01/2019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40" w:type="dxa"/>
            <w:vAlign w:val="bottom"/>
          </w:tcPr>
          <w:p>
            <w:pPr>
              <w:ind w:left="50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762,712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759,021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758,898</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BioScrip,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07/31/2020</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1,970,525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2,010,000</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07/02/2020</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8.25%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4,950,774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5,137,500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Cetera Financial Group, Inc.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08/07/2019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Banking, Finance and Real Estate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4,902,298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4,954,150</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CPG International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09/30/2020</w:t>
            </w:r>
          </w:p>
        </w:tc>
        <w:tc>
          <w:tcPr>
            <w:tcW w:w="2180" w:type="dxa"/>
            <w:vAlign w:val="bottom"/>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4.75%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L+375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4,975,000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Cydcor LLC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06/12/2017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9.75%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1,958,125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1,958,125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1,958,125</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03/19/2018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3,603,061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3,554,898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3,603,061</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12/03/2018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961,264</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954,199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961,263</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07/28/2017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888,721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888,721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888,721</w:t>
            </w: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Edmentum, Inc.</w:t>
            </w:r>
          </w:p>
        </w:tc>
        <w:tc>
          <w:tcPr>
            <w:tcW w:w="110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5"/>
              </w:rPr>
              <w:t>05/17/2018</w:t>
            </w:r>
          </w:p>
        </w:tc>
        <w:tc>
          <w:tcPr>
            <w:tcW w:w="21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938,438</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938,438</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941,563</w:t>
            </w: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EIG Investors Corp.</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11/12/2019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2,209,435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2,191,417</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2,216,350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05/18/2018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2,469,992</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2,451,906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2,482,342</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05/02/2018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2,970,056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2,955,416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2,970,056</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FHC Health Systems,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01/09/2018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4,937,500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4,890,024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4,962,187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color w:val="auto"/>
              </w:rPr>
              <w:t>Fishnet Security,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11/30/2017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3,647,438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3,623,608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3,632,228</w:t>
            </w: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100" w:type="dxa"/>
            <w:vAlign w:val="bottom"/>
            <w:shd w:val="clear" w:color="auto" w:fill="CCEEFF"/>
          </w:tcPr>
          <w:p>
            <w:pPr>
              <w:jc w:val="center"/>
              <w:ind w:left="133"/>
              <w:spacing w:after="0" w:line="138" w:lineRule="exact"/>
              <w:rPr>
                <w:sz w:val="20"/>
                <w:szCs w:val="20"/>
                <w:color w:val="auto"/>
              </w:rPr>
            </w:pPr>
            <w:r>
              <w:rPr>
                <w:rFonts w:ascii="Arial" w:cs="Arial" w:eastAsia="Arial" w:hAnsi="Arial"/>
                <w:sz w:val="13"/>
                <w:szCs w:val="13"/>
                <w:color w:val="auto"/>
                <w:w w:val="95"/>
              </w:rPr>
              <w:t>05/23/2018</w:t>
            </w:r>
          </w:p>
        </w:tc>
        <w:tc>
          <w:tcPr>
            <w:tcW w:w="21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4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2,985,000</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2,978,216</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2,987,478</w:t>
            </w: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09/02/2019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9.63%</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3,000,000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3,300,000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05/27/2016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8.99%</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2,934,372</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2,926,116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2,567,575</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 (10)</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10/31/2013</w:t>
            </w:r>
          </w:p>
        </w:tc>
        <w:tc>
          <w:tcPr>
            <w:tcW w:w="218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1040" w:type="dxa"/>
            <w:vAlign w:val="bottom"/>
          </w:tcPr>
          <w:p>
            <w:pPr>
              <w:ind w:left="5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175,657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175,657</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153,700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Help/Systems Holdings, Inc.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06/28/2019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4,952,010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08/03/2017</w:t>
            </w:r>
          </w:p>
        </w:tc>
        <w:tc>
          <w:tcPr>
            <w:tcW w:w="2180" w:type="dxa"/>
            <w:vAlign w:val="bottom"/>
          </w:tcPr>
          <w:p>
            <w:pPr>
              <w:jc w:val="center"/>
              <w:spacing w:after="0"/>
              <w:rPr>
                <w:sz w:val="20"/>
                <w:szCs w:val="20"/>
                <w:color w:val="auto"/>
              </w:rPr>
            </w:pPr>
            <w:r>
              <w:rPr>
                <w:rFonts w:ascii="Arial" w:cs="Arial" w:eastAsia="Arial" w:hAnsi="Arial"/>
                <w:sz w:val="13"/>
                <w:szCs w:val="13"/>
                <w:color w:val="auto"/>
                <w:w w:val="92"/>
              </w:rPr>
              <w:t>Wholesale</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2,585,993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2,555,979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2,456,693</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03/30/2017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11.50%</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1,969,758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2,155,000</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05/01/2019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L+600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8,775,000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8,632,866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8,687,250</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InfuSystem Holdings,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11/30/2016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11.95%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P+625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2,175,000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2,175,000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2,195,331</w:t>
            </w: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(8)</w:t>
            </w:r>
          </w:p>
        </w:tc>
        <w:tc>
          <w:tcPr>
            <w:tcW w:w="110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5"/>
              </w:rPr>
              <w:t>08/07/2014</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tcPr>
          <w:p>
            <w:pPr>
              <w:jc w:val="right"/>
              <w:ind w:right="33"/>
              <w:spacing w:after="0" w:line="138" w:lineRule="exact"/>
              <w:rPr>
                <w:sz w:val="20"/>
                <w:szCs w:val="20"/>
                <w:color w:val="auto"/>
              </w:rPr>
            </w:pPr>
            <w:r>
              <w:rPr>
                <w:rFonts w:ascii="Arial" w:cs="Arial" w:eastAsia="Arial" w:hAnsi="Arial"/>
                <w:sz w:val="10"/>
                <w:szCs w:val="10"/>
                <w:color w:val="auto"/>
              </w:rPr>
              <w:t>3.55%</w:t>
            </w:r>
            <w:r>
              <w:rPr>
                <w:rFonts w:ascii="Arial" w:cs="Arial" w:eastAsia="Arial" w:hAnsi="Arial"/>
                <w:sz w:val="15"/>
                <w:szCs w:val="15"/>
                <w:color w:val="auto"/>
                <w:vertAlign w:val="superscript"/>
              </w:rPr>
              <w:t>(9)</w:t>
            </w:r>
          </w:p>
        </w:tc>
        <w:tc>
          <w:tcPr>
            <w:tcW w:w="9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L+338</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6,836,389</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6,698,584</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5,469,111</w:t>
            </w: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Jackson Hewitt Tax Service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10/16/2017</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L+850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5,521,875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5,406,642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5,439,047</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JHCI Acquisition,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07/11/2019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4"/>
              </w:rPr>
              <w:t>Transportation: Cargo</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1,995,000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1,965,824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1,981,454</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08/19/2019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L+900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6,157,648</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6,034,495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6,065,283</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11/30/2018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5,985,000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5,900,289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5,865,300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Meritas Schools Holdings, LLC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06/25/2019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2,992,500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2,963,605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2,987,503</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color w:val="auto"/>
              </w:rPr>
              <w:t>Milk Specialties Company</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11/09/2018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3,383,000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3,354,728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3,374,542</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05/07/2018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2,348,510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2,344,859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2,345,574</w:t>
            </w: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Arial" w:cs="Arial" w:eastAsia="Arial" w:hAnsi="Arial"/>
                <w:sz w:val="13"/>
                <w:szCs w:val="13"/>
                <w:color w:val="auto"/>
              </w:rPr>
              <w:t>NAB Holdings, LLC</w:t>
            </w:r>
          </w:p>
        </w:tc>
        <w:tc>
          <w:tcPr>
            <w:tcW w:w="110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5"/>
              </w:rPr>
              <w:t>04/24/2018</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2"/>
              </w:rPr>
              <w:t>Banking, Finance, Insurance and</w:t>
            </w:r>
          </w:p>
        </w:tc>
        <w:tc>
          <w:tcPr>
            <w:tcW w:w="104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937,500</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926,724</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941,016</w:t>
            </w: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auto"/>
                <w:w w:val="89"/>
              </w:rPr>
              <w:t>Real Estate</w:t>
            </w: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National Surgical Hospitals,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08/01/2019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6,500,000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6,436,491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6,475,625</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New Trident HoldCorp,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07/31/2019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6.50%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10,000,000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9,903,508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Northfield Park Associates LLC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12/19/2018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4,500,000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4,421,591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4,635,000</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OCI Beaumont LLC, Term B-1 Loan</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08/20/2019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3,125,000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3,079,073</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3,125,000</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B-2 Loan</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08/20/2019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5,875,000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5,788,657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5,875,000</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Orbitz Worldwide, Inc., Term Loan 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03/25/2019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2"/>
              </w:rPr>
              <w:t>Transportation: Consumer</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3,990,000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3,990,000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4,003,287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Packaging Coordinators,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05/11/2020</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2,488,883</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color w:val="auto"/>
              </w:rPr>
              <w:t>Paladin Brands Holding,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08/16/2019</w:t>
            </w:r>
          </w:p>
        </w:tc>
        <w:tc>
          <w:tcPr>
            <w:tcW w:w="2180" w:type="dxa"/>
            <w:vAlign w:val="bottom"/>
          </w:tcPr>
          <w:p>
            <w:pPr>
              <w:jc w:val="center"/>
              <w:spacing w:after="0"/>
              <w:rPr>
                <w:sz w:val="20"/>
                <w:szCs w:val="20"/>
                <w:color w:val="auto"/>
              </w:rPr>
            </w:pPr>
            <w:r>
              <w:rPr>
                <w:rFonts w:ascii="Arial" w:cs="Arial" w:eastAsia="Arial" w:hAnsi="Arial"/>
                <w:sz w:val="13"/>
                <w:szCs w:val="13"/>
                <w:color w:val="auto"/>
                <w:w w:val="94"/>
              </w:rPr>
              <w:t>Capital Equipment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6.75%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2,956,071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2,964,390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07/11/2018</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1,481,250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1,456,674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1,473,844</w:t>
            </w:r>
          </w:p>
        </w:tc>
        <w:tc>
          <w:tcPr>
            <w:tcW w:w="0" w:type="dxa"/>
            <w:vAlign w:val="bottom"/>
          </w:tcPr>
          <w:p>
            <w:pPr>
              <w:spacing w:after="0"/>
              <w:rPr>
                <w:sz w:val="1"/>
                <w:szCs w:val="1"/>
                <w:color w:val="auto"/>
              </w:rPr>
            </w:pPr>
          </w:p>
        </w:tc>
      </w:tr>
      <w:tr>
        <w:trPr>
          <w:trHeight w:val="138"/>
        </w:trPr>
        <w:tc>
          <w:tcPr>
            <w:tcW w:w="300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100" w:type="dxa"/>
            <w:vAlign w:val="bottom"/>
          </w:tcPr>
          <w:p>
            <w:pPr>
              <w:jc w:val="center"/>
              <w:ind w:left="133"/>
              <w:spacing w:after="0" w:line="138" w:lineRule="exact"/>
              <w:rPr>
                <w:sz w:val="20"/>
                <w:szCs w:val="20"/>
                <w:color w:val="auto"/>
              </w:rPr>
            </w:pPr>
            <w:r>
              <w:rPr>
                <w:rFonts w:ascii="Arial" w:cs="Arial" w:eastAsia="Arial" w:hAnsi="Arial"/>
                <w:sz w:val="13"/>
                <w:szCs w:val="13"/>
                <w:color w:val="auto"/>
                <w:w w:val="95"/>
              </w:rPr>
              <w:t>08/01/2014</w:t>
            </w:r>
          </w:p>
        </w:tc>
        <w:tc>
          <w:tcPr>
            <w:tcW w:w="218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104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7,517,838</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7,234,538</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7,433,263</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40" w:type="dxa"/>
            <w:vAlign w:val="bottom"/>
          </w:tcPr>
          <w:p>
            <w:pPr>
              <w:ind w:left="160"/>
              <w:spacing w:after="0"/>
              <w:rPr>
                <w:sz w:val="20"/>
                <w:szCs w:val="20"/>
                <w:color w:val="auto"/>
              </w:rPr>
            </w:pPr>
            <w:r>
              <w:rPr>
                <w:rFonts w:ascii="Arial" w:cs="Arial" w:eastAsia="Arial" w:hAnsi="Arial"/>
                <w:sz w:val="13"/>
                <w:szCs w:val="13"/>
                <w:color w:val="auto"/>
              </w:rPr>
              <w:t>(PIK 2.00%)</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Polyconcept Finance B.V.</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06/28/2019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7,832,755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7,757,882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7,744,636</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3"/>
                <w:szCs w:val="13"/>
                <w:color w:val="auto"/>
              </w:rPr>
              <w:t>Premier Dental Services,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11/01/2018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8.25%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L+700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3,374,503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3,286,903</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3,382,939</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11/29/2016</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L+875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4,250,000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4,188,136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4,250,000</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3"/>
                <w:szCs w:val="13"/>
                <w:color w:val="auto"/>
              </w:rPr>
              <w:t>Sabre Industries,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08/24/2018</w:t>
            </w:r>
          </w:p>
        </w:tc>
        <w:tc>
          <w:tcPr>
            <w:tcW w:w="2180" w:type="dxa"/>
            <w:vAlign w:val="bottom"/>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5.75%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4,972,500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4,923,269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5,009,794</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SCE Partners, LLC</w:t>
            </w:r>
          </w:p>
        </w:tc>
        <w:tc>
          <w:tcPr>
            <w:tcW w:w="1100" w:type="dxa"/>
            <w:vAlign w:val="bottom"/>
            <w:shd w:val="clear" w:color="auto" w:fill="CCEEFF"/>
          </w:tcPr>
          <w:p>
            <w:pPr>
              <w:jc w:val="center"/>
              <w:ind w:left="133"/>
              <w:spacing w:after="0"/>
              <w:rPr>
                <w:sz w:val="20"/>
                <w:szCs w:val="20"/>
                <w:color w:val="auto"/>
              </w:rPr>
            </w:pPr>
            <w:r>
              <w:rPr>
                <w:rFonts w:ascii="Arial" w:cs="Arial" w:eastAsia="Arial" w:hAnsi="Arial"/>
                <w:sz w:val="13"/>
                <w:szCs w:val="13"/>
                <w:color w:val="auto"/>
                <w:w w:val="95"/>
              </w:rPr>
              <w:t>08/14/2019</w:t>
            </w:r>
          </w:p>
        </w:tc>
        <w:tc>
          <w:tcPr>
            <w:tcW w:w="2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11,881,935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11,880,000</w:t>
            </w: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3"/>
                <w:szCs w:val="13"/>
                <w:color w:val="auto"/>
              </w:rPr>
              <w:t>Securus Technologies Holdings, Inc.</w:t>
            </w:r>
          </w:p>
        </w:tc>
        <w:tc>
          <w:tcPr>
            <w:tcW w:w="1100" w:type="dxa"/>
            <w:vAlign w:val="bottom"/>
          </w:tcPr>
          <w:p>
            <w:pPr>
              <w:jc w:val="center"/>
              <w:ind w:left="133"/>
              <w:spacing w:after="0"/>
              <w:rPr>
                <w:sz w:val="20"/>
                <w:szCs w:val="20"/>
                <w:color w:val="auto"/>
              </w:rPr>
            </w:pPr>
            <w:r>
              <w:rPr>
                <w:rFonts w:ascii="Arial" w:cs="Arial" w:eastAsia="Arial" w:hAnsi="Arial"/>
                <w:sz w:val="13"/>
                <w:szCs w:val="13"/>
                <w:color w:val="auto"/>
                <w:w w:val="95"/>
              </w:rPr>
              <w:t>04/30/2020</w:t>
            </w:r>
          </w:p>
        </w:tc>
        <w:tc>
          <w:tcPr>
            <w:tcW w:w="218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4.75%</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L+350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1,981,121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1,962,500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Basis Point</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78"/>
              <w:spacing w:after="0" w:line="134"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2"/>
          </w:tcPr>
          <w:p>
            <w:pPr>
              <w:jc w:val="center"/>
              <w:ind w:right="400"/>
              <w:spacing w:after="0" w:line="134" w:lineRule="exact"/>
              <w:rPr>
                <w:sz w:val="20"/>
                <w:szCs w:val="20"/>
                <w:color w:val="auto"/>
              </w:rPr>
            </w:pPr>
            <w:r>
              <w:rPr>
                <w:rFonts w:ascii="Arial" w:cs="Arial" w:eastAsia="Arial" w:hAnsi="Arial"/>
                <w:sz w:val="13"/>
                <w:szCs w:val="13"/>
                <w:b w:val="1"/>
                <w:bCs w:val="1"/>
                <w:color w:val="auto"/>
                <w:w w:val="95"/>
              </w:rPr>
              <w:t>Above</w:t>
            </w:r>
          </w:p>
        </w:tc>
        <w:tc>
          <w:tcPr>
            <w:tcW w:w="980" w:type="dxa"/>
            <w:vAlign w:val="bottom"/>
            <w:gridSpan w:val="2"/>
          </w:tcPr>
          <w:p>
            <w:pPr>
              <w:jc w:val="right"/>
              <w:ind w:right="540"/>
              <w:spacing w:after="0" w:line="134"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Maturity</w:t>
            </w: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Industry</w:t>
            </w:r>
          </w:p>
        </w:tc>
        <w:tc>
          <w:tcPr>
            <w:tcW w:w="960" w:type="dxa"/>
            <w:vAlign w:val="bottom"/>
            <w:gridSpan w:val="2"/>
          </w:tcPr>
          <w:p>
            <w:pPr>
              <w:jc w:val="right"/>
              <w:ind w:right="378"/>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40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Sotera Defense Solutions, Inc.</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04/21/2017</w:t>
            </w:r>
          </w:p>
        </w:tc>
        <w:tc>
          <w:tcPr>
            <w:tcW w:w="20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Aerospace and Defense</w:t>
            </w:r>
          </w:p>
        </w:tc>
        <w:tc>
          <w:tcPr>
            <w:tcW w:w="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380" w:type="dxa"/>
            <w:vAlign w:val="bottom"/>
            <w:tcBorders>
              <w:top w:val="single" w:sz="8" w:color="CCEEFF"/>
            </w:tcBorders>
            <w:shd w:val="clear" w:color="auto" w:fill="CCEEFF"/>
          </w:tcPr>
          <w:p>
            <w:pPr>
              <w:jc w:val="right"/>
              <w:ind w:right="218"/>
              <w:spacing w:after="0"/>
              <w:rPr>
                <w:sz w:val="20"/>
                <w:szCs w:val="20"/>
                <w:color w:val="auto"/>
              </w:rPr>
            </w:pPr>
            <w:r>
              <w:rPr>
                <w:rFonts w:ascii="Arial" w:cs="Arial" w:eastAsia="Arial" w:hAnsi="Arial"/>
                <w:sz w:val="12"/>
                <w:szCs w:val="12"/>
                <w:color w:val="auto"/>
                <w:w w:val="74"/>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L+600</w:t>
            </w:r>
          </w:p>
        </w:tc>
        <w:tc>
          <w:tcPr>
            <w:tcW w:w="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2,646,725</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3"/>
                <w:szCs w:val="13"/>
                <w:color w:val="auto"/>
                <w:w w:val="89"/>
              </w:rPr>
              <w:t>2,629,647</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2,382,052</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gridSpan w:val="2"/>
          </w:tcPr>
          <w:p>
            <w:pPr>
              <w:spacing w:after="0" w:line="138" w:lineRule="exact"/>
              <w:rPr>
                <w:sz w:val="20"/>
                <w:szCs w:val="20"/>
                <w:color w:val="auto"/>
              </w:rPr>
            </w:pPr>
            <w:r>
              <w:rPr>
                <w:rFonts w:ascii="Arial" w:cs="Arial" w:eastAsia="Arial" w:hAnsi="Arial"/>
                <w:sz w:val="13"/>
                <w:szCs w:val="13"/>
                <w:color w:val="auto"/>
              </w:rPr>
              <w:t>St. George’s University Scholastic Services</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12/20/2017</w:t>
            </w:r>
          </w:p>
        </w:tc>
        <w:tc>
          <w:tcPr>
            <w:tcW w:w="200" w:type="dxa"/>
            <w:vAlign w:val="bottom"/>
          </w:tcPr>
          <w:p>
            <w:pPr>
              <w:spacing w:after="0"/>
              <w:rPr>
                <w:sz w:val="11"/>
                <w:szCs w:val="11"/>
                <w:color w:val="auto"/>
              </w:rPr>
            </w:pPr>
          </w:p>
        </w:tc>
        <w:tc>
          <w:tcPr>
            <w:tcW w:w="24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1"/>
              </w:rPr>
              <w:t>Consumer Services</w:t>
            </w:r>
          </w:p>
        </w:tc>
        <w:tc>
          <w:tcPr>
            <w:tcW w:w="960" w:type="dxa"/>
            <w:vAlign w:val="bottom"/>
            <w:gridSpan w:val="2"/>
          </w:tcPr>
          <w:p>
            <w:pPr>
              <w:jc w:val="right"/>
              <w:ind w:right="218"/>
              <w:spacing w:after="0" w:line="138" w:lineRule="exact"/>
              <w:rPr>
                <w:sz w:val="20"/>
                <w:szCs w:val="20"/>
                <w:color w:val="auto"/>
              </w:rPr>
            </w:pPr>
            <w:r>
              <w:rPr>
                <w:rFonts w:ascii="Arial" w:cs="Arial" w:eastAsia="Arial" w:hAnsi="Arial"/>
                <w:sz w:val="13"/>
                <w:szCs w:val="13"/>
                <w:color w:val="auto"/>
              </w:rPr>
              <w:t>8.50%</w:t>
            </w:r>
          </w:p>
        </w:tc>
        <w:tc>
          <w:tcPr>
            <w:tcW w:w="110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L+700</w:t>
            </w:r>
          </w:p>
        </w:tc>
        <w:tc>
          <w:tcPr>
            <w:tcW w:w="98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w w:val="96"/>
              </w:rPr>
              <w:t>1,948,471</w:t>
            </w:r>
          </w:p>
        </w:tc>
        <w:tc>
          <w:tcPr>
            <w:tcW w:w="100" w:type="dxa"/>
            <w:vAlign w:val="bottom"/>
          </w:tcPr>
          <w:p>
            <w:pPr>
              <w:spacing w:after="0"/>
              <w:rPr>
                <w:sz w:val="11"/>
                <w:szCs w:val="11"/>
                <w:color w:val="auto"/>
              </w:rPr>
            </w:pPr>
          </w:p>
        </w:tc>
        <w:tc>
          <w:tcPr>
            <w:tcW w:w="110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1,915,350</w:t>
            </w: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1,955,778</w:t>
            </w:r>
          </w:p>
        </w:tc>
        <w:tc>
          <w:tcPr>
            <w:tcW w:w="0" w:type="dxa"/>
            <w:vAlign w:val="bottom"/>
          </w:tcPr>
          <w:p>
            <w:pPr>
              <w:spacing w:after="0"/>
              <w:rPr>
                <w:sz w:val="1"/>
                <w:szCs w:val="1"/>
                <w:color w:val="auto"/>
              </w:rPr>
            </w:pPr>
          </w:p>
        </w:tc>
      </w:tr>
      <w:tr>
        <w:trPr>
          <w:trHeight w:val="159"/>
        </w:trPr>
        <w:tc>
          <w:tcPr>
            <w:tcW w:w="2720" w:type="dxa"/>
            <w:vAlign w:val="bottom"/>
            <w:gridSpan w:val="2"/>
          </w:tcPr>
          <w:p>
            <w:pPr>
              <w:ind w:left="220"/>
              <w:spacing w:after="0"/>
              <w:rPr>
                <w:sz w:val="20"/>
                <w:szCs w:val="20"/>
                <w:color w:val="auto"/>
              </w:rPr>
            </w:pPr>
            <w:r>
              <w:rPr>
                <w:rFonts w:ascii="Arial" w:cs="Arial" w:eastAsia="Arial" w:hAnsi="Arial"/>
                <w:sz w:val="13"/>
                <w:szCs w:val="13"/>
                <w:color w:val="auto"/>
              </w:rPr>
              <w:t>LLC</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Surgical Specialties Corporation (US),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08/22/2018</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7.25%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L+575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3,555,000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3,520,302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3,590,550</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03/06/2019</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7.25%</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L+600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975,000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957,196</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971,344</w:t>
            </w:r>
          </w:p>
        </w:tc>
        <w:tc>
          <w:tcPr>
            <w:tcW w:w="0" w:type="dxa"/>
            <w:vAlign w:val="bottom"/>
          </w:tcPr>
          <w:p>
            <w:pPr>
              <w:spacing w:after="0"/>
              <w:rPr>
                <w:sz w:val="1"/>
                <w:szCs w:val="1"/>
                <w:color w:val="auto"/>
              </w:rPr>
            </w:pPr>
          </w:p>
        </w:tc>
      </w:tr>
      <w:tr>
        <w:trPr>
          <w:trHeight w:val="138"/>
        </w:trPr>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05/31/2018</w:t>
            </w:r>
          </w:p>
        </w:tc>
        <w:tc>
          <w:tcPr>
            <w:tcW w:w="20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shd w:val="clear" w:color="auto" w:fill="CCEEFF"/>
          </w:tcPr>
          <w:p>
            <w:pPr>
              <w:jc w:val="right"/>
              <w:ind w:right="218"/>
              <w:spacing w:after="0" w:line="138"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L+475</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w w:val="96"/>
              </w:rPr>
              <w:t>4,415,625</w:t>
            </w: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4,374,813</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4,393,547</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Publishing</w:t>
            </w: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rPr>
                <w:sz w:val="20"/>
                <w:szCs w:val="20"/>
                <w:color w:val="auto"/>
              </w:rPr>
            </w:pPr>
            <w:r>
              <w:rPr>
                <w:rFonts w:ascii="Arial" w:cs="Arial" w:eastAsia="Arial" w:hAnsi="Arial"/>
                <w:sz w:val="13"/>
                <w:szCs w:val="13"/>
                <w:color w:val="auto"/>
              </w:rPr>
              <w:t>Therakos,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12/27/2017</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L+625</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2,977,500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2,899,121</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2,973,778</w:t>
            </w:r>
          </w:p>
        </w:tc>
        <w:tc>
          <w:tcPr>
            <w:tcW w:w="0" w:type="dxa"/>
            <w:vAlign w:val="bottom"/>
          </w:tcPr>
          <w:p>
            <w:pPr>
              <w:spacing w:after="0"/>
              <w:rPr>
                <w:sz w:val="1"/>
                <w:szCs w:val="1"/>
                <w:color w:val="auto"/>
              </w:rPr>
            </w:pPr>
          </w:p>
        </w:tc>
      </w:tr>
      <w:tr>
        <w:trPr>
          <w:trHeight w:val="138"/>
        </w:trPr>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04/16/2018</w:t>
            </w:r>
          </w:p>
        </w:tc>
        <w:tc>
          <w:tcPr>
            <w:tcW w:w="20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3"/>
              </w:rPr>
              <w:t>Telecommunications</w:t>
            </w:r>
          </w:p>
        </w:tc>
        <w:tc>
          <w:tcPr>
            <w:tcW w:w="960" w:type="dxa"/>
            <w:vAlign w:val="bottom"/>
            <w:gridSpan w:val="2"/>
            <w:shd w:val="clear" w:color="auto" w:fill="CCEEFF"/>
          </w:tcPr>
          <w:p>
            <w:pPr>
              <w:jc w:val="right"/>
              <w:ind w:right="218"/>
              <w:spacing w:after="0" w:line="138" w:lineRule="exact"/>
              <w:rPr>
                <w:sz w:val="20"/>
                <w:szCs w:val="20"/>
                <w:color w:val="auto"/>
              </w:rPr>
            </w:pPr>
            <w:r>
              <w:rPr>
                <w:rFonts w:ascii="Arial" w:cs="Arial" w:eastAsia="Arial" w:hAnsi="Arial"/>
                <w:sz w:val="13"/>
                <w:szCs w:val="13"/>
                <w:color w:val="auto"/>
              </w:rPr>
              <w:t>15.00%</w:t>
            </w:r>
          </w:p>
        </w:tc>
        <w:tc>
          <w:tcPr>
            <w:tcW w:w="110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L+1,350</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w w:val="96"/>
              </w:rPr>
              <w:t>2,112,349</w:t>
            </w: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2,074,200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2,096,507</w:t>
            </w: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(PIK 4.00%)</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06/19/2017</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L+500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2,932,500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2,912,802</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2,800,538</w:t>
            </w:r>
          </w:p>
        </w:tc>
        <w:tc>
          <w:tcPr>
            <w:tcW w:w="0" w:type="dxa"/>
            <w:vAlign w:val="bottom"/>
          </w:tcPr>
          <w:p>
            <w:pPr>
              <w:spacing w:after="0"/>
              <w:rPr>
                <w:sz w:val="1"/>
                <w:szCs w:val="1"/>
                <w:color w:val="auto"/>
              </w:rPr>
            </w:pPr>
          </w:p>
        </w:tc>
      </w:tr>
      <w:tr>
        <w:trPr>
          <w:trHeight w:val="138"/>
        </w:trPr>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04/19/2016</w:t>
            </w:r>
          </w:p>
        </w:tc>
        <w:tc>
          <w:tcPr>
            <w:tcW w:w="20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shd w:val="clear" w:color="auto" w:fill="CCEEFF"/>
          </w:tcPr>
          <w:p>
            <w:pPr>
              <w:jc w:val="right"/>
              <w:ind w:right="218"/>
              <w:spacing w:after="0" w:line="138" w:lineRule="exact"/>
              <w:rPr>
                <w:sz w:val="20"/>
                <w:szCs w:val="20"/>
                <w:color w:val="auto"/>
              </w:rPr>
            </w:pPr>
            <w:r>
              <w:rPr>
                <w:rFonts w:ascii="Arial" w:cs="Arial" w:eastAsia="Arial" w:hAnsi="Arial"/>
                <w:sz w:val="13"/>
                <w:szCs w:val="13"/>
                <w:color w:val="auto"/>
              </w:rPr>
              <w:t>7.00%</w:t>
            </w:r>
          </w:p>
        </w:tc>
        <w:tc>
          <w:tcPr>
            <w:tcW w:w="110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L+550</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w w:val="96"/>
              </w:rPr>
              <w:t>3,304,277</w:t>
            </w: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3,280,480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3,304,277</w:t>
            </w: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Publishing</w:t>
            </w: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12/22/2016</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7.25%</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L+550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2,932,500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2,916,949</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1,847,475</w:t>
            </w: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08/30/2018</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4"/>
              </w:rPr>
              <w:t>Consumer Goods: Non-Durable</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7.50%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L+625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3,230,000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3,177,789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3,165,400</w:t>
            </w:r>
          </w:p>
        </w:tc>
        <w:tc>
          <w:tcPr>
            <w:tcW w:w="0" w:type="dxa"/>
            <w:vAlign w:val="bottom"/>
          </w:tcPr>
          <w:p>
            <w:pPr>
              <w:spacing w:after="0"/>
              <w:rPr>
                <w:sz w:val="1"/>
                <w:szCs w:val="1"/>
                <w:color w:val="auto"/>
              </w:rPr>
            </w:pPr>
          </w:p>
        </w:tc>
      </w:tr>
      <w:tr>
        <w:trPr>
          <w:trHeight w:val="138"/>
        </w:trPr>
        <w:tc>
          <w:tcPr>
            <w:tcW w:w="27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06/04/2018</w:t>
            </w:r>
          </w:p>
        </w:tc>
        <w:tc>
          <w:tcPr>
            <w:tcW w:w="200" w:type="dxa"/>
            <w:vAlign w:val="bottom"/>
          </w:tcPr>
          <w:p>
            <w:pPr>
              <w:spacing w:after="0"/>
              <w:rPr>
                <w:sz w:val="11"/>
                <w:szCs w:val="11"/>
                <w:color w:val="auto"/>
              </w:rPr>
            </w:pPr>
          </w:p>
        </w:tc>
        <w:tc>
          <w:tcPr>
            <w:tcW w:w="24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tcPr>
          <w:p>
            <w:pPr>
              <w:jc w:val="right"/>
              <w:ind w:right="218"/>
              <w:spacing w:after="0" w:line="138" w:lineRule="exact"/>
              <w:rPr>
                <w:sz w:val="20"/>
                <w:szCs w:val="20"/>
                <w:color w:val="auto"/>
              </w:rPr>
            </w:pPr>
            <w:r>
              <w:rPr>
                <w:rFonts w:ascii="Arial" w:cs="Arial" w:eastAsia="Arial" w:hAnsi="Arial"/>
                <w:sz w:val="13"/>
                <w:szCs w:val="13"/>
                <w:color w:val="auto"/>
              </w:rPr>
              <w:t>8.06%</w:t>
            </w:r>
          </w:p>
        </w:tc>
        <w:tc>
          <w:tcPr>
            <w:tcW w:w="110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L+675</w:t>
            </w:r>
          </w:p>
        </w:tc>
        <w:tc>
          <w:tcPr>
            <w:tcW w:w="98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w w:val="96"/>
              </w:rPr>
              <w:t>5,085,000</w:t>
            </w:r>
          </w:p>
        </w:tc>
        <w:tc>
          <w:tcPr>
            <w:tcW w:w="100" w:type="dxa"/>
            <w:vAlign w:val="bottom"/>
          </w:tcPr>
          <w:p>
            <w:pPr>
              <w:spacing w:after="0"/>
              <w:rPr>
                <w:sz w:val="11"/>
                <w:szCs w:val="11"/>
                <w:color w:val="auto"/>
              </w:rPr>
            </w:pPr>
          </w:p>
        </w:tc>
        <w:tc>
          <w:tcPr>
            <w:tcW w:w="110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4,964,517</w:t>
            </w: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5,046,863</w:t>
            </w: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Publishing</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Zest Anchors,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08/17/2020</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L+550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9,000,000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8,822,056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8,887,500</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w w:val="91"/>
              </w:rPr>
              <w:t>281,260,179</w:t>
            </w: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w w:val="96"/>
              </w:rPr>
              <w:t>281,046,248</w:t>
            </w: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Debt—13.1%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09/01/2017</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Metals and Mining</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11.50%</w:t>
            </w:r>
          </w:p>
        </w:tc>
        <w:tc>
          <w:tcPr>
            <w:tcW w:w="11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3,000,000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3,067,500</w:t>
            </w: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Arsloane Acquisition,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10/01/2020</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11.75%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L+1,050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5,000,000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4,900,000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4,983,350</w:t>
            </w:r>
          </w:p>
        </w:tc>
        <w:tc>
          <w:tcPr>
            <w:tcW w:w="0" w:type="dxa"/>
            <w:vAlign w:val="bottom"/>
          </w:tcPr>
          <w:p>
            <w:pPr>
              <w:spacing w:after="0"/>
              <w:rPr>
                <w:sz w:val="1"/>
                <w:szCs w:val="1"/>
                <w:color w:val="auto"/>
              </w:rPr>
            </w:pPr>
          </w:p>
        </w:tc>
      </w:tr>
      <w:tr>
        <w:trPr>
          <w:trHeight w:val="121"/>
        </w:trPr>
        <w:tc>
          <w:tcPr>
            <w:tcW w:w="2720" w:type="dxa"/>
            <w:vAlign w:val="bottom"/>
            <w:gridSpan w:val="2"/>
          </w:tcPr>
          <w:p>
            <w:pPr>
              <w:spacing w:after="0" w:line="122" w:lineRule="exact"/>
              <w:rPr>
                <w:sz w:val="20"/>
                <w:szCs w:val="20"/>
                <w:color w:val="auto"/>
              </w:rPr>
            </w:pPr>
            <w:r>
              <w:rPr>
                <w:rFonts w:ascii="Arial" w:cs="Arial" w:eastAsia="Arial" w:hAnsi="Arial"/>
                <w:sz w:val="13"/>
                <w:szCs w:val="13"/>
                <w:color w:val="auto"/>
              </w:rPr>
              <w:t>Brand Energy and Infrastructure Services, Inc.</w:t>
            </w:r>
          </w:p>
        </w:tc>
        <w:tc>
          <w:tcPr>
            <w:tcW w:w="620" w:type="dxa"/>
            <w:vAlign w:val="bottom"/>
          </w:tcPr>
          <w:p>
            <w:pPr>
              <w:jc w:val="center"/>
              <w:spacing w:after="0" w:line="122" w:lineRule="exact"/>
              <w:rPr>
                <w:sz w:val="20"/>
                <w:szCs w:val="20"/>
                <w:color w:val="auto"/>
              </w:rPr>
            </w:pPr>
            <w:r>
              <w:rPr>
                <w:rFonts w:ascii="Arial" w:cs="Arial" w:eastAsia="Arial" w:hAnsi="Arial"/>
                <w:sz w:val="13"/>
                <w:szCs w:val="13"/>
                <w:color w:val="auto"/>
                <w:w w:val="95"/>
              </w:rPr>
              <w:t>10/23/2019</w:t>
            </w:r>
          </w:p>
        </w:tc>
        <w:tc>
          <w:tcPr>
            <w:tcW w:w="200" w:type="dxa"/>
            <w:vAlign w:val="bottom"/>
          </w:tcPr>
          <w:p>
            <w:pPr>
              <w:spacing w:after="0"/>
              <w:rPr>
                <w:sz w:val="10"/>
                <w:szCs w:val="10"/>
                <w:color w:val="auto"/>
              </w:rPr>
            </w:pPr>
          </w:p>
        </w:tc>
        <w:tc>
          <w:tcPr>
            <w:tcW w:w="244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Energy: Oil and Gas</w:t>
            </w:r>
          </w:p>
        </w:tc>
        <w:tc>
          <w:tcPr>
            <w:tcW w:w="960" w:type="dxa"/>
            <w:vAlign w:val="bottom"/>
            <w:gridSpan w:val="2"/>
          </w:tcPr>
          <w:p>
            <w:pPr>
              <w:jc w:val="right"/>
              <w:ind w:right="218"/>
              <w:spacing w:after="0" w:line="122" w:lineRule="exact"/>
              <w:rPr>
                <w:sz w:val="20"/>
                <w:szCs w:val="20"/>
                <w:color w:val="auto"/>
              </w:rPr>
            </w:pPr>
            <w:r>
              <w:rPr>
                <w:rFonts w:ascii="Arial" w:cs="Arial" w:eastAsia="Arial" w:hAnsi="Arial"/>
                <w:sz w:val="13"/>
                <w:szCs w:val="13"/>
                <w:color w:val="auto"/>
              </w:rPr>
              <w:t>11.00%</w:t>
            </w:r>
          </w:p>
        </w:tc>
        <w:tc>
          <w:tcPr>
            <w:tcW w:w="1100" w:type="dxa"/>
            <w:vAlign w:val="bottom"/>
            <w:gridSpan w:val="2"/>
          </w:tcPr>
          <w:p>
            <w:pPr>
              <w:jc w:val="right"/>
              <w:ind w:right="400"/>
              <w:spacing w:after="0" w:line="122" w:lineRule="exact"/>
              <w:rPr>
                <w:sz w:val="20"/>
                <w:szCs w:val="20"/>
                <w:color w:val="auto"/>
              </w:rPr>
            </w:pPr>
            <w:r>
              <w:rPr>
                <w:rFonts w:ascii="Arial" w:cs="Arial" w:eastAsia="Arial" w:hAnsi="Arial"/>
                <w:sz w:val="13"/>
                <w:szCs w:val="13"/>
                <w:color w:val="auto"/>
              </w:rPr>
              <w:t>L+975</w:t>
            </w:r>
          </w:p>
        </w:tc>
        <w:tc>
          <w:tcPr>
            <w:tcW w:w="980" w:type="dxa"/>
            <w:vAlign w:val="bottom"/>
            <w:gridSpan w:val="2"/>
          </w:tcPr>
          <w:p>
            <w:pPr>
              <w:jc w:val="right"/>
              <w:ind w:right="400"/>
              <w:spacing w:after="0" w:line="122" w:lineRule="exact"/>
              <w:rPr>
                <w:sz w:val="20"/>
                <w:szCs w:val="20"/>
                <w:color w:val="auto"/>
              </w:rPr>
            </w:pPr>
            <w:r>
              <w:rPr>
                <w:rFonts w:ascii="Arial" w:cs="Arial" w:eastAsia="Arial" w:hAnsi="Arial"/>
                <w:sz w:val="13"/>
                <w:szCs w:val="13"/>
                <w:color w:val="auto"/>
                <w:w w:val="96"/>
              </w:rPr>
              <w:t>1,906,607</w:t>
            </w:r>
          </w:p>
        </w:tc>
        <w:tc>
          <w:tcPr>
            <w:tcW w:w="100" w:type="dxa"/>
            <w:vAlign w:val="bottom"/>
          </w:tcPr>
          <w:p>
            <w:pPr>
              <w:spacing w:after="0"/>
              <w:rPr>
                <w:sz w:val="10"/>
                <w:szCs w:val="10"/>
                <w:color w:val="auto"/>
              </w:rPr>
            </w:pPr>
          </w:p>
        </w:tc>
        <w:tc>
          <w:tcPr>
            <w:tcW w:w="1100" w:type="dxa"/>
            <w:vAlign w:val="bottom"/>
            <w:gridSpan w:val="2"/>
          </w:tcPr>
          <w:p>
            <w:pPr>
              <w:jc w:val="right"/>
              <w:ind w:right="420"/>
              <w:spacing w:after="0" w:line="122" w:lineRule="exact"/>
              <w:rPr>
                <w:sz w:val="20"/>
                <w:szCs w:val="20"/>
                <w:color w:val="auto"/>
              </w:rPr>
            </w:pPr>
            <w:r>
              <w:rPr>
                <w:rFonts w:ascii="Arial" w:cs="Arial" w:eastAsia="Arial" w:hAnsi="Arial"/>
                <w:sz w:val="13"/>
                <w:szCs w:val="13"/>
                <w:color w:val="auto"/>
              </w:rPr>
              <w:t>1,861,523</w:t>
            </w: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1,946,322</w:t>
            </w:r>
          </w:p>
        </w:tc>
        <w:tc>
          <w:tcPr>
            <w:tcW w:w="0" w:type="dxa"/>
            <w:vAlign w:val="bottom"/>
          </w:tcPr>
          <w:p>
            <w:pPr>
              <w:spacing w:after="0"/>
              <w:rPr>
                <w:sz w:val="1"/>
                <w:szCs w:val="1"/>
                <w:color w:val="auto"/>
              </w:rPr>
            </w:pPr>
          </w:p>
        </w:tc>
      </w:tr>
      <w:tr>
        <w:trPr>
          <w:trHeight w:val="145"/>
        </w:trPr>
        <w:tc>
          <w:tcPr>
            <w:tcW w:w="2540" w:type="dxa"/>
            <w:vAlign w:val="bottom"/>
          </w:tcPr>
          <w:p>
            <w:pPr>
              <w:ind w:left="220"/>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20" w:type="dxa"/>
            <w:vAlign w:val="bottom"/>
            <w:gridSpan w:val="2"/>
            <w:shd w:val="clear" w:color="auto" w:fill="CCEEFF"/>
          </w:tcPr>
          <w:p>
            <w:pPr>
              <w:spacing w:after="0" w:line="152"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10/02/2019</w:t>
            </w:r>
          </w:p>
        </w:tc>
        <w:tc>
          <w:tcPr>
            <w:tcW w:w="2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L+875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1,700,000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1,671,746</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1,576,750</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08/01/2018</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Beverage, Food and Tobacco</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10.63%</w:t>
            </w:r>
          </w:p>
        </w:tc>
        <w:tc>
          <w:tcPr>
            <w:tcW w:w="11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3,500,000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3,500,000</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3,578,750</w:t>
            </w: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05/15/2018</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Energy: Oil and Gas</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8.63%</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2,000,000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2,000,000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1,890,000</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rPr>
                <w:sz w:val="20"/>
                <w:szCs w:val="20"/>
                <w:color w:val="auto"/>
              </w:rPr>
            </w:pPr>
            <w:r>
              <w:rPr>
                <w:rFonts w:ascii="Arial" w:cs="Arial" w:eastAsia="Arial" w:hAnsi="Arial"/>
                <w:sz w:val="13"/>
                <w:szCs w:val="13"/>
                <w:color w:val="auto"/>
              </w:rPr>
              <w:t>ILC Industries,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06/14/2019</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11.50%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L+1,000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2,000,000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1,920,000</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1,840,000</w:t>
            </w: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12/20/2016</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10.50%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L+875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7,100,000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6,998,223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6,981,643</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05/15/2019</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9.13%</w:t>
            </w:r>
          </w:p>
        </w:tc>
        <w:tc>
          <w:tcPr>
            <w:tcW w:w="11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1,500,000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1,500,000</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1,635,000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27,351,492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27,499,315</w:t>
            </w:r>
          </w:p>
        </w:tc>
        <w:tc>
          <w:tcPr>
            <w:tcW w:w="0" w:type="dxa"/>
            <w:vAlign w:val="bottom"/>
          </w:tcPr>
          <w:p>
            <w:pPr>
              <w:spacing w:after="0"/>
              <w:rPr>
                <w:sz w:val="1"/>
                <w:szCs w:val="1"/>
                <w:color w:val="auto"/>
              </w:rPr>
            </w:pPr>
          </w:p>
        </w:tc>
      </w:tr>
      <w:tr>
        <w:trPr>
          <w:trHeight w:val="155"/>
        </w:trPr>
        <w:tc>
          <w:tcPr>
            <w:tcW w:w="27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Notes—4.3%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11/15/2015</w:t>
            </w:r>
          </w:p>
        </w:tc>
        <w:tc>
          <w:tcPr>
            <w:tcW w:w="2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shd w:val="clear" w:color="auto" w:fill="CCEEFF"/>
          </w:tcPr>
          <w:p>
            <w:pPr>
              <w:jc w:val="right"/>
              <w:ind w:right="218"/>
              <w:spacing w:after="0"/>
              <w:rPr>
                <w:sz w:val="20"/>
                <w:szCs w:val="20"/>
                <w:color w:val="auto"/>
              </w:rPr>
            </w:pPr>
            <w:r>
              <w:rPr>
                <w:rFonts w:ascii="Arial" w:cs="Arial" w:eastAsia="Arial" w:hAnsi="Arial"/>
                <w:sz w:val="13"/>
                <w:szCs w:val="13"/>
                <w:color w:val="auto"/>
              </w:rPr>
              <w:t>11.63%</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4,100,000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3,873,657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2,357,500</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rPr>
                <w:sz w:val="20"/>
                <w:szCs w:val="20"/>
                <w:color w:val="auto"/>
              </w:rPr>
            </w:pPr>
            <w:r>
              <w:rPr>
                <w:rFonts w:ascii="Arial" w:cs="Arial" w:eastAsia="Arial" w:hAnsi="Arial"/>
                <w:sz w:val="13"/>
                <w:szCs w:val="13"/>
                <w:color w:val="auto"/>
              </w:rPr>
              <w:t>Credit Infonet,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10/26/2018</w:t>
            </w:r>
          </w:p>
        </w:tc>
        <w:tc>
          <w:tcPr>
            <w:tcW w:w="200" w:type="dxa"/>
            <w:vAlign w:val="bottom"/>
          </w:tcPr>
          <w:p>
            <w:pPr>
              <w:spacing w:after="0"/>
              <w:rPr>
                <w:sz w:val="12"/>
                <w:szCs w:val="12"/>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tcPr>
          <w:p>
            <w:pPr>
              <w:jc w:val="right"/>
              <w:ind w:right="218"/>
              <w:spacing w:after="0"/>
              <w:rPr>
                <w:sz w:val="20"/>
                <w:szCs w:val="20"/>
                <w:color w:val="auto"/>
              </w:rPr>
            </w:pPr>
            <w:r>
              <w:rPr>
                <w:rFonts w:ascii="Arial" w:cs="Arial" w:eastAsia="Arial" w:hAnsi="Arial"/>
                <w:sz w:val="13"/>
                <w:szCs w:val="13"/>
                <w:color w:val="auto"/>
              </w:rPr>
              <w:t>12.25%</w:t>
            </w:r>
          </w:p>
        </w:tc>
        <w:tc>
          <w:tcPr>
            <w:tcW w:w="11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1,987,500</w:t>
            </w: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1,949,883</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1,997,517</w:t>
            </w:r>
          </w:p>
        </w:tc>
        <w:tc>
          <w:tcPr>
            <w:tcW w:w="0" w:type="dxa"/>
            <w:vAlign w:val="bottom"/>
          </w:tcPr>
          <w:p>
            <w:pPr>
              <w:spacing w:after="0"/>
              <w:rPr>
                <w:sz w:val="1"/>
                <w:szCs w:val="1"/>
                <w:color w:val="auto"/>
              </w:rPr>
            </w:pPr>
          </w:p>
        </w:tc>
      </w:tr>
      <w:tr>
        <w:trPr>
          <w:trHeight w:val="138"/>
        </w:trPr>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01/15/2018</w:t>
            </w:r>
          </w:p>
        </w:tc>
        <w:tc>
          <w:tcPr>
            <w:tcW w:w="20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5"/>
              </w:rPr>
              <w:t>Energy: Oil and Gas</w:t>
            </w:r>
          </w:p>
        </w:tc>
        <w:tc>
          <w:tcPr>
            <w:tcW w:w="960" w:type="dxa"/>
            <w:vAlign w:val="bottom"/>
            <w:gridSpan w:val="2"/>
            <w:shd w:val="clear" w:color="auto" w:fill="CCEEFF"/>
          </w:tcPr>
          <w:p>
            <w:pPr>
              <w:jc w:val="right"/>
              <w:ind w:right="218"/>
              <w:spacing w:after="0" w:line="138" w:lineRule="exact"/>
              <w:rPr>
                <w:sz w:val="20"/>
                <w:szCs w:val="20"/>
                <w:color w:val="auto"/>
              </w:rPr>
            </w:pPr>
            <w:r>
              <w:rPr>
                <w:rFonts w:ascii="Arial" w:cs="Arial" w:eastAsia="Arial" w:hAnsi="Arial"/>
                <w:sz w:val="13"/>
                <w:szCs w:val="13"/>
                <w:color w:val="auto"/>
              </w:rPr>
              <w:t>14.00%</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w w:val="96"/>
              </w:rPr>
              <w:t>1,810,934</w:t>
            </w: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1,780,211</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1,793,834</w:t>
            </w:r>
          </w:p>
        </w:tc>
        <w:tc>
          <w:tcPr>
            <w:tcW w:w="0" w:type="dxa"/>
            <w:vAlign w:val="bottom"/>
          </w:tcPr>
          <w:p>
            <w:pPr>
              <w:spacing w:after="0"/>
              <w:rPr>
                <w:sz w:val="1"/>
                <w:szCs w:val="1"/>
                <w:color w:val="auto"/>
              </w:rPr>
            </w:pPr>
          </w:p>
        </w:tc>
      </w:tr>
      <w:tr>
        <w:trPr>
          <w:trHeight w:val="173"/>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Funding Corp.</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(PIK 4.00%)</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20" w:type="dxa"/>
            <w:vAlign w:val="bottom"/>
            <w:gridSpan w:val="2"/>
          </w:tcPr>
          <w:p>
            <w:pPr>
              <w:spacing w:after="0" w:line="138" w:lineRule="exact"/>
              <w:rPr>
                <w:sz w:val="20"/>
                <w:szCs w:val="20"/>
                <w:color w:val="auto"/>
              </w:rPr>
            </w:pPr>
            <w:r>
              <w:rPr>
                <w:rFonts w:ascii="Arial" w:cs="Arial" w:eastAsia="Arial" w:hAnsi="Arial"/>
                <w:sz w:val="13"/>
                <w:szCs w:val="13"/>
                <w:color w:val="auto"/>
              </w:rPr>
              <w:t>Vestcom International,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06/27/2019</w:t>
            </w:r>
          </w:p>
        </w:tc>
        <w:tc>
          <w:tcPr>
            <w:tcW w:w="200" w:type="dxa"/>
            <w:vAlign w:val="bottom"/>
          </w:tcPr>
          <w:p>
            <w:pPr>
              <w:spacing w:after="0"/>
              <w:rPr>
                <w:sz w:val="11"/>
                <w:szCs w:val="11"/>
                <w:color w:val="auto"/>
              </w:rPr>
            </w:pPr>
          </w:p>
        </w:tc>
        <w:tc>
          <w:tcPr>
            <w:tcW w:w="24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tcPr>
          <w:p>
            <w:pPr>
              <w:jc w:val="right"/>
              <w:ind w:right="218"/>
              <w:spacing w:after="0" w:line="138" w:lineRule="exact"/>
              <w:rPr>
                <w:sz w:val="20"/>
                <w:szCs w:val="20"/>
                <w:color w:val="auto"/>
              </w:rPr>
            </w:pPr>
            <w:r>
              <w:rPr>
                <w:rFonts w:ascii="Arial" w:cs="Arial" w:eastAsia="Arial" w:hAnsi="Arial"/>
                <w:sz w:val="13"/>
                <w:szCs w:val="13"/>
                <w:color w:val="auto"/>
              </w:rPr>
              <w:t>12.00%</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w w:val="96"/>
              </w:rPr>
              <w:t>2,859,027</w:t>
            </w:r>
          </w:p>
        </w:tc>
        <w:tc>
          <w:tcPr>
            <w:tcW w:w="100" w:type="dxa"/>
            <w:vAlign w:val="bottom"/>
          </w:tcPr>
          <w:p>
            <w:pPr>
              <w:spacing w:after="0"/>
              <w:rPr>
                <w:sz w:val="11"/>
                <w:szCs w:val="11"/>
                <w:color w:val="auto"/>
              </w:rPr>
            </w:pPr>
          </w:p>
        </w:tc>
        <w:tc>
          <w:tcPr>
            <w:tcW w:w="110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2,806,095</w:t>
            </w: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2,854,319</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Publishing</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10,409,846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9,003,170</w:t>
            </w:r>
          </w:p>
        </w:tc>
        <w:tc>
          <w:tcPr>
            <w:tcW w:w="0" w:type="dxa"/>
            <w:vAlign w:val="bottom"/>
          </w:tcPr>
          <w:p>
            <w:pPr>
              <w:spacing w:after="0"/>
              <w:rPr>
                <w:sz w:val="1"/>
                <w:szCs w:val="1"/>
                <w:color w:val="auto"/>
              </w:rPr>
            </w:pPr>
          </w:p>
        </w:tc>
      </w:tr>
      <w:tr>
        <w:trPr>
          <w:trHeight w:val="155"/>
        </w:trPr>
        <w:tc>
          <w:tcPr>
            <w:tcW w:w="27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Equity/Warrants—0.1%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Telecommunications</w:t>
            </w:r>
          </w:p>
        </w:tc>
        <w:tc>
          <w:tcPr>
            <w:tcW w:w="960" w:type="dxa"/>
            <w:vAlign w:val="bottom"/>
            <w:gridSpan w:val="2"/>
            <w:shd w:val="clear" w:color="auto" w:fill="CCEEFF"/>
          </w:tcPr>
          <w:p>
            <w:pPr>
              <w:jc w:val="right"/>
              <w:ind w:right="398"/>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56,717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95,284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66,926</w:t>
            </w:r>
          </w:p>
        </w:tc>
        <w:tc>
          <w:tcPr>
            <w:tcW w:w="0" w:type="dxa"/>
            <w:vAlign w:val="bottom"/>
          </w:tcPr>
          <w:p>
            <w:pPr>
              <w:spacing w:after="0"/>
              <w:rPr>
                <w:sz w:val="1"/>
                <w:szCs w:val="1"/>
                <w:color w:val="auto"/>
              </w:rPr>
            </w:pPr>
          </w:p>
        </w:tc>
      </w:tr>
      <w:tr>
        <w:trPr>
          <w:trHeight w:val="138"/>
        </w:trPr>
        <w:tc>
          <w:tcPr>
            <w:tcW w:w="2720" w:type="dxa"/>
            <w:vAlign w:val="bottom"/>
            <w:gridSpan w:val="2"/>
          </w:tcPr>
          <w:p>
            <w:pPr>
              <w:spacing w:after="0" w:line="138" w:lineRule="exact"/>
              <w:rPr>
                <w:sz w:val="20"/>
                <w:szCs w:val="20"/>
                <w:color w:val="auto"/>
              </w:rPr>
            </w:pPr>
            <w:r>
              <w:rPr>
                <w:rFonts w:ascii="Arial" w:cs="Arial" w:eastAsia="Arial" w:hAnsi="Arial"/>
                <w:sz w:val="13"/>
                <w:szCs w:val="13"/>
                <w:color w:val="auto"/>
              </w:rPr>
              <w:t>Vestcom Parent Holdings, Inc. (Vestcom</w:t>
            </w:r>
          </w:p>
        </w:tc>
        <w:tc>
          <w:tcPr>
            <w:tcW w:w="82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24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8"/>
              </w:rPr>
              <w:t>Media: Advertising, Printing and</w:t>
            </w:r>
          </w:p>
        </w:tc>
        <w:tc>
          <w:tcPr>
            <w:tcW w:w="960" w:type="dxa"/>
            <w:vAlign w:val="bottom"/>
            <w:gridSpan w:val="2"/>
          </w:tcPr>
          <w:p>
            <w:pPr>
              <w:jc w:val="right"/>
              <w:ind w:right="398"/>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15,179</w:t>
            </w:r>
          </w:p>
        </w:tc>
        <w:tc>
          <w:tcPr>
            <w:tcW w:w="100" w:type="dxa"/>
            <w:vAlign w:val="bottom"/>
          </w:tcPr>
          <w:p>
            <w:pPr>
              <w:spacing w:after="0"/>
              <w:rPr>
                <w:sz w:val="11"/>
                <w:szCs w:val="11"/>
                <w:color w:val="auto"/>
              </w:rPr>
            </w:pPr>
          </w:p>
        </w:tc>
        <w:tc>
          <w:tcPr>
            <w:tcW w:w="1100" w:type="dxa"/>
            <w:vAlign w:val="bottom"/>
            <w:gridSpan w:val="2"/>
          </w:tcPr>
          <w:p>
            <w:pPr>
              <w:jc w:val="right"/>
              <w:ind w:right="420"/>
              <w:spacing w:after="0" w:line="138" w:lineRule="exact"/>
              <w:rPr>
                <w:sz w:val="20"/>
                <w:szCs w:val="20"/>
                <w:color w:val="auto"/>
              </w:rPr>
            </w:pPr>
            <w:r>
              <w:rPr>
                <w:rFonts w:ascii="Arial" w:cs="Arial" w:eastAsia="Arial" w:hAnsi="Arial"/>
                <w:sz w:val="13"/>
                <w:szCs w:val="13"/>
                <w:color w:val="auto"/>
              </w:rPr>
              <w:t>166,667</w:t>
            </w: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188,235</w:t>
            </w:r>
          </w:p>
        </w:tc>
        <w:tc>
          <w:tcPr>
            <w:tcW w:w="0" w:type="dxa"/>
            <w:vAlign w:val="bottom"/>
          </w:tcPr>
          <w:p>
            <w:pPr>
              <w:spacing w:after="0"/>
              <w:rPr>
                <w:sz w:val="1"/>
                <w:szCs w:val="1"/>
                <w:color w:val="auto"/>
              </w:rPr>
            </w:pPr>
          </w:p>
        </w:tc>
      </w:tr>
      <w:tr>
        <w:trPr>
          <w:trHeight w:val="166"/>
        </w:trPr>
        <w:tc>
          <w:tcPr>
            <w:tcW w:w="2720" w:type="dxa"/>
            <w:vAlign w:val="bottom"/>
            <w:gridSpan w:val="2"/>
          </w:tcPr>
          <w:p>
            <w:pPr>
              <w:ind w:left="220"/>
              <w:spacing w:after="0"/>
              <w:rPr>
                <w:sz w:val="20"/>
                <w:szCs w:val="20"/>
                <w:color w:val="auto"/>
              </w:rPr>
            </w:pPr>
            <w:r>
              <w:rPr>
                <w:rFonts w:ascii="Arial" w:cs="Arial" w:eastAsia="Arial" w:hAnsi="Arial"/>
                <w:sz w:val="13"/>
                <w:szCs w:val="13"/>
                <w:color w:val="auto"/>
              </w:rPr>
              <w:t>International, Inc.)</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Publishing</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261,951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255,161</w:t>
            </w:r>
          </w:p>
        </w:tc>
        <w:tc>
          <w:tcPr>
            <w:tcW w:w="0" w:type="dxa"/>
            <w:vAlign w:val="bottom"/>
          </w:tcPr>
          <w:p>
            <w:pPr>
              <w:spacing w:after="0"/>
              <w:rPr>
                <w:sz w:val="1"/>
                <w:szCs w:val="1"/>
                <w:color w:val="auto"/>
              </w:rPr>
            </w:pPr>
          </w:p>
        </w:tc>
      </w:tr>
      <w:tr>
        <w:trPr>
          <w:trHeight w:val="20"/>
        </w:trPr>
        <w:tc>
          <w:tcPr>
            <w:tcW w:w="59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gridSpan w:val="6"/>
            <w:vMerge w:val="continue"/>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w w:val="91"/>
              </w:rPr>
              <w:t>319,283,468</w:t>
            </w: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w w:val="96"/>
              </w:rPr>
              <w:t>317,803,894</w:t>
            </w: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Equivalents—2.2%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4"/>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2,747,327</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2,747,327</w:t>
            </w:r>
          </w:p>
        </w:tc>
        <w:tc>
          <w:tcPr>
            <w:tcW w:w="0" w:type="dxa"/>
            <w:vAlign w:val="bottom"/>
          </w:tcPr>
          <w:p>
            <w:pPr>
              <w:spacing w:after="0"/>
              <w:rPr>
                <w:sz w:val="1"/>
                <w:szCs w:val="1"/>
                <w:color w:val="auto"/>
              </w:rPr>
            </w:pPr>
          </w:p>
        </w:tc>
      </w:tr>
      <w:tr>
        <w:trPr>
          <w:trHeight w:val="148"/>
        </w:trPr>
        <w:tc>
          <w:tcPr>
            <w:tcW w:w="35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BlackRock Liquidity Funds, Temp Fund, Institutional Shares</w:t>
            </w: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1,830,922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1,830,922</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4,578,249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Equivalents—153.5%</w:t>
            </w: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1"/>
              </w:rPr>
              <w:t>323,861,717</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322,382,143</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Liabilities in Excess of Other Assets—(53.5)%</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1"/>
              </w:rPr>
              <w:t>(112,315,749)</w:t>
            </w: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210,066,394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8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CONSOLIDATED SCHEDULE OF INVESTMENTS—(CONTINUED)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1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1" w:lineRule="exact"/>
        <w:rPr>
          <w:sz w:val="20"/>
          <w:szCs w:val="20"/>
          <w:color w:val="auto"/>
        </w:rPr>
      </w:pPr>
    </w:p>
    <w:p>
      <w:pPr>
        <w:ind w:left="34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2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6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right="140" w:firstLine="898"/>
        <w:spacing w:after="0" w:line="288"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4"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In April 2011, we closed our initial public offering and our common stock trades on the NASDAQ Global Select Market under the symbol “PFLT.” From inception to date, we have issued 14,889,367 shares of common stock for gross proceeds of $216.3 million, or $210.0 million after deducting the sales load and underwriting expenses paid by us. In addition, since inception, our Investment Adviser paid $2.9 million of the sales load in connection with our offerings.</w:t>
      </w:r>
    </w:p>
    <w:p>
      <w:pPr>
        <w:spacing w:after="0" w:line="143"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160" w:firstLine="898"/>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18"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20" w:hanging="447"/>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jc w:val="both"/>
        <w:ind w:right="240" w:firstLine="898"/>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accrued an excise tax of about $0.1 million, for the three months ended December 31, 2013 and 2012.</w:t>
      </w:r>
    </w:p>
    <w:p>
      <w:pPr>
        <w:spacing w:after="0" w:line="12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 and the New York state department of revenue.</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or return of capital.</w:t>
      </w:r>
    </w:p>
    <w:p>
      <w:pPr>
        <w:spacing w:after="0" w:line="143"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Asset Transfers and Servicing</w:t>
      </w:r>
    </w:p>
    <w:p>
      <w:pPr>
        <w:spacing w:after="0" w:line="90" w:lineRule="exact"/>
        <w:rPr>
          <w:sz w:val="20"/>
          <w:szCs w:val="20"/>
          <w:color w:val="auto"/>
        </w:rPr>
      </w:pPr>
    </w:p>
    <w:p>
      <w:pPr>
        <w:jc w:val="both"/>
        <w:ind w:right="220" w:firstLine="898"/>
        <w:spacing w:after="0" w:line="306" w:lineRule="auto"/>
        <w:rPr>
          <w:sz w:val="20"/>
          <w:szCs w:val="20"/>
          <w:color w:val="auto"/>
        </w:rPr>
      </w:pPr>
      <w:r>
        <w:rPr>
          <w:rFonts w:ascii="Arial" w:cs="Arial" w:eastAsia="Arial" w:hAnsi="Arial"/>
          <w:sz w:val="16"/>
          <w:szCs w:val="16"/>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Funding I’s assets and such assets are not intended to be available to the creditors of PennantPark Floating Rate Capital Ltd. or any affiliate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898"/>
        <w:spacing w:after="0" w:line="314" w:lineRule="auto"/>
        <w:rPr>
          <w:sz w:val="20"/>
          <w:szCs w:val="20"/>
          <w:color w:val="auto"/>
        </w:rPr>
      </w:pPr>
      <w:r>
        <w:rPr>
          <w:rFonts w:ascii="Arial" w:cs="Arial" w:eastAsia="Arial" w:hAnsi="Arial"/>
          <w:sz w:val="15"/>
          <w:szCs w:val="15"/>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4"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The base management fee is calculated at an annual rate of 1.00%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The base management fee for any partial month or quarter is appropriately pro-rated. For the three months ended December 31, 2013 and 2012, the Investment Adviser earned base management fees of $0.9 million and $0.5 million, respectively, from us.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80" w:firstLine="898"/>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w:t>
      </w:r>
    </w:p>
    <w:p>
      <w:pPr>
        <w:spacing w:after="0" w:line="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months ended December 31, 2013 and 2012, the Investment Adviser earned an incentive fee on net investment income as calculated under the Investment Management Agreement of $0.1 million and $0.4 million, respectively.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20" w:firstLine="898"/>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months ended December 31, 2013 and 2012 the Investment Adviser earned an incentive fee on capital gains of $0.4 million and zero, respectively, as calculated under the Investment Management Agreement.</w:t>
      </w:r>
    </w:p>
    <w:p>
      <w:pPr>
        <w:spacing w:after="0" w:line="144" w:lineRule="exact"/>
        <w:rPr>
          <w:sz w:val="20"/>
          <w:szCs w:val="20"/>
          <w:color w:val="auto"/>
        </w:rPr>
      </w:pPr>
    </w:p>
    <w:p>
      <w:pPr>
        <w:ind w:right="160" w:firstLine="898"/>
        <w:spacing w:after="0" w:line="309" w:lineRule="auto"/>
        <w:rPr>
          <w:sz w:val="20"/>
          <w:szCs w:val="20"/>
          <w:color w:val="auto"/>
        </w:rPr>
      </w:pPr>
      <w:r>
        <w:rPr>
          <w:rFonts w:ascii="Arial" w:cs="Arial" w:eastAsia="Arial" w:hAnsi="Arial"/>
          <w:sz w:val="15"/>
          <w:szCs w:val="15"/>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2013 and 2012, the Investment Adviser earned an incentive fee on unrealized and realized capital gains as calculated under GAAP of $0.2 million and $0.1 million, respectively.</w:t>
      </w:r>
    </w:p>
    <w:p>
      <w:pPr>
        <w:spacing w:after="0" w:line="107"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directors who are not interested persons of us, in February 2014.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each of the three months ended December 31, 2013 and 2012, the Investment Adviser was reimbursed approximately $0.1 million from us, including expenses the Investment Adviser incurred on behalf of the Administrator, for services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60" w:firstLine="898"/>
        <w:spacing w:after="0" w:line="259" w:lineRule="auto"/>
        <w:rPr>
          <w:sz w:val="20"/>
          <w:szCs w:val="20"/>
          <w:color w:val="auto"/>
        </w:rPr>
      </w:pPr>
      <w:r>
        <w:rPr>
          <w:rFonts w:ascii="Arial" w:cs="Arial" w:eastAsia="Arial" w:hAnsi="Arial"/>
          <w:sz w:val="18"/>
          <w:szCs w:val="18"/>
          <w:color w:val="auto"/>
        </w:rPr>
        <w:t>Purchases of investments, including PIK, for the three months ended December 31, 2013 and 2012 totaled $104.0 million and $38.9 million, respectively. Sales and repayments of investments for the three months ended December 31, 2013 and 2012 totaled $55.4 million and $30.3 million, respectively.</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80" w:type="dxa"/>
            <w:vAlign w:val="bottom"/>
          </w:tcPr>
          <w:p>
            <w:pPr>
              <w:spacing w:after="0"/>
              <w:rPr>
                <w:sz w:val="14"/>
                <w:szCs w:val="14"/>
                <w:color w:val="auto"/>
              </w:rPr>
            </w:pPr>
          </w:p>
        </w:tc>
        <w:tc>
          <w:tcPr>
            <w:tcW w:w="2340" w:type="dxa"/>
            <w:vAlign w:val="bottom"/>
            <w:gridSpan w:val="3"/>
          </w:tcPr>
          <w:p>
            <w:pPr>
              <w:jc w:val="right"/>
              <w:ind w:right="556"/>
              <w:spacing w:after="0"/>
              <w:rPr>
                <w:sz w:val="20"/>
                <w:szCs w:val="20"/>
                <w:color w:val="auto"/>
              </w:rPr>
            </w:pPr>
            <w:r>
              <w:rPr>
                <w:rFonts w:ascii="Arial" w:cs="Arial" w:eastAsia="Arial" w:hAnsi="Arial"/>
                <w:sz w:val="13"/>
                <w:szCs w:val="13"/>
                <w:b w:val="1"/>
                <w:bCs w:val="1"/>
                <w:color w:val="auto"/>
              </w:rPr>
              <w:t>December 31, 2013</w:t>
            </w:r>
          </w:p>
        </w:tc>
        <w:tc>
          <w:tcPr>
            <w:tcW w:w="3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3"/>
                <w:szCs w:val="13"/>
                <w:b w:val="1"/>
                <w:bCs w:val="1"/>
                <w:color w:val="auto"/>
              </w:rPr>
              <w:t>September 30, 2013</w:t>
            </w:r>
          </w:p>
        </w:tc>
        <w:tc>
          <w:tcPr>
            <w:tcW w:w="0" w:type="dxa"/>
            <w:vAlign w:val="bottom"/>
          </w:tcPr>
          <w:p>
            <w:pPr>
              <w:spacing w:after="0"/>
              <w:rPr>
                <w:sz w:val="1"/>
                <w:szCs w:val="1"/>
                <w:color w:val="auto"/>
              </w:rPr>
            </w:pPr>
          </w:p>
        </w:tc>
      </w:tr>
      <w:tr>
        <w:trPr>
          <w:trHeight w:val="148"/>
        </w:trPr>
        <w:tc>
          <w:tcPr>
            <w:tcW w:w="390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3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$325,774,867</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$326,239,855</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$281,260,179</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$281,046,248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31,555,946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31,601,250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27,351,492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27,499,315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12,243,632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12,417,856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10,409,846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9,003,170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Common equity and warrants</w:t>
            </w:r>
          </w:p>
        </w:tc>
        <w:tc>
          <w:tcPr>
            <w:tcW w:w="1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595,415</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666,116</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261,951</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370,169,860</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370,925,077</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319,283,468</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317,803,894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5,315,022</w:t>
            </w:r>
          </w:p>
        </w:tc>
        <w:tc>
          <w:tcPr>
            <w:tcW w:w="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5,315,022</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4,578,249</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375,484,882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376,240,099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323,861,717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322,382,143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40" w:type="dxa"/>
            <w:vAlign w:val="bottom"/>
            <w:gridSpan w:val="2"/>
          </w:tcPr>
          <w:p>
            <w:pPr>
              <w:jc w:val="right"/>
              <w:ind w:right="799"/>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60" w:right="26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4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040" w:type="dxa"/>
            <w:vAlign w:val="bottom"/>
            <w:vMerge w:val="restart"/>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317"/>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December 31, 2013</w:t>
            </w:r>
          </w:p>
        </w:tc>
        <w:tc>
          <w:tcPr>
            <w:tcW w:w="880" w:type="dxa"/>
            <w:vAlign w:val="bottom"/>
          </w:tcPr>
          <w:p>
            <w:pPr>
              <w:spacing w:after="0"/>
              <w:rPr>
                <w:sz w:val="12"/>
                <w:szCs w:val="12"/>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0"/>
              </w:rPr>
              <w:t>September 30, 2013</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Healthcare and Pharmaceuticals</w:t>
            </w:r>
          </w:p>
        </w:tc>
        <w:tc>
          <w:tcPr>
            <w:tcW w:w="1100" w:type="dxa"/>
            <w:vAlign w:val="bottom"/>
            <w:tcBorders>
              <w:top w:val="single" w:sz="8" w:color="auto"/>
            </w:tcBorders>
            <w:shd w:val="clear" w:color="auto" w:fill="CCEEFF"/>
          </w:tcPr>
          <w:p>
            <w:pPr>
              <w:jc w:val="right"/>
              <w:ind w:right="153"/>
              <w:spacing w:after="0" w:line="203" w:lineRule="exact"/>
              <w:rPr>
                <w:sz w:val="20"/>
                <w:szCs w:val="20"/>
                <w:color w:val="auto"/>
              </w:rPr>
            </w:pPr>
            <w:r>
              <w:rPr>
                <w:rFonts w:ascii="Arial" w:cs="Arial" w:eastAsia="Arial" w:hAnsi="Arial"/>
                <w:sz w:val="18"/>
                <w:szCs w:val="18"/>
                <w:color w:val="auto"/>
              </w:rPr>
              <w:t>15%</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57"/>
              <w:spacing w:after="0" w:line="203"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14</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12</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7</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7</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5</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5</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Energy: Oil and Gas</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5</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5</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5</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and Real Estate</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4</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3</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2</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2</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2</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1</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1</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1</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79"/>
              </w:rPr>
              <w:t>1</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Transportation: Consumer</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79"/>
              </w:rPr>
              <w:t>1</w:t>
            </w:r>
          </w:p>
        </w:tc>
        <w:tc>
          <w:tcPr>
            <w:tcW w:w="2000" w:type="dxa"/>
            <w:vAlign w:val="bottom"/>
            <w:gridSpan w:val="2"/>
          </w:tcPr>
          <w:p>
            <w:pPr>
              <w:jc w:val="center"/>
              <w:ind w:left="9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center"/>
              <w:ind w:left="97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10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79"/>
              </w:rPr>
              <w:t>2</w:t>
            </w:r>
          </w:p>
        </w:tc>
        <w:tc>
          <w:tcPr>
            <w:tcW w:w="880" w:type="dxa"/>
            <w:vAlign w:val="bottom"/>
          </w:tcPr>
          <w:p>
            <w:pPr>
              <w:spacing w:after="0"/>
              <w:rPr>
                <w:sz w:val="19"/>
                <w:szCs w:val="19"/>
                <w:color w:val="auto"/>
              </w:rPr>
            </w:pPr>
          </w:p>
        </w:tc>
        <w:tc>
          <w:tcPr>
            <w:tcW w:w="1120" w:type="dxa"/>
            <w:vAlign w:val="bottom"/>
            <w:tcBorders>
              <w:bottom w:val="single" w:sz="8" w:color="auto"/>
            </w:tcBorders>
          </w:tcPr>
          <w:p>
            <w:pPr>
              <w:jc w:val="center"/>
              <w:ind w:left="97"/>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40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20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12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2"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2013, our ability to observe valuation inputs resulted in no reclassification of assets from Level 1, 2 or 3. This compares to the three months ended December 31, 2012, which resulted in the reclassification of one asset from Level 3 to 2 and no other transfers between levels.</w:t>
      </w:r>
    </w:p>
    <w:p>
      <w:pPr>
        <w:spacing w:after="0" w:line="11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47"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The remainder of our portfolio, including our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32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Fair Value as of</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December 31, 2013</w:t>
            </w:r>
          </w:p>
        </w:tc>
        <w:tc>
          <w:tcPr>
            <w:tcW w:w="300" w:type="dxa"/>
            <w:vAlign w:val="bottom"/>
          </w:tcPr>
          <w:p>
            <w:pPr>
              <w:spacing w:after="0"/>
              <w:rPr>
                <w:sz w:val="14"/>
                <w:szCs w:val="14"/>
                <w:color w:val="auto"/>
              </w:rPr>
            </w:pPr>
          </w:p>
        </w:tc>
        <w:tc>
          <w:tcPr>
            <w:tcW w:w="20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Unobservable Input</w:t>
            </w:r>
          </w:p>
        </w:tc>
        <w:tc>
          <w:tcPr>
            <w:tcW w:w="1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95"/>
        </w:trPr>
        <w:tc>
          <w:tcPr>
            <w:tcW w:w="41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336,453,848</w:t>
            </w:r>
          </w:p>
        </w:tc>
        <w:tc>
          <w:tcPr>
            <w:tcW w:w="3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Market Comparable</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Broker/Dealer</w:t>
            </w:r>
          </w:p>
        </w:tc>
        <w:tc>
          <w:tcPr>
            <w:tcW w:w="2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9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bid quotes</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28,078,708</w:t>
            </w:r>
          </w:p>
        </w:tc>
        <w:tc>
          <w:tcPr>
            <w:tcW w:w="3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Market Comparable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Market Yield</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9.8% – 15.1% (12.9%)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572,533</w:t>
            </w: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Enterprise Market Value</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EBITDA multiple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6.1x – 7.0x (6.8x)</w:t>
            </w:r>
          </w:p>
        </w:tc>
        <w:tc>
          <w:tcPr>
            <w:tcW w:w="0" w:type="dxa"/>
            <w:vAlign w:val="bottom"/>
          </w:tcPr>
          <w:p>
            <w:pPr>
              <w:spacing w:after="0"/>
              <w:rPr>
                <w:sz w:val="1"/>
                <w:szCs w:val="1"/>
                <w:color w:val="auto"/>
              </w:rPr>
            </w:pPr>
          </w:p>
        </w:tc>
      </w:tr>
      <w:tr>
        <w:trPr>
          <w:trHeight w:val="222"/>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365,105,089</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139,200,000</w:t>
            </w: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Market Comparable</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Discount rate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32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Fair Value as of</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September 30, 2013</w:t>
            </w:r>
          </w:p>
        </w:tc>
        <w:tc>
          <w:tcPr>
            <w:tcW w:w="300" w:type="dxa"/>
            <w:vAlign w:val="bottom"/>
          </w:tcPr>
          <w:p>
            <w:pPr>
              <w:spacing w:after="0"/>
              <w:rPr>
                <w:sz w:val="14"/>
                <w:szCs w:val="14"/>
                <w:color w:val="auto"/>
              </w:rPr>
            </w:pPr>
          </w:p>
        </w:tc>
        <w:tc>
          <w:tcPr>
            <w:tcW w:w="20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Unobservable Input</w:t>
            </w:r>
          </w:p>
        </w:tc>
        <w:tc>
          <w:tcPr>
            <w:tcW w:w="1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95"/>
        </w:trPr>
        <w:tc>
          <w:tcPr>
            <w:tcW w:w="41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298,655,677</w:t>
            </w:r>
          </w:p>
        </w:tc>
        <w:tc>
          <w:tcPr>
            <w:tcW w:w="3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Market Comparable</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Broker/Dealer</w:t>
            </w:r>
          </w:p>
        </w:tc>
        <w:tc>
          <w:tcPr>
            <w:tcW w:w="2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9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bid quotes</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14,900,556</w:t>
            </w:r>
          </w:p>
        </w:tc>
        <w:tc>
          <w:tcPr>
            <w:tcW w:w="30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Market Comparable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Market Yield</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7.3% – 15.2% (11.7%)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188,235</w:t>
            </w: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Enterprise Market Value</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EBITDA multiple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7.0x</w:t>
            </w:r>
          </w:p>
        </w:tc>
        <w:tc>
          <w:tcPr>
            <w:tcW w:w="0" w:type="dxa"/>
            <w:vAlign w:val="bottom"/>
          </w:tcPr>
          <w:p>
            <w:pPr>
              <w:spacing w:after="0"/>
              <w:rPr>
                <w:sz w:val="1"/>
                <w:szCs w:val="1"/>
                <w:color w:val="auto"/>
              </w:rPr>
            </w:pPr>
          </w:p>
        </w:tc>
      </w:tr>
      <w:tr>
        <w:trPr>
          <w:trHeight w:val="222"/>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313,744,468</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99,600,000</w:t>
            </w: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Market Comparable</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Market Yield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cash equivalents, investments and our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200"/>
              <w:spacing w:after="0"/>
              <w:rPr>
                <w:sz w:val="20"/>
                <w:szCs w:val="20"/>
                <w:color w:val="auto"/>
              </w:rPr>
            </w:pPr>
            <w:r>
              <w:rPr>
                <w:rFonts w:ascii="Arial" w:cs="Arial" w:eastAsia="Arial" w:hAnsi="Arial"/>
                <w:sz w:val="13"/>
                <w:szCs w:val="13"/>
                <w:b w:val="1"/>
                <w:bCs w:val="1"/>
                <w:color w:val="auto"/>
                <w:w w:val="97"/>
              </w:rPr>
              <w:t>Fair Value Measurements at December 31, 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ind w:right="116"/>
              <w:spacing w:after="0" w:line="129" w:lineRule="exact"/>
              <w:rPr>
                <w:sz w:val="20"/>
                <w:szCs w:val="20"/>
                <w:color w:val="auto"/>
              </w:rPr>
            </w:pPr>
            <w:r>
              <w:rPr>
                <w:rFonts w:ascii="Arial" w:cs="Arial" w:eastAsia="Arial" w:hAnsi="Arial"/>
                <w:sz w:val="13"/>
                <w:szCs w:val="13"/>
                <w:b w:val="1"/>
                <w:bCs w:val="1"/>
                <w:color w:val="auto"/>
              </w:rPr>
              <w:t>Fair Value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20" w:type="dxa"/>
            <w:vAlign w:val="bottom"/>
            <w:tcBorders>
              <w:top w:val="single" w:sz="8" w:color="CCEEFF"/>
            </w:tcBorders>
            <w:gridSpan w:val="2"/>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$326,239,855</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326,239,855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31,601,250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31,601,250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12,417,856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5,726,405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20" w:type="dxa"/>
            <w:vAlign w:val="bottom"/>
            <w:gridSpan w:val="2"/>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666,116</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370,925,077</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5,819,988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365,105,089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2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5,315,022</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5,315,022</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376,240,099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5,315,022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5,819,988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365,105,089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139,200,000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139,200,000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180"/>
              <w:spacing w:after="0"/>
              <w:rPr>
                <w:sz w:val="20"/>
                <w:szCs w:val="20"/>
                <w:color w:val="auto"/>
              </w:rPr>
            </w:pPr>
            <w:r>
              <w:rPr>
                <w:rFonts w:ascii="Arial" w:cs="Arial" w:eastAsia="Arial" w:hAnsi="Arial"/>
                <w:sz w:val="13"/>
                <w:szCs w:val="13"/>
                <w:b w:val="1"/>
                <w:bCs w:val="1"/>
                <w:color w:val="auto"/>
                <w:w w:val="96"/>
              </w:rPr>
              <w:t>Fair Value Measurements at September 30, 2013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ind w:right="116"/>
              <w:spacing w:after="0" w:line="129" w:lineRule="exact"/>
              <w:rPr>
                <w:sz w:val="20"/>
                <w:szCs w:val="20"/>
                <w:color w:val="auto"/>
              </w:rPr>
            </w:pPr>
            <w:r>
              <w:rPr>
                <w:rFonts w:ascii="Arial" w:cs="Arial" w:eastAsia="Arial" w:hAnsi="Arial"/>
                <w:sz w:val="13"/>
                <w:szCs w:val="13"/>
                <w:b w:val="1"/>
                <w:bCs w:val="1"/>
                <w:color w:val="auto"/>
              </w:rPr>
              <w:t>Fair Value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20" w:type="dxa"/>
            <w:vAlign w:val="bottom"/>
            <w:tcBorders>
              <w:top w:val="single" w:sz="8" w:color="CCEEFF"/>
            </w:tcBorders>
            <w:gridSpan w:val="2"/>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$281,046,248</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281,046,248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27,499,315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1,635,000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25,864,315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9,003,170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2,357,500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20" w:type="dxa"/>
            <w:vAlign w:val="bottom"/>
            <w:gridSpan w:val="2"/>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255,161</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317,803,894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4,059,426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313,744,468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2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4,578,249</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4,578,249</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20" w:type="dxa"/>
            <w:vAlign w:val="bottom"/>
            <w:gridSpan w:val="2"/>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322,382,143</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4,578,249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4,059,426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313,744,468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$ 99,600,000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99,600,000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gridSpan w:val="3"/>
          </w:tcPr>
          <w:p>
            <w:pPr>
              <w:jc w:val="right"/>
              <w:ind w:right="756"/>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20" w:firstLine="898"/>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center"/>
              <w:ind w:left="796"/>
              <w:spacing w:after="0"/>
              <w:rPr>
                <w:sz w:val="20"/>
                <w:szCs w:val="20"/>
                <w:color w:val="auto"/>
              </w:rPr>
            </w:pPr>
            <w:r>
              <w:rPr>
                <w:rFonts w:ascii="Arial" w:cs="Arial" w:eastAsia="Arial" w:hAnsi="Arial"/>
                <w:sz w:val="13"/>
                <w:szCs w:val="13"/>
                <w:b w:val="1"/>
                <w:bCs w:val="1"/>
                <w:color w:val="auto"/>
                <w:w w:val="94"/>
              </w:rPr>
              <w:t>Three Months Ended December 31, 2013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64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3"/>
              </w:rPr>
              <w:t>subordinated debt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b w:val="1"/>
                <w:bCs w:val="1"/>
                <w:color w:val="auto"/>
              </w:rPr>
              <w:t>First Lien</w:t>
            </w:r>
          </w:p>
        </w:tc>
        <w:tc>
          <w:tcPr>
            <w:tcW w:w="240" w:type="dxa"/>
            <w:vAlign w:val="bottom"/>
          </w:tcPr>
          <w:p>
            <w:pPr>
              <w:spacing w:after="0"/>
              <w:rPr>
                <w:sz w:val="14"/>
                <w:szCs w:val="14"/>
                <w:color w:val="auto"/>
              </w:rPr>
            </w:pPr>
          </w:p>
        </w:tc>
        <w:tc>
          <w:tcPr>
            <w:tcW w:w="18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120" w:type="dxa"/>
            <w:vAlign w:val="bottom"/>
          </w:tcPr>
          <w:p>
            <w:pPr>
              <w:spacing w:after="0"/>
              <w:rPr>
                <w:sz w:val="14"/>
                <w:szCs w:val="14"/>
                <w:color w:val="auto"/>
              </w:rPr>
            </w:pPr>
          </w:p>
        </w:tc>
        <w:tc>
          <w:tcPr>
            <w:tcW w:w="102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281,046,248</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32,698,220</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313,744,468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582,127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49,674</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631,801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105,240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784,159</w:t>
            </w: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Purchases, PIK, net discount accretion and non-cash exchanges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95,547,262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8,171,207</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103,718,469</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repayments and non-cash exchanges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(51,614,701)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(2,159,107)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(53,773,808)</w:t>
            </w:r>
          </w:p>
        </w:tc>
        <w:tc>
          <w:tcPr>
            <w:tcW w:w="0" w:type="dxa"/>
            <w:vAlign w:val="bottom"/>
          </w:tcPr>
          <w:p>
            <w:pPr>
              <w:spacing w:after="0"/>
              <w:rPr>
                <w:sz w:val="1"/>
                <w:szCs w:val="1"/>
                <w:color w:val="auto"/>
              </w:rPr>
            </w:pPr>
          </w:p>
        </w:tc>
      </w:tr>
      <w:tr>
        <w:trPr>
          <w:trHeight w:val="223"/>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326,239,855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38,865,234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365,105,089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appreciation reported within the net change in unrealized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w w:val="94"/>
              </w:rPr>
              <w:t>appreciation on investments in our Consolidated Statement of Operations attributable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to our Level 3 assets still held at the reporting date.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1,026,713</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190,040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1,216,753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left="796"/>
              <w:spacing w:after="0"/>
              <w:rPr>
                <w:sz w:val="20"/>
                <w:szCs w:val="20"/>
                <w:color w:val="auto"/>
              </w:rPr>
            </w:pPr>
            <w:r>
              <w:rPr>
                <w:rFonts w:ascii="Arial" w:cs="Arial" w:eastAsia="Arial" w:hAnsi="Arial"/>
                <w:sz w:val="13"/>
                <w:szCs w:val="13"/>
                <w:b w:val="1"/>
                <w:bCs w:val="1"/>
                <w:color w:val="auto"/>
                <w:w w:val="94"/>
              </w:rPr>
              <w:t>Three Months Ended December 31, 2012</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64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3"/>
              </w:rPr>
              <w:t>subordinated debt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b w:val="1"/>
                <w:bCs w:val="1"/>
                <w:color w:val="auto"/>
              </w:rPr>
              <w:t>First Lien</w:t>
            </w:r>
          </w:p>
        </w:tc>
        <w:tc>
          <w:tcPr>
            <w:tcW w:w="240" w:type="dxa"/>
            <w:vAlign w:val="bottom"/>
          </w:tcPr>
          <w:p>
            <w:pPr>
              <w:spacing w:after="0"/>
              <w:rPr>
                <w:sz w:val="14"/>
                <w:szCs w:val="14"/>
                <w:color w:val="auto"/>
              </w:rPr>
            </w:pPr>
          </w:p>
        </w:tc>
        <w:tc>
          <w:tcPr>
            <w:tcW w:w="18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120" w:type="dxa"/>
            <w:vAlign w:val="bottom"/>
          </w:tcPr>
          <w:p>
            <w:pPr>
              <w:spacing w:after="0"/>
              <w:rPr>
                <w:sz w:val="14"/>
                <w:szCs w:val="14"/>
                <w:color w:val="auto"/>
              </w:rPr>
            </w:pPr>
          </w:p>
        </w:tc>
        <w:tc>
          <w:tcPr>
            <w:tcW w:w="102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150,209,747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169,046,400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429,535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13,308</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442,843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 appreciation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(357,390)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158,764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(198,626)</w:t>
            </w: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35,707,944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3,488,767</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39,196,711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repayments and non-cash exchanges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(28,835,919)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(30,335,919)</w:t>
            </w: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(1,586,250)</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(1,586,250)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157,153,917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19,411,242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176,565,159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w w:val="97"/>
              </w:rPr>
              <w:t>Net change in unrealized appreciation (depreciation) reported within the net change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w w:val="95"/>
              </w:rPr>
              <w:t>unrealized appreciation on investments in our Consolidated Statement of Operations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126,018</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440"/>
              <w:spacing w:after="0"/>
              <w:rPr>
                <w:sz w:val="20"/>
                <w:szCs w:val="20"/>
                <w:color w:val="auto"/>
              </w:rPr>
            </w:pPr>
            <w:r>
              <w:rPr>
                <w:rFonts w:ascii="Arial" w:cs="Arial" w:eastAsia="Arial" w:hAnsi="Arial"/>
                <w:sz w:val="18"/>
                <w:szCs w:val="18"/>
                <w:color w:val="auto"/>
              </w:rPr>
              <w:t>(2,677,717)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(2,551,699)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4"/>
          </w:tcPr>
          <w:p>
            <w:pPr>
              <w:jc w:val="right"/>
              <w:ind w:right="76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61"/>
        </w:trPr>
        <w:tc>
          <w:tcPr>
            <w:tcW w:w="5260" w:type="dxa"/>
            <w:vAlign w:val="bottom"/>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w w:val="99"/>
              </w:rPr>
              <w:t>Three Months Ended December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3"/>
                <w:szCs w:val="13"/>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Beginning Balance (cost – $99,600,000 and $75,500,000, respectively)</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99,600,000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$ 75,122,500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377,500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54,800,000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30,950,000</w:t>
            </w: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(15,200,000)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(20,675,000)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8"/>
                <w:szCs w:val="18"/>
                <w:color w:val="auto"/>
                <w:w w:val="95"/>
              </w:rPr>
              <w:t>Ending Balance (cost – $139,200,000 and $85,775,000, respectively)</w:t>
            </w:r>
          </w:p>
        </w:tc>
        <w:tc>
          <w:tcPr>
            <w:tcW w:w="1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139,200,000</w:t>
            </w:r>
          </w:p>
        </w:tc>
        <w:tc>
          <w:tcPr>
            <w:tcW w:w="5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$ 85,775,000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0" w:type="dxa"/>
            <w:vAlign w:val="bottom"/>
            <w:vMerge w:val="restart"/>
          </w:tcPr>
          <w:p>
            <w:pPr>
              <w:jc w:val="right"/>
              <w:ind w:right="105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8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and zero, respectively, relating to amendment fees on the Credit Facility during the three months ended December 31, 2013 and 2012.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three months ended December 31, 2013 and 2012, we had a net change in unrealized appreciation of zero and $0.4 million, respectively. As of December 31, 2013 and September 30, 2013, the Credit Facility had unrealized appreciation of zero. We use a nationally recognized independent valuation service to measure the fair value of the Credit Facility in a manner consistent with the valuation process that the board of directors uses to value our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4"/>
              </w:rPr>
              <w:t>Three Months Ended</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75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8"/>
        </w:trPr>
        <w:tc>
          <w:tcPr>
            <w:tcW w:w="940" w:type="dxa"/>
            <w:vAlign w:val="bottom"/>
            <w:tcBorders>
              <w:bottom w:val="single" w:sz="8" w:color="auto"/>
            </w:tcBorders>
            <w:vMerge w:val="continue"/>
          </w:tcPr>
          <w:p>
            <w:pPr>
              <w:spacing w:after="0"/>
              <w:rPr>
                <w:sz w:val="12"/>
                <w:szCs w:val="12"/>
                <w:color w:val="auto"/>
              </w:rPr>
            </w:pPr>
          </w:p>
        </w:tc>
        <w:tc>
          <w:tcPr>
            <w:tcW w:w="75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2"/>
              <w:spacing w:after="0" w:line="129" w:lineRule="exact"/>
              <w:rPr>
                <w:sz w:val="20"/>
                <w:szCs w:val="20"/>
                <w:color w:val="auto"/>
              </w:rPr>
            </w:pPr>
            <w:r>
              <w:rPr>
                <w:rFonts w:ascii="Arial" w:cs="Arial" w:eastAsia="Arial" w:hAnsi="Arial"/>
                <w:sz w:val="13"/>
                <w:szCs w:val="13"/>
                <w:b w:val="1"/>
                <w:bCs w:val="1"/>
                <w:color w:val="auto"/>
              </w:rPr>
              <w:t>2013</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6,056,781</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1,765,431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14,898,056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6,850,667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2013 and September 30, 2013, cash equivalents consisted of money market funds in the amounts of $5.3 million and $4.6 million, respectively.</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00" w:right="27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14.10</w:t>
            </w:r>
          </w:p>
        </w:tc>
        <w:tc>
          <w:tcPr>
            <w:tcW w:w="3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(loss) </w:t>
            </w:r>
            <w:r>
              <w:rPr>
                <w:rFonts w:ascii="Arial" w:cs="Arial" w:eastAsia="Arial" w:hAnsi="Arial"/>
                <w:sz w:val="11"/>
                <w:szCs w:val="11"/>
                <w:color w:val="auto"/>
              </w:rPr>
              <w:t>(1)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13.73</w:t>
            </w:r>
          </w:p>
        </w:tc>
        <w:tc>
          <w:tcPr>
            <w:tcW w:w="3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14,898,056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6,850,667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Credit Facility related expenses to average net assets </w:t>
            </w:r>
            <w:r>
              <w:rPr>
                <w:rFonts w:ascii="Arial" w:cs="Arial" w:eastAsia="Arial" w:hAnsi="Arial"/>
                <w:sz w:val="11"/>
                <w:szCs w:val="11"/>
                <w:color w:val="auto"/>
              </w:rPr>
              <w:t>(5)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1"/>
                <w:szCs w:val="11"/>
                <w:color w:val="auto"/>
              </w:rPr>
              <w:t>(5)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212,137,945</w:t>
            </w:r>
          </w:p>
        </w:tc>
        <w:tc>
          <w:tcPr>
            <w:tcW w:w="3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95,813,768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119,535,870</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70,040,217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1"/>
                <w:szCs w:val="11"/>
                <w:color w:val="auto"/>
              </w:rPr>
              <w:t>(1)</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8.02</w:t>
            </w:r>
          </w:p>
        </w:tc>
        <w:tc>
          <w:tcPr>
            <w:tcW w:w="3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1"/>
                <w:szCs w:val="11"/>
                <w:color w:val="auto"/>
              </w:rPr>
              <w:t>(6)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65.66%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4" w:lineRule="exact"/>
        <w:rPr>
          <w:sz w:val="20"/>
          <w:szCs w:val="20"/>
          <w:color w:val="auto"/>
        </w:rPr>
      </w:pPr>
    </w:p>
    <w:p>
      <w:pPr>
        <w:ind w:right="7500" w:firstLine="8"/>
        <w:spacing w:after="0" w:line="274" w:lineRule="auto"/>
        <w:tabs>
          <w:tab w:leader="none" w:pos="44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line="222"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Based on the weighted average shares outstanding for the respective periods.</w:t>
      </w:r>
    </w:p>
    <w:p>
      <w:pPr>
        <w:spacing w:after="0" w:line="7" w:lineRule="exact"/>
        <w:rPr>
          <w:rFonts w:ascii="Arial" w:cs="Arial" w:eastAsia="Arial" w:hAnsi="Arial"/>
          <w:sz w:val="22"/>
          <w:szCs w:val="22"/>
          <w:color w:val="auto"/>
          <w:vertAlign w:val="superscript"/>
        </w:rPr>
      </w:pPr>
    </w:p>
    <w:p>
      <w:pPr>
        <w:ind w:left="460" w:right="280" w:hanging="452"/>
        <w:spacing w:after="0" w:line="221"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tax status of distributions is calculated in accordance with income tax regulations, which may differ from amounts determined under GAAP and reported on Form 1099-DIV each calendar year.</w:t>
      </w:r>
    </w:p>
    <w:p>
      <w:pPr>
        <w:ind w:left="460" w:hanging="452"/>
        <w:spacing w:after="0" w:line="22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line="204"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Operating expenses exclude Credit Facility related costs.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Credit Facility amendment costs are not annualized.</w:t>
      </w:r>
    </w:p>
    <w:p>
      <w:pPr>
        <w:spacing w:after="0" w:line="8" w:lineRule="exact"/>
        <w:rPr>
          <w:rFonts w:ascii="Arial" w:cs="Arial" w:eastAsia="Arial" w:hAnsi="Arial"/>
          <w:sz w:val="22"/>
          <w:szCs w:val="22"/>
          <w:color w:val="auto"/>
          <w:vertAlign w:val="superscript"/>
        </w:rPr>
      </w:pPr>
    </w:p>
    <w:p>
      <w:pPr>
        <w:ind w:left="460" w:right="180" w:hanging="452"/>
        <w:spacing w:after="0" w:line="230"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60" w:firstLine="898"/>
        <w:spacing w:after="0" w:line="290" w:lineRule="auto"/>
        <w:rPr>
          <w:sz w:val="20"/>
          <w:szCs w:val="20"/>
          <w:color w:val="auto"/>
        </w:rPr>
      </w:pPr>
      <w:r>
        <w:rPr>
          <w:rFonts w:ascii="Arial" w:cs="Arial" w:eastAsia="Arial" w:hAnsi="Arial"/>
          <w:sz w:val="16"/>
          <w:szCs w:val="16"/>
          <w:color w:val="auto"/>
        </w:rPr>
        <w:t>Funding I’s Credit Facility with affiliates of SunTrust Bank, or the Lender, is $200 million, has an interest rate spread above LIBOR of 200 basis points, matures in May 2018 and its reinvestment period ends in May 2016. During the three months ended December 31, 2013, we expanded the Credit Facility to allow Funding I to borrow up to $200 million, up from $125 million. The Credit Facility is subject to satisfaction of certain conditions and the regulatory restrictions that the 1940 Act imposes on us as a BDC. As of December 31, 2013 and September 30, 2013, Funding I had $139.2 million and $99.6 million of outstanding borrowings under the Credit Facility, respectively, and carried an interest rate of 2.17% and 2.18%, respectively, excluding the 0.375% undrawn commitment fee. The annualized weighted average cost of debt for the three months ended December 31, 2013 and 2012, inclusive of the fee on the undrawn commitment on the Credit Facility but excluding amendment costs, was 2.46% and 2.69%, respectively.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47"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if 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(the “Company”), including the consolidated schedule of investments, as of December 31, 2013 and the consolidated statement of operations, changes in net assets, and cash flows for the three months ended December 31, 2013. These consolidated financial statements are the responsibility of the Company’s management.</w:t>
      </w:r>
    </w:p>
    <w:p>
      <w:pPr>
        <w:spacing w:after="0" w:line="143"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47" w:lineRule="exact"/>
        <w:rPr>
          <w:sz w:val="20"/>
          <w:szCs w:val="20"/>
          <w:color w:val="auto"/>
        </w:rPr>
      </w:pPr>
    </w:p>
    <w:p>
      <w:pPr>
        <w:ind w:right="400" w:firstLine="898"/>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28587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66" w:lineRule="exact"/>
        <w:rPr>
          <w:sz w:val="20"/>
          <w:szCs w:val="20"/>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the Investment Adviser to locate suitable investments for us and to monitor and administer our investments; and</w:t>
      </w:r>
    </w:p>
    <w:p>
      <w:pPr>
        <w:spacing w:after="0" w:line="113" w:lineRule="exact"/>
        <w:rPr>
          <w:rFonts w:ascii="Arial" w:cs="Arial" w:eastAsia="Arial" w:hAnsi="Arial"/>
          <w:sz w:val="16"/>
          <w:szCs w:val="16"/>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jc w:val="both"/>
        <w:ind w:right="160" w:firstLine="898"/>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6"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70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2" w:lineRule="exact"/>
        <w:rPr>
          <w:sz w:val="20"/>
          <w:szCs w:val="20"/>
          <w:color w:val="auto"/>
        </w:rPr>
      </w:pPr>
    </w:p>
    <w:p>
      <w:pPr>
        <w:ind w:right="160" w:firstLine="898"/>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that operate in various industries and geographical regions.</w:t>
      </w:r>
    </w:p>
    <w:p>
      <w:pPr>
        <w:spacing w:after="0" w:line="119"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15"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40" w:lineRule="exact"/>
        <w:rPr>
          <w:sz w:val="20"/>
          <w:szCs w:val="20"/>
          <w:color w:val="auto"/>
        </w:rPr>
      </w:pPr>
    </w:p>
    <w:p>
      <w:pPr>
        <w:ind w:right="120" w:firstLine="898"/>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40" w:firstLine="898"/>
        <w:spacing w:after="0" w:line="310" w:lineRule="auto"/>
        <w:rPr>
          <w:sz w:val="20"/>
          <w:szCs w:val="20"/>
          <w:color w:val="auto"/>
        </w:rPr>
      </w:pPr>
      <w:r>
        <w:rPr>
          <w:rFonts w:ascii="Arial" w:cs="Arial" w:eastAsia="Arial" w:hAnsi="Arial"/>
          <w:sz w:val="15"/>
          <w:szCs w:val="15"/>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66" w:lineRule="exact"/>
        <w:rPr>
          <w:sz w:val="20"/>
          <w:szCs w:val="20"/>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200" w:hanging="433"/>
        <w:spacing w:after="0" w:line="268"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right="60" w:hanging="433"/>
        <w:spacing w:after="0" w:line="298" w:lineRule="auto"/>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0" w:firstLine="898"/>
        <w:spacing w:after="0" w:line="294" w:lineRule="auto"/>
        <w:rPr>
          <w:sz w:val="20"/>
          <w:szCs w:val="20"/>
          <w:color w:val="auto"/>
        </w:rPr>
      </w:pPr>
      <w:r>
        <w:rPr>
          <w:rFonts w:ascii="Arial" w:cs="Arial" w:eastAsia="Arial" w:hAnsi="Arial"/>
          <w:sz w:val="16"/>
          <w:szCs w:val="16"/>
          <w:color w:val="auto"/>
        </w:rPr>
        <w:t>As of December 31, 2013, our portfolio totaled $370.9 million and consisted of $326.2 million of senior secured loans, $31.6 million of second lien secured debt and $13.1 million of subordinated debt, preferred and common equity investments. Our debt portfolio consisted of 93% variable-rate investments (including 90% with a LIBOR or prime floor) and 7% fixed-rate investments. Overall, the portfolio had unrealized appreciation of $0.8 million. Our overall portfolio consisted of 85 companies with an average investment size of $4.4 million, a weighted average yield on debt investments of 8.1%, and was invested 88% in senior secured loans, 8% in second lien secured debt and 4% in subordinated debt, preferred and common equity investments.</w:t>
      </w:r>
    </w:p>
    <w:p>
      <w:pPr>
        <w:spacing w:after="0" w:line="115" w:lineRule="exact"/>
        <w:rPr>
          <w:sz w:val="20"/>
          <w:szCs w:val="20"/>
          <w:color w:val="auto"/>
        </w:rPr>
      </w:pPr>
    </w:p>
    <w:p>
      <w:pPr>
        <w:ind w:right="80" w:firstLine="898"/>
        <w:spacing w:after="0" w:line="294" w:lineRule="auto"/>
        <w:rPr>
          <w:sz w:val="20"/>
          <w:szCs w:val="20"/>
          <w:color w:val="auto"/>
        </w:rPr>
      </w:pPr>
      <w:r>
        <w:rPr>
          <w:rFonts w:ascii="Arial" w:cs="Arial" w:eastAsia="Arial" w:hAnsi="Arial"/>
          <w:sz w:val="16"/>
          <w:szCs w:val="16"/>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15" w:lineRule="exact"/>
        <w:rPr>
          <w:sz w:val="20"/>
          <w:szCs w:val="20"/>
          <w:color w:val="auto"/>
        </w:rPr>
      </w:pPr>
    </w:p>
    <w:p>
      <w:pPr>
        <w:ind w:right="480" w:firstLine="898"/>
        <w:spacing w:after="0" w:line="331" w:lineRule="auto"/>
        <w:rPr>
          <w:sz w:val="20"/>
          <w:szCs w:val="20"/>
          <w:color w:val="auto"/>
        </w:rPr>
      </w:pPr>
      <w:r>
        <w:rPr>
          <w:rFonts w:ascii="Arial" w:cs="Arial" w:eastAsia="Arial" w:hAnsi="Arial"/>
          <w:sz w:val="16"/>
          <w:szCs w:val="16"/>
          <w:color w:val="auto"/>
        </w:rPr>
        <w:t>For the three months ended December 31, 2013, we invested $103.9 million in 17 new and 11 existing portfolio companies with a weighted average yield on debt investments of 7.7%. Sales and repayments of investments for the three months ended December 31, 2013 totaled $55.4 million.</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520" w:firstLine="898"/>
        <w:spacing w:after="0" w:line="331" w:lineRule="auto"/>
        <w:rPr>
          <w:sz w:val="20"/>
          <w:szCs w:val="20"/>
          <w:color w:val="auto"/>
        </w:rPr>
      </w:pPr>
      <w:r>
        <w:rPr>
          <w:rFonts w:ascii="Arial" w:cs="Arial" w:eastAsia="Arial" w:hAnsi="Arial"/>
          <w:sz w:val="16"/>
          <w:szCs w:val="16"/>
          <w:color w:val="auto"/>
        </w:rPr>
        <w:t>For the three months ended December 31, 2012, we invested $38.9 million in 12 new and two existing portfolio companies with a weighted average yield on debt investments of 9.6%. Sales and repayments of investments for the three months ended December 31, 2012 totaled $30.3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may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20" w:hanging="561"/>
        <w:spacing w:after="0" w:line="306"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1460" w:right="20" w:hanging="561"/>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4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4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6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2"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20" w:firstLine="898"/>
        <w:spacing w:after="0" w:line="306" w:lineRule="auto"/>
        <w:rPr>
          <w:sz w:val="20"/>
          <w:szCs w:val="20"/>
          <w:color w:val="auto"/>
        </w:rPr>
      </w:pPr>
      <w:r>
        <w:rPr>
          <w:rFonts w:ascii="Arial" w:cs="Arial" w:eastAsia="Arial" w:hAnsi="Arial"/>
          <w:sz w:val="15"/>
          <w:szCs w:val="15"/>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$0.7 million and zero, respectively, relating to amendment fees on the Credit Facility during the three months ended December 31, 2013 and 2012.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2013 and 2012, the Credit Facility had a net change in unrealized appreciation of zero and $0.4 million, respectively. As of December 31, 2013 and September 30, 2013, the Credit Facility had unrealized appreciation of zero. We use a nationally recognized independent valuation service to measure the fair value of our Credit Facility in a manner consistent with the valuation process that the board of directors uses to value our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interest on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898"/>
        <w:spacing w:after="0" w:line="302" w:lineRule="auto"/>
        <w:rPr>
          <w:sz w:val="20"/>
          <w:szCs w:val="20"/>
          <w:color w:val="auto"/>
        </w:rPr>
      </w:pPr>
      <w:r>
        <w:rPr>
          <w:rFonts w:ascii="Arial" w:cs="Arial" w:eastAsia="Arial" w:hAnsi="Arial"/>
          <w:sz w:val="15"/>
          <w:szCs w:val="15"/>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ind w:right="100" w:firstLine="8"/>
        <w:spacing w:after="0" w:line="292"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 forth below are the results of operations for the three months ended December 31,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00" w:firstLine="898"/>
        <w:spacing w:after="0" w:line="323" w:lineRule="auto"/>
        <w:rPr>
          <w:sz w:val="20"/>
          <w:szCs w:val="20"/>
          <w:color w:val="auto"/>
        </w:rPr>
      </w:pPr>
      <w:r>
        <w:rPr>
          <w:rFonts w:ascii="Arial" w:cs="Arial" w:eastAsia="Arial" w:hAnsi="Arial"/>
          <w:sz w:val="15"/>
          <w:szCs w:val="15"/>
          <w:color w:val="auto"/>
        </w:rPr>
        <w:t>Investment income for the three months ended December 31, 2013 was $6.8 million and was attributable to $5.5 million from senior secured loan investments and $1.3 million from second lien secured debt and subordinated debt investments. This compares to investment income for the three months ended December 31, 2012, which was $4.0 million, and was attributable to $3.3 million from senior secured loan investments and $0.7 million from second lien secured debt and subordinated debt investments. The increase in investment income over the prior year is primarily due to the growth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898"/>
        <w:spacing w:after="0" w:line="253" w:lineRule="auto"/>
        <w:rPr>
          <w:sz w:val="20"/>
          <w:szCs w:val="20"/>
          <w:color w:val="auto"/>
        </w:rPr>
      </w:pPr>
      <w:r>
        <w:rPr>
          <w:rFonts w:ascii="Arial" w:cs="Arial" w:eastAsia="Arial" w:hAnsi="Arial"/>
          <w:sz w:val="18"/>
          <w:szCs w:val="18"/>
          <w:color w:val="auto"/>
        </w:rPr>
        <w:t>Expenses for the three months ended December 31, 2013 totaled $3.6 million. Base management fee for the same period totaled $0.9 million, incentive fees totaled $0.7 million (including $0.4 million on realized gains and $0.2 million on unrealized gains accrued but not paid), Credit Facility expenses totaled $1.4 million (including $0.7 million of Credit Facility amendment expenses), general and administrative expenses totaled $0.5 million and excise taxes were $0.1 million. This compares to expenses for the three months ended December 31, 2012, which totaled $1.9 million. Base management fee for the same period totaled $0.5 million, incentive fees totaled $0.4 million (including less than $0.1 million on unrealized gains accrued but not paid), Credit Facility expenses totaled $0.5 million, general and administrative expenses totaled $0.5 million and excise taxes were less than $0.1 million. The increase in management fee, incentive fee and Credit Facility expenses was due to the growth of our portfolio and expanding our borrowing capacity under our Credit Facility.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300" w:firstLine="898"/>
        <w:spacing w:after="0" w:line="335" w:lineRule="auto"/>
        <w:rPr>
          <w:sz w:val="20"/>
          <w:szCs w:val="20"/>
          <w:color w:val="auto"/>
        </w:rPr>
      </w:pPr>
      <w:r>
        <w:rPr>
          <w:rFonts w:ascii="Arial" w:cs="Arial" w:eastAsia="Arial" w:hAnsi="Arial"/>
          <w:sz w:val="15"/>
          <w:szCs w:val="15"/>
          <w:color w:val="auto"/>
        </w:rPr>
        <w:t>Net investment income totaled $3.2 million, or $0.22 per share, for the three months ended December 31, 2013, and $2.1 million, or $0.30 per share, for the three months ended December 31, 2012. The increase in net investment income was due to a larger portfolio, which was offset by amendment costs. In contrast, net investment income per share decreased over the same time period as a result of share issuances during the 2013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jc w:val="both"/>
        <w:ind w:right="60" w:firstLine="898"/>
        <w:spacing w:after="0" w:line="259" w:lineRule="auto"/>
        <w:rPr>
          <w:sz w:val="20"/>
          <w:szCs w:val="20"/>
          <w:color w:val="auto"/>
        </w:rPr>
      </w:pPr>
      <w:r>
        <w:rPr>
          <w:rFonts w:ascii="Arial" w:cs="Arial" w:eastAsia="Arial" w:hAnsi="Arial"/>
          <w:sz w:val="18"/>
          <w:szCs w:val="18"/>
          <w:color w:val="auto"/>
        </w:rPr>
        <w:t>Sales and repayments of investments for the three months ended December 31, 2013 totaled $55.4 million and realized gains totaled $0.6 million. Sales and repayments of investments totaled $30.3 million and realized gains totaled $0.4 million for the three months ended December 31, 2012. The increase in realized gains was driven by sales and early repayments of larger sized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For the three months ended December 31, 2013 and 2012, we reported net unrealized appreciation (depreciation) on investments of $2.2 million and $(0.4) million, respectively. As of December 31, 2013 and September 30, 2013, net unrealized appreciation (depreciation) on investments totaled $0.8 million and $(1.5) million, respectively. The change in the three month period compared to last year is the result of the reversal of unrealized gains upon exiting our investments and changes in market values.</w:t>
      </w:r>
    </w:p>
    <w:p>
      <w:pPr>
        <w:spacing w:after="0" w:line="143"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For the three months ended December 31, 2013 and 2012, our Credit Facility had an unrealized appreciation of zero and $0.4 million, respectively. As of December 31, 2013 and September 30, 2013, net unrealized appreciation on our Credit Facility totaled zero. The change in the three month period compared to last year was due to changes in the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Net increase in net assets resulting from operations totaled $6.1 million, or $0.41 per share, for the three months ended December 31, 2013. This compares to a net change in net assets resulting from operations which totaled $1.8 million, or $0.26 per share, for the three months ended December 31, 2012. We continue to find investment opportunities to grow net assets from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43" w:lineRule="exact"/>
        <w:rPr>
          <w:sz w:val="20"/>
          <w:szCs w:val="20"/>
          <w:color w:val="auto"/>
        </w:rPr>
      </w:pPr>
    </w:p>
    <w:p>
      <w:pPr>
        <w:ind w:right="140" w:firstLine="898"/>
        <w:spacing w:after="0" w:line="290" w:lineRule="auto"/>
        <w:rPr>
          <w:sz w:val="20"/>
          <w:szCs w:val="20"/>
          <w:color w:val="auto"/>
        </w:rPr>
      </w:pPr>
      <w:r>
        <w:rPr>
          <w:rFonts w:ascii="Arial" w:cs="Arial" w:eastAsia="Arial" w:hAnsi="Arial"/>
          <w:sz w:val="16"/>
          <w:szCs w:val="16"/>
          <w:color w:val="auto"/>
        </w:rPr>
        <w:t>Funding I’s Credit Facility with affiliates of SunTrust Bank, or the Lender, is $200 million, has an interest rate spread above LIBOR of 200 basis points, matures in May 2018 and its reinvestment period ends in May 2016. During the three months ended December 31, 2013, we expanded the Credit Facility to allow Funding I to borrow up to $200 million, up from $125 million. The Credit Facility is subject to satisfaction of certain conditions and the regulatory restrictions that the 1940 Act imposes on us as a BDC. As of December 31, 2013 and September 30, 2013, Funding I had $139.2 million and $99.6 million of outstanding borrowings under the Credit Facility, respectively, and carried an interest rate of 2.17% and 2.18%, respectively, excluding the 0.375% undrawn commitment fee. The annualized weighted average cost of debt for the three months ended December 31, 2013 and 2012, inclusive of the fee on the undrawn commitment on the Credit Facility but excluding amendment costs, was 2.46% and 2.69%, respectively.</w:t>
      </w:r>
    </w:p>
    <w:p>
      <w:pPr>
        <w:spacing w:after="0" w:line="118"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5" w:lineRule="exact"/>
        <w:rPr>
          <w:sz w:val="20"/>
          <w:szCs w:val="20"/>
          <w:color w:val="auto"/>
        </w:rPr>
      </w:pPr>
    </w:p>
    <w:p>
      <w:pPr>
        <w:ind w:right="360" w:firstLine="898"/>
        <w:spacing w:after="0" w:line="298"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12" w:lineRule="exact"/>
        <w:rPr>
          <w:sz w:val="20"/>
          <w:szCs w:val="20"/>
          <w:color w:val="auto"/>
        </w:rPr>
      </w:pPr>
    </w:p>
    <w:p>
      <w:pPr>
        <w:ind w:right="460" w:firstLine="898"/>
        <w:spacing w:after="0" w:line="331" w:lineRule="auto"/>
        <w:rPr>
          <w:sz w:val="20"/>
          <w:szCs w:val="20"/>
          <w:color w:val="auto"/>
        </w:rPr>
      </w:pPr>
      <w:r>
        <w:rPr>
          <w:rFonts w:ascii="Arial" w:cs="Arial" w:eastAsia="Arial" w:hAnsi="Arial"/>
          <w:sz w:val="16"/>
          <w:szCs w:val="16"/>
          <w:color w:val="auto"/>
        </w:rPr>
        <w:t>On December 31, 2013 and 2012, we had cash equivalents of $5.3 million and $4.6 million, respectively, available for investing and general corporate purposes. We believe our liquidity and capital resources are sufficient to take advantage of market opportunities.</w:t>
      </w:r>
    </w:p>
    <w:p>
      <w:pPr>
        <w:spacing w:after="0" w:line="87"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Our operating activities used cash of $34.9 million for the three months ended December 31, 2013, and our financing activities provided cash of $35.7 million for the same period. Our operating activities used cash primarily for our investment activities and our financing activities provided cash primarily from net draws under the Credit Facility.</w:t>
      </w:r>
    </w:p>
    <w:p>
      <w:pPr>
        <w:spacing w:after="0" w:line="140" w:lineRule="exact"/>
        <w:rPr>
          <w:sz w:val="20"/>
          <w:szCs w:val="20"/>
          <w:color w:val="auto"/>
        </w:rPr>
      </w:pPr>
    </w:p>
    <w:p>
      <w:pPr>
        <w:ind w:right="280" w:firstLine="898"/>
        <w:spacing w:after="0" w:line="331" w:lineRule="auto"/>
        <w:rPr>
          <w:sz w:val="20"/>
          <w:szCs w:val="20"/>
          <w:color w:val="auto"/>
        </w:rPr>
      </w:pPr>
      <w:r>
        <w:rPr>
          <w:rFonts w:ascii="Arial" w:cs="Arial" w:eastAsia="Arial" w:hAnsi="Arial"/>
          <w:sz w:val="16"/>
          <w:szCs w:val="16"/>
          <w:color w:val="auto"/>
        </w:rPr>
        <w:t>Our operating activities used cash of $8.5 million for the three months ended December 31, 2012, and our financing activities provided cash of $8.6 million for the same period. Our operating activities used cash primarily for net investing that was financed by net draws under the Credit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2013,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3"/>
                <w:szCs w:val="13"/>
                <w:b w:val="1"/>
                <w:bCs w:val="1"/>
                <w:color w:val="auto"/>
                <w:w w:val="93"/>
              </w:rPr>
              <w:t>Payments due by period (millions)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8"/>
              </w:rPr>
              <w:t>Less than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100"/>
              <w:spacing w:after="0" w:line="129" w:lineRule="exact"/>
              <w:rPr>
                <w:sz w:val="20"/>
                <w:szCs w:val="20"/>
                <w:color w:val="auto"/>
              </w:rPr>
            </w:pPr>
            <w:r>
              <w:rPr>
                <w:rFonts w:ascii="Arial" w:cs="Arial" w:eastAsia="Arial" w:hAnsi="Arial"/>
                <w:sz w:val="13"/>
                <w:szCs w:val="13"/>
                <w:b w:val="1"/>
                <w:bCs w:val="1"/>
                <w:color w:val="auto"/>
              </w:rPr>
              <w:t>1-3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3"/>
                <w:szCs w:val="13"/>
                <w:b w:val="1"/>
                <w:bCs w:val="1"/>
                <w:color w:val="auto"/>
              </w:rPr>
              <w:t>3-5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b w:val="1"/>
                <w:bCs w:val="1"/>
                <w:color w:val="auto"/>
                <w:w w:val="90"/>
              </w:rPr>
              <w:t>1 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center"/>
              <w:ind w:right="20"/>
              <w:spacing w:after="0"/>
              <w:rPr>
                <w:sz w:val="20"/>
                <w:szCs w:val="20"/>
                <w:color w:val="auto"/>
              </w:rPr>
            </w:pPr>
            <w:r>
              <w:rPr>
                <w:rFonts w:ascii="Arial" w:cs="Arial" w:eastAsia="Arial" w:hAnsi="Arial"/>
                <w:sz w:val="13"/>
                <w:szCs w:val="13"/>
                <w:b w:val="1"/>
                <w:bCs w:val="1"/>
                <w:color w:val="auto"/>
                <w:w w:val="94"/>
              </w:rPr>
              <w:t>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139.2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139.2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1"/>
          <w:szCs w:val="21"/>
          <w:color w:val="auto"/>
          <w:vertAlign w:val="superscript"/>
        </w:rPr>
      </w:pPr>
      <w:r>
        <w:rPr>
          <w:rFonts w:ascii="Arial" w:cs="Arial" w:eastAsia="Arial" w:hAnsi="Arial"/>
          <w:sz w:val="17"/>
          <w:szCs w:val="17"/>
          <w:color w:val="auto"/>
        </w:rPr>
        <w:t>Unfunded investments described in the Consolidated Statements of Assets and Liabilities represent unfunded delayed draws on investments.</w:t>
      </w:r>
    </w:p>
    <w:p>
      <w:pPr>
        <w:spacing w:after="0" w:line="156" w:lineRule="exact"/>
        <w:rPr>
          <w:sz w:val="20"/>
          <w:szCs w:val="20"/>
          <w:color w:val="auto"/>
        </w:rPr>
      </w:pPr>
    </w:p>
    <w:p>
      <w:pPr>
        <w:ind w:right="80" w:firstLine="898"/>
        <w:spacing w:after="0" w:line="323" w:lineRule="auto"/>
        <w:rPr>
          <w:sz w:val="20"/>
          <w:szCs w:val="20"/>
          <w:color w:val="auto"/>
        </w:rPr>
      </w:pPr>
      <w:r>
        <w:rPr>
          <w:rFonts w:ascii="Arial" w:cs="Arial" w:eastAsia="Arial" w:hAnsi="Arial"/>
          <w:sz w:val="15"/>
          <w:szCs w:val="15"/>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2014,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97"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2014,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10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120" w:firstLine="898"/>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annually distribute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9"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During the three months ended December 31, 2013 and 2012, we declared to stockholders distributions of approximately $0.27 and $0.25 per share, respectively, for total distributions of $4.0 million and $1.7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w:t>
      </w:r>
    </w:p>
    <w:p>
      <w:pPr>
        <w:spacing w:after="0" w:line="115" w:lineRule="exact"/>
        <w:rPr>
          <w:sz w:val="20"/>
          <w:szCs w:val="20"/>
          <w:color w:val="auto"/>
        </w:rPr>
      </w:pPr>
    </w:p>
    <w:p>
      <w:pPr>
        <w:ind w:right="600" w:firstLine="898"/>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32" w:lineRule="exact"/>
        <w:rPr>
          <w:sz w:val="20"/>
          <w:szCs w:val="20"/>
          <w:color w:val="auto"/>
        </w:rPr>
      </w:pPr>
    </w:p>
    <w:p>
      <w:pPr>
        <w:jc w:val="both"/>
        <w:ind w:right="280" w:firstLine="898"/>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2" w:lineRule="exact"/>
        <w:rPr>
          <w:sz w:val="20"/>
          <w:szCs w:val="20"/>
          <w:color w:val="auto"/>
        </w:rPr>
      </w:pPr>
    </w:p>
    <w:p>
      <w:pPr>
        <w:ind w:right="80" w:firstLine="898"/>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December 31, 2013, our debt portfolio consisted of 93% variable-rate investments (including 90% with a LIBOR or prime floor) and 7%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Change In Interest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5"/>
              </w:rPr>
              <w:t>Income, Net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Arial" w:cs="Arial" w:eastAsia="Arial" w:hAnsi="Arial"/>
                <w:sz w:val="13"/>
                <w:szCs w:val="13"/>
                <w:b w:val="1"/>
                <w:bCs w:val="1"/>
                <w:color w:val="auto"/>
                <w:w w:val="98"/>
              </w:rPr>
              <w:t>Change In Interest Rates</w:t>
            </w:r>
          </w:p>
        </w:tc>
        <w:tc>
          <w:tcPr>
            <w:tcW w:w="4400" w:type="dxa"/>
            <w:vAlign w:val="bottom"/>
          </w:tcPr>
          <w:p>
            <w:pPr>
              <w:spacing w:after="0"/>
              <w:rPr>
                <w:sz w:val="12"/>
                <w:szCs w:val="12"/>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Interest Expense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1"/>
              </w:rPr>
              <w:t>(in thousands)</w:t>
            </w:r>
          </w:p>
        </w:tc>
        <w:tc>
          <w:tcPr>
            <w:tcW w:w="380" w:type="dxa"/>
            <w:vAlign w:val="bottom"/>
          </w:tcPr>
          <w:p>
            <w:pPr>
              <w:spacing w:after="0"/>
              <w:rPr>
                <w:sz w:val="14"/>
                <w:szCs w:val="14"/>
                <w:color w:val="auto"/>
              </w:rPr>
            </w:pPr>
          </w:p>
        </w:tc>
        <w:tc>
          <w:tcPr>
            <w:tcW w:w="6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4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(1,192)</w:t>
            </w: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(0.08)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Up 2%</w:t>
            </w:r>
          </w:p>
        </w:tc>
        <w:tc>
          <w:tcPr>
            <w:tcW w:w="4500" w:type="dxa"/>
            <w:vAlign w:val="bottom"/>
            <w:gridSpan w:val="2"/>
          </w:tcPr>
          <w:p>
            <w:pPr>
              <w:ind w:left="440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885</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2,962</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Up 4%</w:t>
            </w:r>
          </w:p>
        </w:tc>
        <w:tc>
          <w:tcPr>
            <w:tcW w:w="4500" w:type="dxa"/>
            <w:vAlign w:val="bottom"/>
            <w:gridSpan w:val="2"/>
          </w:tcPr>
          <w:p>
            <w:pPr>
              <w:ind w:left="440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5,039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43" w:lineRule="exact"/>
        <w:rPr>
          <w:sz w:val="20"/>
          <w:szCs w:val="20"/>
          <w:color w:val="auto"/>
        </w:rPr>
      </w:pPr>
    </w:p>
    <w:p>
      <w:pPr>
        <w:ind w:firstLine="898"/>
        <w:spacing w:after="0" w:line="306"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6"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the benefits of lower interest rates with respect to our portfolio of investments with fixed interest rates. During the periods covered by this Report, we did not engage in interest rate hedging activities.</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22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2013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2013,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840" w:right="320" w:hanging="748"/>
        <w:spacing w:after="0" w:line="268"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840" w:right="40" w:hanging="748"/>
        <w:spacing w:after="0" w:line="268" w:lineRule="auto"/>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the Registrant’s Annual Report on Form 10-K (File No. 814-00891), filed on November 14, 2013).</w:t>
      </w:r>
    </w:p>
    <w:p>
      <w:pPr>
        <w:spacing w:after="0" w:line="78"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40" w:hanging="836"/>
        <w:spacing w:after="0" w:line="298"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Second Amended and Restated Revolving Credit and Security Agreement, dated as of October 1, 2013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 (Incorporated by reference to the Registrant’s Annual Report on Form 10-K (File No. 814-00891), filed on November 14, 2013).</w:t>
      </w:r>
    </w:p>
    <w:p>
      <w:pPr>
        <w:spacing w:after="0" w:line="58" w:lineRule="exact"/>
        <w:rPr>
          <w:sz w:val="20"/>
          <w:szCs w:val="20"/>
          <w:color w:val="auto"/>
        </w:rPr>
      </w:pPr>
    </w:p>
    <w:p>
      <w:pPr>
        <w:ind w:left="840" w:hanging="83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40" w:right="620" w:hanging="836"/>
        <w:spacing w:after="0" w:line="268" w:lineRule="auto"/>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380" w:val="left"/>
          <w:tab w:leader="none" w:pos="7700" w:val="left"/>
          <w:tab w:leader="none" w:pos="8040" w:val="left"/>
        </w:tabs>
        <w:rPr>
          <w:sz w:val="20"/>
          <w:szCs w:val="20"/>
          <w:color w:val="auto"/>
        </w:rPr>
      </w:pPr>
      <w:r>
        <w:rPr>
          <w:rFonts w:ascii="Arial" w:cs="Arial" w:eastAsia="Arial" w:hAnsi="Arial"/>
          <w:sz w:val="18"/>
          <w:szCs w:val="18"/>
          <w:color w:val="auto"/>
        </w:rPr>
        <w:t>Date: February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Chairman of the Board of Directors and Chief Executive Officer</w:t>
      </w:r>
    </w:p>
    <w:p>
      <w:pPr>
        <w:spacing w:after="0" w:line="3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5380" w:val="left"/>
          <w:tab w:leader="none" w:pos="7880" w:val="left"/>
          <w:tab w:leader="none" w:pos="8200" w:val="left"/>
        </w:tabs>
        <w:rPr>
          <w:sz w:val="20"/>
          <w:szCs w:val="20"/>
          <w:color w:val="auto"/>
        </w:rPr>
      </w:pPr>
      <w:r>
        <w:rPr>
          <w:rFonts w:ascii="Arial" w:cs="Arial" w:eastAsia="Arial" w:hAnsi="Arial"/>
          <w:sz w:val="18"/>
          <w:szCs w:val="18"/>
          <w:color w:val="auto"/>
        </w:rPr>
        <w:t>Date: February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Chief Executive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200" w:firstLine="906"/>
        <w:spacing w:after="0" w:line="259" w:lineRule="auto"/>
        <w:tabs>
          <w:tab w:leader="none" w:pos="10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120" w:firstLine="906"/>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8"/>
          <w:szCs w:val="18"/>
          <w:color w:val="auto"/>
        </w:rPr>
      </w:pPr>
    </w:p>
    <w:p>
      <w:pPr>
        <w:ind w:right="280" w:firstLine="457"/>
        <w:spacing w:after="0" w:line="331" w:lineRule="auto"/>
        <w:tabs>
          <w:tab w:leader="none" w:pos="6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Chief Financial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200" w:firstLine="906"/>
        <w:spacing w:after="0" w:line="259" w:lineRule="auto"/>
        <w:tabs>
          <w:tab w:leader="none" w:pos="10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120" w:firstLine="906"/>
        <w:spacing w:after="0" w:line="259"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8"/>
          <w:szCs w:val="18"/>
          <w:color w:val="auto"/>
        </w:rPr>
      </w:pPr>
    </w:p>
    <w:p>
      <w:pPr>
        <w:ind w:right="280" w:firstLine="457"/>
        <w:spacing w:after="0" w:line="331"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2013,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2014</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2013,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2014</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2020-05-05T12:10:13Z</dcterms:created>
  <dcterms:modified xsi:type="dcterms:W3CDTF">2020-05-05T12:10:13Z</dcterms:modified>
</cp:coreProperties>
</file>