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9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2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2"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98"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8, 2024</w:t>
      </w:r>
    </w:p>
    <w:p>
      <w:pPr>
        <w:spacing w:after="0" w:line="220"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02"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22"/>
          <w:szCs w:val="22"/>
          <w:b w:val="1"/>
          <w:bCs w:val="1"/>
          <w:color w:val="auto"/>
        </w:rPr>
        <w:t>PennantPark Floating Rate Capital Ltd.</w:t>
      </w:r>
    </w:p>
    <w:p>
      <w:pPr>
        <w:spacing w:after="0" w:line="23"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6"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ectPr>
          <w:pgSz w:w="11900" w:h="16838" w:orient="portrait"/>
          <w:cols w:equalWidth="0" w:num="1">
            <w:col w:w="11240"/>
          </w:cols>
          <w:pgMar w:left="320" w:top="502" w:right="339" w:bottom="1440" w:gutter="0" w:footer="0" w:header="0"/>
        </w:sectPr>
      </w:pPr>
    </w:p>
    <w:p>
      <w:pPr>
        <w:spacing w:after="0" w:line="21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Maryland</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814-00891</w:t>
      </w:r>
    </w:p>
    <w:p>
      <w:pPr>
        <w:spacing w:after="0" w:line="3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27-3794690</w:t>
      </w:r>
    </w:p>
    <w:p>
      <w:pPr>
        <w:spacing w:after="0" w:line="3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0" w:lineRule="exact"/>
        <w:rPr>
          <w:sz w:val="24"/>
          <w:szCs w:val="24"/>
          <w:color w:val="auto"/>
        </w:rPr>
      </w:pPr>
    </w:p>
    <w:p>
      <w:pPr>
        <w:sectPr>
          <w:pgSz w:w="11900" w:h="16838" w:orient="portrait"/>
          <w:cols w:equalWidth="0" w:num="3">
            <w:col w:w="3920" w:space="720"/>
            <w:col w:w="2720" w:space="720"/>
            <w:col w:w="3160"/>
          </w:cols>
          <w:pgMar w:left="320" w:top="502"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1691 Michigan Avenue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Miami Beach, Florida 33139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(786) 297-9500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ectPr>
          <w:pgSz w:w="11900" w:h="16838" w:orient="portrait"/>
          <w:cols w:equalWidth="0" w:num="1">
            <w:col w:w="11240"/>
          </w:cols>
          <w:pgMar w:left="320" w:top="502" w:right="339" w:bottom="1440" w:gutter="0" w:footer="0" w:header="0"/>
          <w:type w:val="continuous"/>
        </w:sectPr>
      </w:pPr>
    </w:p>
    <w:p>
      <w:pPr>
        <w:spacing w:after="0" w:line="1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98"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1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360" w:type="dxa"/>
            <w:vAlign w:val="bottom"/>
          </w:tcPr>
          <w:p>
            <w:pPr>
              <w:spacing w:after="0"/>
              <w:rPr>
                <w:sz w:val="20"/>
                <w:szCs w:val="20"/>
                <w:color w:val="auto"/>
              </w:rPr>
            </w:pPr>
          </w:p>
        </w:tc>
        <w:tc>
          <w:tcPr>
            <w:tcW w:w="4300" w:type="dxa"/>
            <w:vAlign w:val="bottom"/>
          </w:tcPr>
          <w:p>
            <w:pPr>
              <w:spacing w:after="0"/>
              <w:rPr>
                <w:sz w:val="20"/>
                <w:szCs w:val="20"/>
                <w:color w:val="auto"/>
              </w:rPr>
            </w:pPr>
          </w:p>
        </w:tc>
      </w:tr>
      <w:tr>
        <w:trPr>
          <w:trHeight w:val="324"/>
        </w:trPr>
        <w:tc>
          <w:tcPr>
            <w:tcW w:w="45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3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45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3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5"/>
              </w:rPr>
              <w:t>PFLT</w:t>
            </w: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The New York Stock Exchange</w:t>
            </w:r>
          </w:p>
        </w:tc>
      </w:tr>
    </w:tbl>
    <w:p>
      <w:pPr>
        <w:spacing w:after="0" w:line="71"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02"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89" w:lineRule="exact"/>
        <w:rPr>
          <w:sz w:val="20"/>
          <w:szCs w:val="20"/>
          <w:color w:val="auto"/>
        </w:rPr>
      </w:pPr>
    </w:p>
    <w:p>
      <w:pPr>
        <w:ind w:right="20"/>
        <w:spacing w:after="0" w:line="312" w:lineRule="auto"/>
        <w:rPr>
          <w:sz w:val="20"/>
          <w:szCs w:val="20"/>
          <w:color w:val="auto"/>
        </w:rPr>
      </w:pPr>
      <w:r>
        <w:rPr>
          <w:rFonts w:ascii="Times New Roman" w:cs="Times New Roman" w:eastAsia="Times New Roman" w:hAnsi="Times New Roman"/>
          <w:sz w:val="17"/>
          <w:szCs w:val="17"/>
          <w:color w:val="auto"/>
        </w:rPr>
        <w:t>On May 8, 2024, PennantPark Floating Rate Capital Ltd., or the Company, issued a press release announcing its financial results for the second fiscal quarter ended March 31, 2024. A copy of the press release is furnished as Exhibit 99.1 to this report pursuant to Item 2.02 on Form 8-K and Regulation FD.</w:t>
      </w:r>
    </w:p>
    <w:p>
      <w:pPr>
        <w:spacing w:after="0" w:line="11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information in this report on Form 8-K, including Exhibits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189" w:lineRule="exact"/>
        <w:rPr>
          <w:sz w:val="20"/>
          <w:szCs w:val="20"/>
          <w:color w:val="auto"/>
        </w:rPr>
      </w:pPr>
    </w:p>
    <w:p>
      <w:pPr>
        <w:ind w:right="20"/>
        <w:spacing w:after="0" w:line="312" w:lineRule="auto"/>
        <w:rPr>
          <w:sz w:val="20"/>
          <w:szCs w:val="20"/>
          <w:color w:val="auto"/>
        </w:rPr>
      </w:pPr>
      <w:r>
        <w:rPr>
          <w:rFonts w:ascii="Times New Roman" w:cs="Times New Roman" w:eastAsia="Times New Roman" w:hAnsi="Times New Roman"/>
          <w:sz w:val="17"/>
          <w:szCs w:val="17"/>
          <w:color w:val="auto"/>
        </w:rPr>
        <w:t>On February 7, 2024, the Company filed a notice with the Israel Securities Authority and the Tel Aviv Stock Exchange (the “TASE”) voluntarily requesting to delist the Company’s common stock from trading on the TASE. Effective as of May 8, the Company completed the delisting of its shares on the TASE.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common stock will continue to be listed for trading on the New York Stock Exchange.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8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This report on Form 8-K, including Exhibits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the Company files under the Exchange Act. All statements other than statements of historical facts included in this report on Form 8-K, including Exhibit 99.1 furnished herewith,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 made herein. You should not place undue influence on such forward-looking statements as such statements speak only as of the date on which they are made.</w:t>
      </w:r>
    </w:p>
    <w:p>
      <w:pPr>
        <w:spacing w:after="0" w:line="161"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Company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its historical experience and present expectations.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85" w:lineRule="exact"/>
        <w:rPr>
          <w:sz w:val="20"/>
          <w:szCs w:val="20"/>
          <w:color w:val="auto"/>
        </w:rPr>
      </w:pPr>
    </w:p>
    <w:p>
      <w:pPr>
        <w:ind w:right="9340" w:firstLine="8"/>
        <w:spacing w:after="0" w:line="263" w:lineRule="auto"/>
        <w:tabs>
          <w:tab w:leader="none" w:pos="255"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Financial statements: </w:t>
      </w:r>
      <w:r>
        <w:rPr>
          <w:rFonts w:ascii="Times New Roman" w:cs="Times New Roman" w:eastAsia="Times New Roman" w:hAnsi="Times New Roman"/>
          <w:sz w:val="18"/>
          <w:szCs w:val="18"/>
          <w:color w:val="auto"/>
        </w:rPr>
        <w:t>None</w:t>
      </w:r>
    </w:p>
    <w:p>
      <w:pPr>
        <w:ind w:right="8440" w:firstLine="8"/>
        <w:spacing w:after="0" w:line="250" w:lineRule="auto"/>
        <w:tabs>
          <w:tab w:leader="none" w:pos="265"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Pro forma financial information: </w:t>
      </w:r>
      <w:r>
        <w:rPr>
          <w:rFonts w:ascii="Times New Roman" w:cs="Times New Roman" w:eastAsia="Times New Roman" w:hAnsi="Times New Roman"/>
          <w:sz w:val="18"/>
          <w:szCs w:val="18"/>
          <w:color w:val="auto"/>
        </w:rPr>
        <w:t>None</w:t>
      </w:r>
    </w:p>
    <w:p>
      <w:pPr>
        <w:ind w:right="8820" w:firstLine="8"/>
        <w:spacing w:after="0" w:line="250" w:lineRule="auto"/>
        <w:tabs>
          <w:tab w:leader="none" w:pos="245"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Shell company transactions: </w:t>
      </w:r>
      <w:r>
        <w:rPr>
          <w:rFonts w:ascii="Times New Roman" w:cs="Times New Roman" w:eastAsia="Times New Roman" w:hAnsi="Times New Roman"/>
          <w:sz w:val="18"/>
          <w:szCs w:val="18"/>
          <w:color w:val="auto"/>
        </w:rPr>
        <w:t>None</w:t>
      </w:r>
    </w:p>
    <w:p>
      <w:pPr>
        <w:ind w:left="280" w:hanging="272"/>
        <w:spacing w:after="0"/>
        <w:tabs>
          <w:tab w:leader="none" w:pos="28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180"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u w:val="single" w:color="auto"/>
          <w:color w:val="0000EE"/>
        </w:rPr>
        <w:t>99.1</w:t>
        <w:tab/>
        <w:t>Press Release of PennantPark Floating Rate Capital Ltd. dated May 8, 2024</w:t>
      </w:r>
    </w:p>
    <w:p>
      <w:pPr>
        <w:spacing w:after="0" w:line="27"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0" w:type="dxa"/>
            <w:vAlign w:val="bottom"/>
          </w:tcPr>
          <w:p>
            <w:pPr>
              <w:spacing w:after="0"/>
              <w:rPr>
                <w:sz w:val="20"/>
                <w:szCs w:val="20"/>
                <w:color w:val="auto"/>
              </w:rPr>
            </w:pPr>
          </w:p>
        </w:tc>
        <w:tc>
          <w:tcPr>
            <w:tcW w:w="5160" w:type="dxa"/>
            <w:vAlign w:val="bottom"/>
            <w:gridSpan w:val="3"/>
          </w:tcPr>
          <w:p>
            <w:pPr>
              <w:ind w:left="2060"/>
              <w:spacing w:after="0"/>
              <w:rPr>
                <w:sz w:val="20"/>
                <w:szCs w:val="20"/>
                <w:color w:val="auto"/>
              </w:rPr>
            </w:pPr>
            <w:r>
              <w:rPr>
                <w:rFonts w:ascii="Times New Roman" w:cs="Times New Roman" w:eastAsia="Times New Roman" w:hAnsi="Times New Roman"/>
                <w:sz w:val="18"/>
                <w:szCs w:val="18"/>
                <w:b w:val="1"/>
                <w:bCs w:val="1"/>
                <w:color w:val="auto"/>
                <w:w w:val="99"/>
              </w:rPr>
              <w:t>PennantPark Floating Rate Capital Ltd.</w:t>
            </w:r>
          </w:p>
        </w:tc>
      </w:tr>
      <w:tr>
        <w:trPr>
          <w:trHeight w:val="688"/>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Date: May 8, 2024</w:t>
            </w:r>
          </w:p>
        </w:tc>
        <w:tc>
          <w:tcPr>
            <w:tcW w:w="5160" w:type="dxa"/>
            <w:vAlign w:val="bottom"/>
            <w:gridSpan w:val="3"/>
          </w:tcPr>
          <w:p>
            <w:pPr>
              <w:ind w:left="2060"/>
              <w:spacing w:after="0"/>
              <w:rPr>
                <w:sz w:val="20"/>
                <w:szCs w:val="20"/>
                <w:color w:val="auto"/>
              </w:rPr>
            </w:pPr>
            <w:r>
              <w:rPr>
                <w:rFonts w:ascii="Times New Roman" w:cs="Times New Roman" w:eastAsia="Times New Roman" w:hAnsi="Times New Roman"/>
                <w:sz w:val="18"/>
                <w:szCs w:val="18"/>
                <w:color w:val="auto"/>
              </w:rPr>
              <w:t>By: /s/ Richard T. Allorto, Jr.</w:t>
            </w:r>
          </w:p>
        </w:tc>
      </w:tr>
      <w:tr>
        <w:trPr>
          <w:trHeight w:val="237"/>
        </w:trPr>
        <w:tc>
          <w:tcPr>
            <w:tcW w:w="34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2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Richard T. Allorto, Jr.</w:t>
            </w:r>
          </w:p>
        </w:tc>
        <w:tc>
          <w:tcPr>
            <w:tcW w:w="640" w:type="dxa"/>
            <w:vAlign w:val="bottom"/>
          </w:tcPr>
          <w:p>
            <w:pPr>
              <w:spacing w:after="0"/>
              <w:rPr>
                <w:sz w:val="20"/>
                <w:szCs w:val="20"/>
                <w:color w:val="auto"/>
              </w:rPr>
            </w:pPr>
          </w:p>
        </w:tc>
      </w:tr>
      <w:tr>
        <w:trPr>
          <w:trHeight w:val="243"/>
        </w:trPr>
        <w:tc>
          <w:tcPr>
            <w:tcW w:w="340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 &amp; Treasurer</w:t>
            </w:r>
          </w:p>
        </w:tc>
      </w:tr>
    </w:tbl>
    <w:p>
      <w:pPr>
        <w:sectPr>
          <w:pgSz w:w="11900" w:h="16838" w:orient="portrait"/>
          <w:cols w:equalWidth="0" w:num="1">
            <w:col w:w="11200"/>
          </w:cols>
          <w:pgMar w:left="320" w:top="536" w:right="379" w:bottom="1440" w:gutter="0" w:footer="0" w:header="0"/>
        </w:sectPr>
      </w:pPr>
    </w:p>
    <w:bookmarkStart w:id="3" w:name="page4"/>
    <w:bookmarkEnd w:id="3"/>
    <w:p>
      <w:pPr>
        <w:spacing w:after="0" w:line="4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5875" cy="3003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587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PennantPark Floating Rate Capital Ltd. Announces Financial Results for the Quarter Ended March 31, 2024</w:t>
      </w:r>
    </w:p>
    <w:p>
      <w:pPr>
        <w:spacing w:after="0" w:line="210"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22"/>
          <w:szCs w:val="22"/>
          <w:color w:val="auto"/>
        </w:rPr>
        <w:t>MIAMI, May 08, 2024 (GLOBE NEWSWIRE) -- PennantPark Floating Rate Capital Ltd. (NYSE: PFLT) announced today its financial results for the second quarter ended March 31, 2024.</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HIGHLIGHTS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Quarter ended March 31, 2024 (Unaudited)</w:t>
      </w:r>
    </w:p>
    <w:p>
      <w:pPr>
        <w:spacing w:after="0"/>
        <w:rPr>
          <w:sz w:val="20"/>
          <w:szCs w:val="20"/>
          <w:color w:val="auto"/>
        </w:rPr>
      </w:pPr>
      <w:r>
        <w:rPr>
          <w:rFonts w:ascii="Times New Roman" w:cs="Times New Roman" w:eastAsia="Times New Roman" w:hAnsi="Times New Roman"/>
          <w:sz w:val="22"/>
          <w:szCs w:val="22"/>
          <w:color w:val="auto"/>
        </w:rPr>
        <w:t>($ in millions, except per share amounts)</w:t>
      </w:r>
    </w:p>
    <w:p>
      <w:pPr>
        <w:spacing w:after="0" w:line="196" w:lineRule="exact"/>
        <w:rPr>
          <w:sz w:val="20"/>
          <w:szCs w:val="20"/>
          <w:color w:val="auto"/>
        </w:rPr>
      </w:pPr>
    </w:p>
    <w:tbl>
      <w:tblPr>
        <w:tblLayout w:type="fixed"/>
        <w:tblInd w:w="20" w:type="dxa"/>
        <w:tblCellMar>
          <w:top w:w="0" w:type="dxa"/>
          <w:left w:w="0" w:type="dxa"/>
          <w:bottom w:w="0" w:type="dxa"/>
          <w:right w:w="0" w:type="dxa"/>
        </w:tblCellMar>
      </w:tblPr>
      <w:tr>
        <w:trPr>
          <w:trHeight w:val="279"/>
        </w:trPr>
        <w:tc>
          <w:tcPr>
            <w:tcW w:w="7320" w:type="dxa"/>
            <w:vAlign w:val="bottom"/>
          </w:tcPr>
          <w:p>
            <w:pPr>
              <w:spacing w:after="0"/>
              <w:rPr>
                <w:sz w:val="20"/>
                <w:szCs w:val="20"/>
                <w:color w:val="auto"/>
              </w:rPr>
            </w:pPr>
            <w:r>
              <w:rPr>
                <w:rFonts w:ascii="Times New Roman" w:cs="Times New Roman" w:eastAsia="Times New Roman" w:hAnsi="Times New Roman"/>
                <w:sz w:val="22"/>
                <w:szCs w:val="22"/>
                <w:color w:val="auto"/>
              </w:rPr>
              <w:t>Assets and Liabilities:</w:t>
            </w:r>
          </w:p>
        </w:tc>
        <w:tc>
          <w:tcPr>
            <w:tcW w:w="25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15"/>
        </w:trPr>
        <w:tc>
          <w:tcPr>
            <w:tcW w:w="7320" w:type="dxa"/>
            <w:vAlign w:val="bottom"/>
          </w:tcPr>
          <w:p>
            <w:pPr>
              <w:ind w:left="200"/>
              <w:spacing w:after="0" w:line="314" w:lineRule="exact"/>
              <w:rPr>
                <w:sz w:val="20"/>
                <w:szCs w:val="20"/>
                <w:color w:val="auto"/>
              </w:rPr>
            </w:pPr>
            <w:r>
              <w:rPr>
                <w:rFonts w:ascii="Times New Roman" w:cs="Times New Roman" w:eastAsia="Times New Roman" w:hAnsi="Times New Roman"/>
                <w:sz w:val="22"/>
                <w:szCs w:val="22"/>
                <w:color w:val="auto"/>
              </w:rPr>
              <w:t xml:space="preserve">Investment portfolio </w:t>
            </w:r>
            <w:r>
              <w:rPr>
                <w:rFonts w:ascii="Times New Roman" w:cs="Times New Roman" w:eastAsia="Times New Roman" w:hAnsi="Times New Roman"/>
                <w:sz w:val="35"/>
                <w:szCs w:val="35"/>
                <w:color w:val="auto"/>
                <w:vertAlign w:val="superscript"/>
              </w:rPr>
              <w:t>(1)</w:t>
            </w:r>
          </w:p>
        </w:tc>
        <w:tc>
          <w:tcPr>
            <w:tcW w:w="2540" w:type="dxa"/>
            <w:vAlign w:val="bottom"/>
          </w:tcPr>
          <w:p>
            <w:pPr>
              <w:jc w:val="right"/>
              <w:ind w:right="212"/>
              <w:spacing w:after="0"/>
              <w:rPr>
                <w:sz w:val="20"/>
                <w:szCs w:val="20"/>
                <w:color w:val="auto"/>
              </w:rPr>
            </w:pPr>
            <w:r>
              <w:rPr>
                <w:rFonts w:ascii="Times New Roman" w:cs="Times New Roman" w:eastAsia="Times New Roman" w:hAnsi="Times New Roman"/>
                <w:sz w:val="22"/>
                <w:szCs w:val="22"/>
                <w:color w:val="auto"/>
              </w:rPr>
              <w:t>$</w:t>
            </w:r>
          </w:p>
        </w:tc>
        <w:tc>
          <w:tcPr>
            <w:tcW w:w="116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1,477.9</w:t>
            </w:r>
          </w:p>
        </w:tc>
      </w:tr>
      <w:tr>
        <w:trPr>
          <w:trHeight w:val="270"/>
        </w:trPr>
        <w:tc>
          <w:tcPr>
            <w:tcW w:w="73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Net assets</w:t>
            </w:r>
          </w:p>
        </w:tc>
        <w:tc>
          <w:tcPr>
            <w:tcW w:w="2540" w:type="dxa"/>
            <w:vAlign w:val="bottom"/>
          </w:tcPr>
          <w:p>
            <w:pPr>
              <w:jc w:val="right"/>
              <w:ind w:right="212"/>
              <w:spacing w:after="0"/>
              <w:rPr>
                <w:sz w:val="20"/>
                <w:szCs w:val="20"/>
                <w:color w:val="auto"/>
              </w:rPr>
            </w:pPr>
            <w:r>
              <w:rPr>
                <w:rFonts w:ascii="Times New Roman" w:cs="Times New Roman" w:eastAsia="Times New Roman" w:hAnsi="Times New Roman"/>
                <w:sz w:val="22"/>
                <w:szCs w:val="22"/>
                <w:color w:val="auto"/>
              </w:rPr>
              <w:t>$</w:t>
            </w:r>
          </w:p>
        </w:tc>
        <w:tc>
          <w:tcPr>
            <w:tcW w:w="116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720.7</w:t>
            </w:r>
          </w:p>
        </w:tc>
      </w:tr>
      <w:tr>
        <w:trPr>
          <w:trHeight w:val="270"/>
        </w:trPr>
        <w:tc>
          <w:tcPr>
            <w:tcW w:w="73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GAAP net asset value per share</w:t>
            </w:r>
          </w:p>
        </w:tc>
        <w:tc>
          <w:tcPr>
            <w:tcW w:w="2540" w:type="dxa"/>
            <w:vAlign w:val="bottom"/>
          </w:tcPr>
          <w:p>
            <w:pPr>
              <w:jc w:val="right"/>
              <w:ind w:right="212"/>
              <w:spacing w:after="0"/>
              <w:rPr>
                <w:sz w:val="20"/>
                <w:szCs w:val="20"/>
                <w:color w:val="auto"/>
              </w:rPr>
            </w:pPr>
            <w:r>
              <w:rPr>
                <w:rFonts w:ascii="Times New Roman" w:cs="Times New Roman" w:eastAsia="Times New Roman" w:hAnsi="Times New Roman"/>
                <w:sz w:val="22"/>
                <w:szCs w:val="22"/>
                <w:color w:val="auto"/>
              </w:rPr>
              <w:t>$</w:t>
            </w:r>
          </w:p>
        </w:tc>
        <w:tc>
          <w:tcPr>
            <w:tcW w:w="116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11.40</w:t>
            </w:r>
          </w:p>
        </w:tc>
      </w:tr>
      <w:tr>
        <w:trPr>
          <w:trHeight w:val="279"/>
        </w:trPr>
        <w:tc>
          <w:tcPr>
            <w:tcW w:w="73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Quarterly increase in GAAP net asset value per share</w:t>
            </w:r>
          </w:p>
        </w:tc>
        <w:tc>
          <w:tcPr>
            <w:tcW w:w="25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w:t>
            </w:r>
          </w:p>
        </w:tc>
      </w:tr>
      <w:tr>
        <w:trPr>
          <w:trHeight w:val="324"/>
        </w:trPr>
        <w:tc>
          <w:tcPr>
            <w:tcW w:w="7320" w:type="dxa"/>
            <w:vAlign w:val="bottom"/>
          </w:tcPr>
          <w:p>
            <w:pPr>
              <w:ind w:left="200"/>
              <w:spacing w:after="0" w:line="324" w:lineRule="exact"/>
              <w:rPr>
                <w:sz w:val="20"/>
                <w:szCs w:val="20"/>
                <w:color w:val="auto"/>
              </w:rPr>
            </w:pPr>
            <w:r>
              <w:rPr>
                <w:rFonts w:ascii="Times New Roman" w:cs="Times New Roman" w:eastAsia="Times New Roman" w:hAnsi="Times New Roman"/>
                <w:sz w:val="22"/>
                <w:szCs w:val="22"/>
                <w:color w:val="auto"/>
              </w:rPr>
              <w:t xml:space="preserve">Adjusted net asset value per share </w:t>
            </w:r>
            <w:r>
              <w:rPr>
                <w:rFonts w:ascii="Times New Roman" w:cs="Times New Roman" w:eastAsia="Times New Roman" w:hAnsi="Times New Roman"/>
                <w:sz w:val="35"/>
                <w:szCs w:val="35"/>
                <w:color w:val="auto"/>
                <w:vertAlign w:val="superscript"/>
              </w:rPr>
              <w:t>(2)</w:t>
            </w:r>
          </w:p>
        </w:tc>
        <w:tc>
          <w:tcPr>
            <w:tcW w:w="2540" w:type="dxa"/>
            <w:vAlign w:val="bottom"/>
          </w:tcPr>
          <w:p>
            <w:pPr>
              <w:jc w:val="right"/>
              <w:ind w:right="212"/>
              <w:spacing w:after="0"/>
              <w:rPr>
                <w:sz w:val="20"/>
                <w:szCs w:val="20"/>
                <w:color w:val="auto"/>
              </w:rPr>
            </w:pPr>
            <w:r>
              <w:rPr>
                <w:rFonts w:ascii="Times New Roman" w:cs="Times New Roman" w:eastAsia="Times New Roman" w:hAnsi="Times New Roman"/>
                <w:sz w:val="22"/>
                <w:szCs w:val="22"/>
                <w:color w:val="auto"/>
              </w:rPr>
              <w:t>$</w:t>
            </w:r>
          </w:p>
        </w:tc>
        <w:tc>
          <w:tcPr>
            <w:tcW w:w="116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11.40</w:t>
            </w:r>
          </w:p>
        </w:tc>
      </w:tr>
      <w:tr>
        <w:trPr>
          <w:trHeight w:val="475"/>
        </w:trPr>
        <w:tc>
          <w:tcPr>
            <w:tcW w:w="73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 xml:space="preserve">Quarterly increase in adjusted net asset value per share </w:t>
            </w:r>
            <w:r>
              <w:rPr>
                <w:rFonts w:ascii="Times New Roman" w:cs="Times New Roman" w:eastAsia="Times New Roman" w:hAnsi="Times New Roman"/>
                <w:sz w:val="35"/>
                <w:szCs w:val="35"/>
                <w:color w:val="auto"/>
                <w:vertAlign w:val="superscript"/>
              </w:rPr>
              <w:t>(2)</w:t>
            </w:r>
          </w:p>
        </w:tc>
        <w:tc>
          <w:tcPr>
            <w:tcW w:w="25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w:t>
            </w:r>
          </w:p>
        </w:tc>
      </w:tr>
      <w:tr>
        <w:trPr>
          <w:trHeight w:val="380"/>
        </w:trPr>
        <w:tc>
          <w:tcPr>
            <w:tcW w:w="7320" w:type="dxa"/>
            <w:vAlign w:val="bottom"/>
          </w:tcPr>
          <w:p>
            <w:pPr>
              <w:spacing w:after="0"/>
              <w:rPr>
                <w:sz w:val="20"/>
                <w:szCs w:val="20"/>
                <w:color w:val="auto"/>
              </w:rPr>
            </w:pPr>
            <w:r>
              <w:rPr>
                <w:rFonts w:ascii="Times New Roman" w:cs="Times New Roman" w:eastAsia="Times New Roman" w:hAnsi="Times New Roman"/>
                <w:sz w:val="22"/>
                <w:szCs w:val="22"/>
                <w:color w:val="auto"/>
              </w:rPr>
              <w:t>Credit Facility</w:t>
            </w:r>
          </w:p>
        </w:tc>
        <w:tc>
          <w:tcPr>
            <w:tcW w:w="2540" w:type="dxa"/>
            <w:vAlign w:val="bottom"/>
          </w:tcPr>
          <w:p>
            <w:pPr>
              <w:jc w:val="right"/>
              <w:ind w:right="212"/>
              <w:spacing w:after="0"/>
              <w:rPr>
                <w:sz w:val="20"/>
                <w:szCs w:val="20"/>
                <w:color w:val="auto"/>
              </w:rPr>
            </w:pPr>
            <w:r>
              <w:rPr>
                <w:rFonts w:ascii="Times New Roman" w:cs="Times New Roman" w:eastAsia="Times New Roman" w:hAnsi="Times New Roman"/>
                <w:sz w:val="22"/>
                <w:szCs w:val="22"/>
                <w:color w:val="auto"/>
              </w:rPr>
              <w:t>$</w:t>
            </w:r>
          </w:p>
        </w:tc>
        <w:tc>
          <w:tcPr>
            <w:tcW w:w="116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168.9</w:t>
            </w:r>
          </w:p>
        </w:tc>
      </w:tr>
      <w:tr>
        <w:trPr>
          <w:trHeight w:val="270"/>
        </w:trPr>
        <w:tc>
          <w:tcPr>
            <w:tcW w:w="7320" w:type="dxa"/>
            <w:vAlign w:val="bottom"/>
          </w:tcPr>
          <w:p>
            <w:pPr>
              <w:spacing w:after="0"/>
              <w:rPr>
                <w:sz w:val="20"/>
                <w:szCs w:val="20"/>
                <w:color w:val="auto"/>
              </w:rPr>
            </w:pPr>
            <w:r>
              <w:rPr>
                <w:rFonts w:ascii="Times New Roman" w:cs="Times New Roman" w:eastAsia="Times New Roman" w:hAnsi="Times New Roman"/>
                <w:sz w:val="22"/>
                <w:szCs w:val="22"/>
                <w:color w:val="auto"/>
              </w:rPr>
              <w:t>2036 Asset-Backed Debt</w:t>
            </w:r>
          </w:p>
        </w:tc>
        <w:tc>
          <w:tcPr>
            <w:tcW w:w="2540" w:type="dxa"/>
            <w:vAlign w:val="bottom"/>
          </w:tcPr>
          <w:p>
            <w:pPr>
              <w:jc w:val="right"/>
              <w:ind w:right="212"/>
              <w:spacing w:after="0"/>
              <w:rPr>
                <w:sz w:val="20"/>
                <w:szCs w:val="20"/>
                <w:color w:val="auto"/>
              </w:rPr>
            </w:pPr>
            <w:r>
              <w:rPr>
                <w:rFonts w:ascii="Times New Roman" w:cs="Times New Roman" w:eastAsia="Times New Roman" w:hAnsi="Times New Roman"/>
                <w:sz w:val="22"/>
                <w:szCs w:val="22"/>
                <w:color w:val="auto"/>
              </w:rPr>
              <w:t>$</w:t>
            </w:r>
          </w:p>
        </w:tc>
        <w:tc>
          <w:tcPr>
            <w:tcW w:w="116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283.8</w:t>
            </w:r>
          </w:p>
        </w:tc>
      </w:tr>
      <w:tr>
        <w:trPr>
          <w:trHeight w:val="270"/>
        </w:trPr>
        <w:tc>
          <w:tcPr>
            <w:tcW w:w="7320" w:type="dxa"/>
            <w:vAlign w:val="bottom"/>
          </w:tcPr>
          <w:p>
            <w:pPr>
              <w:spacing w:after="0"/>
              <w:rPr>
                <w:sz w:val="20"/>
                <w:szCs w:val="20"/>
                <w:color w:val="auto"/>
              </w:rPr>
            </w:pPr>
            <w:r>
              <w:rPr>
                <w:rFonts w:ascii="Times New Roman" w:cs="Times New Roman" w:eastAsia="Times New Roman" w:hAnsi="Times New Roman"/>
                <w:sz w:val="22"/>
                <w:szCs w:val="22"/>
                <w:color w:val="auto"/>
              </w:rPr>
              <w:t>2031 Asset-Backed Debt</w:t>
            </w:r>
          </w:p>
        </w:tc>
        <w:tc>
          <w:tcPr>
            <w:tcW w:w="2540" w:type="dxa"/>
            <w:vAlign w:val="bottom"/>
          </w:tcPr>
          <w:p>
            <w:pPr>
              <w:jc w:val="right"/>
              <w:ind w:right="212"/>
              <w:spacing w:after="0"/>
              <w:rPr>
                <w:sz w:val="20"/>
                <w:szCs w:val="20"/>
                <w:color w:val="auto"/>
              </w:rPr>
            </w:pPr>
            <w:r>
              <w:rPr>
                <w:rFonts w:ascii="Times New Roman" w:cs="Times New Roman" w:eastAsia="Times New Roman" w:hAnsi="Times New Roman"/>
                <w:sz w:val="22"/>
                <w:szCs w:val="22"/>
                <w:color w:val="auto"/>
              </w:rPr>
              <w:t>$</w:t>
            </w:r>
          </w:p>
        </w:tc>
        <w:tc>
          <w:tcPr>
            <w:tcW w:w="116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225.3</w:t>
            </w:r>
          </w:p>
        </w:tc>
      </w:tr>
      <w:tr>
        <w:trPr>
          <w:trHeight w:val="270"/>
        </w:trPr>
        <w:tc>
          <w:tcPr>
            <w:tcW w:w="7320" w:type="dxa"/>
            <w:vAlign w:val="bottom"/>
          </w:tcPr>
          <w:p>
            <w:pPr>
              <w:spacing w:after="0"/>
              <w:rPr>
                <w:sz w:val="20"/>
                <w:szCs w:val="20"/>
                <w:color w:val="auto"/>
              </w:rPr>
            </w:pPr>
            <w:r>
              <w:rPr>
                <w:rFonts w:ascii="Times New Roman" w:cs="Times New Roman" w:eastAsia="Times New Roman" w:hAnsi="Times New Roman"/>
                <w:sz w:val="22"/>
                <w:szCs w:val="22"/>
                <w:color w:val="auto"/>
              </w:rPr>
              <w:t>2026 Notes</w:t>
            </w:r>
          </w:p>
        </w:tc>
        <w:tc>
          <w:tcPr>
            <w:tcW w:w="2540" w:type="dxa"/>
            <w:vAlign w:val="bottom"/>
          </w:tcPr>
          <w:p>
            <w:pPr>
              <w:jc w:val="right"/>
              <w:ind w:right="212"/>
              <w:spacing w:after="0"/>
              <w:rPr>
                <w:sz w:val="20"/>
                <w:szCs w:val="20"/>
                <w:color w:val="auto"/>
              </w:rPr>
            </w:pPr>
            <w:r>
              <w:rPr>
                <w:rFonts w:ascii="Times New Roman" w:cs="Times New Roman" w:eastAsia="Times New Roman" w:hAnsi="Times New Roman"/>
                <w:sz w:val="22"/>
                <w:szCs w:val="22"/>
                <w:color w:val="auto"/>
              </w:rPr>
              <w:t>$</w:t>
            </w:r>
          </w:p>
        </w:tc>
        <w:tc>
          <w:tcPr>
            <w:tcW w:w="116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183.4</w:t>
            </w:r>
          </w:p>
        </w:tc>
      </w:tr>
      <w:tr>
        <w:trPr>
          <w:trHeight w:val="270"/>
        </w:trPr>
        <w:tc>
          <w:tcPr>
            <w:tcW w:w="7320" w:type="dxa"/>
            <w:vAlign w:val="bottom"/>
          </w:tcPr>
          <w:p>
            <w:pPr>
              <w:spacing w:after="0"/>
              <w:rPr>
                <w:sz w:val="20"/>
                <w:szCs w:val="20"/>
                <w:color w:val="auto"/>
              </w:rPr>
            </w:pPr>
            <w:r>
              <w:rPr>
                <w:rFonts w:ascii="Times New Roman" w:cs="Times New Roman" w:eastAsia="Times New Roman" w:hAnsi="Times New Roman"/>
                <w:sz w:val="22"/>
                <w:szCs w:val="22"/>
                <w:color w:val="auto"/>
              </w:rPr>
              <w:t>Regulatory debt to equity</w:t>
            </w:r>
          </w:p>
        </w:tc>
        <w:tc>
          <w:tcPr>
            <w:tcW w:w="2540" w:type="dxa"/>
            <w:vAlign w:val="bottom"/>
          </w:tcPr>
          <w:p>
            <w:pPr>
              <w:spacing w:after="0"/>
              <w:rPr>
                <w:sz w:val="23"/>
                <w:szCs w:val="23"/>
                <w:color w:val="auto"/>
              </w:rPr>
            </w:pPr>
          </w:p>
        </w:tc>
        <w:tc>
          <w:tcPr>
            <w:tcW w:w="116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1.21x</w:t>
            </w:r>
          </w:p>
        </w:tc>
      </w:tr>
      <w:tr>
        <w:trPr>
          <w:trHeight w:val="282"/>
        </w:trPr>
        <w:tc>
          <w:tcPr>
            <w:tcW w:w="7320" w:type="dxa"/>
            <w:vAlign w:val="bottom"/>
          </w:tcPr>
          <w:p>
            <w:pPr>
              <w:spacing w:after="0"/>
              <w:rPr>
                <w:sz w:val="20"/>
                <w:szCs w:val="20"/>
                <w:color w:val="auto"/>
              </w:rPr>
            </w:pPr>
            <w:r>
              <w:rPr>
                <w:rFonts w:ascii="Times New Roman" w:cs="Times New Roman" w:eastAsia="Times New Roman" w:hAnsi="Times New Roman"/>
                <w:sz w:val="22"/>
                <w:szCs w:val="22"/>
                <w:color w:val="auto"/>
              </w:rPr>
              <w:t>Weighted average yield on debt investments at quarter-end</w:t>
            </w:r>
          </w:p>
        </w:tc>
        <w:tc>
          <w:tcPr>
            <w:tcW w:w="25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12.3%</w:t>
            </w:r>
          </w:p>
        </w:tc>
      </w:tr>
      <w:tr>
        <w:trPr>
          <w:trHeight w:val="528"/>
        </w:trPr>
        <w:tc>
          <w:tcPr>
            <w:tcW w:w="7320" w:type="dxa"/>
            <w:vAlign w:val="bottom"/>
          </w:tcPr>
          <w:p>
            <w:pPr>
              <w:spacing w:after="0"/>
              <w:rPr>
                <w:sz w:val="20"/>
                <w:szCs w:val="20"/>
                <w:color w:val="auto"/>
              </w:rPr>
            </w:pPr>
            <w:r>
              <w:rPr>
                <w:rFonts w:ascii="Times New Roman" w:cs="Times New Roman" w:eastAsia="Times New Roman" w:hAnsi="Times New Roman"/>
                <w:sz w:val="22"/>
                <w:szCs w:val="22"/>
                <w:color w:val="auto"/>
              </w:rPr>
              <w:t>Operating Results:</w:t>
            </w:r>
          </w:p>
        </w:tc>
        <w:tc>
          <w:tcPr>
            <w:tcW w:w="25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70"/>
        </w:trPr>
        <w:tc>
          <w:tcPr>
            <w:tcW w:w="73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Net investment income</w:t>
            </w:r>
          </w:p>
        </w:tc>
        <w:tc>
          <w:tcPr>
            <w:tcW w:w="2540" w:type="dxa"/>
            <w:vAlign w:val="bottom"/>
          </w:tcPr>
          <w:p>
            <w:pPr>
              <w:jc w:val="right"/>
              <w:ind w:right="212"/>
              <w:spacing w:after="0"/>
              <w:rPr>
                <w:sz w:val="20"/>
                <w:szCs w:val="20"/>
                <w:color w:val="auto"/>
              </w:rPr>
            </w:pPr>
            <w:r>
              <w:rPr>
                <w:rFonts w:ascii="Times New Roman" w:cs="Times New Roman" w:eastAsia="Times New Roman" w:hAnsi="Times New Roman"/>
                <w:sz w:val="22"/>
                <w:szCs w:val="22"/>
                <w:color w:val="auto"/>
              </w:rPr>
              <w:t>$</w:t>
            </w:r>
          </w:p>
        </w:tc>
        <w:tc>
          <w:tcPr>
            <w:tcW w:w="116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19.1</w:t>
            </w:r>
          </w:p>
        </w:tc>
      </w:tr>
      <w:tr>
        <w:trPr>
          <w:trHeight w:val="279"/>
        </w:trPr>
        <w:tc>
          <w:tcPr>
            <w:tcW w:w="73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Net investment income per share (GAAP)</w:t>
            </w:r>
          </w:p>
        </w:tc>
        <w:tc>
          <w:tcPr>
            <w:tcW w:w="2540" w:type="dxa"/>
            <w:vAlign w:val="bottom"/>
          </w:tcPr>
          <w:p>
            <w:pPr>
              <w:jc w:val="right"/>
              <w:ind w:right="212"/>
              <w:spacing w:after="0"/>
              <w:rPr>
                <w:sz w:val="20"/>
                <w:szCs w:val="20"/>
                <w:color w:val="auto"/>
              </w:rPr>
            </w:pPr>
            <w:r>
              <w:rPr>
                <w:rFonts w:ascii="Times New Roman" w:cs="Times New Roman" w:eastAsia="Times New Roman" w:hAnsi="Times New Roman"/>
                <w:sz w:val="22"/>
                <w:szCs w:val="22"/>
                <w:color w:val="auto"/>
              </w:rPr>
              <w:t>$</w:t>
            </w:r>
          </w:p>
        </w:tc>
        <w:tc>
          <w:tcPr>
            <w:tcW w:w="116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0.31</w:t>
            </w:r>
          </w:p>
        </w:tc>
      </w:tr>
      <w:tr>
        <w:trPr>
          <w:trHeight w:val="315"/>
        </w:trPr>
        <w:tc>
          <w:tcPr>
            <w:tcW w:w="7320" w:type="dxa"/>
            <w:vAlign w:val="bottom"/>
          </w:tcPr>
          <w:p>
            <w:pPr>
              <w:ind w:left="200"/>
              <w:spacing w:after="0" w:line="314" w:lineRule="exact"/>
              <w:rPr>
                <w:sz w:val="20"/>
                <w:szCs w:val="20"/>
                <w:color w:val="auto"/>
              </w:rPr>
            </w:pPr>
            <w:r>
              <w:rPr>
                <w:rFonts w:ascii="Times New Roman" w:cs="Times New Roman" w:eastAsia="Times New Roman" w:hAnsi="Times New Roman"/>
                <w:sz w:val="22"/>
                <w:szCs w:val="22"/>
                <w:color w:val="auto"/>
              </w:rPr>
              <w:t xml:space="preserve">Core net investment income per share </w:t>
            </w:r>
            <w:r>
              <w:rPr>
                <w:rFonts w:ascii="Times New Roman" w:cs="Times New Roman" w:eastAsia="Times New Roman" w:hAnsi="Times New Roman"/>
                <w:sz w:val="35"/>
                <w:szCs w:val="35"/>
                <w:color w:val="auto"/>
                <w:vertAlign w:val="superscript"/>
              </w:rPr>
              <w:t>(3)</w:t>
            </w:r>
          </w:p>
        </w:tc>
        <w:tc>
          <w:tcPr>
            <w:tcW w:w="2540" w:type="dxa"/>
            <w:vAlign w:val="bottom"/>
          </w:tcPr>
          <w:p>
            <w:pPr>
              <w:jc w:val="right"/>
              <w:ind w:right="212"/>
              <w:spacing w:after="0"/>
              <w:rPr>
                <w:sz w:val="20"/>
                <w:szCs w:val="20"/>
                <w:color w:val="auto"/>
              </w:rPr>
            </w:pPr>
            <w:r>
              <w:rPr>
                <w:rFonts w:ascii="Times New Roman" w:cs="Times New Roman" w:eastAsia="Times New Roman" w:hAnsi="Times New Roman"/>
                <w:sz w:val="22"/>
                <w:szCs w:val="22"/>
                <w:color w:val="auto"/>
              </w:rPr>
              <w:t>$</w:t>
            </w:r>
          </w:p>
        </w:tc>
        <w:tc>
          <w:tcPr>
            <w:tcW w:w="116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0.31</w:t>
            </w:r>
          </w:p>
        </w:tc>
      </w:tr>
      <w:tr>
        <w:trPr>
          <w:trHeight w:val="282"/>
        </w:trPr>
        <w:tc>
          <w:tcPr>
            <w:tcW w:w="73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Distributions declared per share</w:t>
            </w:r>
          </w:p>
        </w:tc>
        <w:tc>
          <w:tcPr>
            <w:tcW w:w="2540" w:type="dxa"/>
            <w:vAlign w:val="bottom"/>
          </w:tcPr>
          <w:p>
            <w:pPr>
              <w:jc w:val="right"/>
              <w:ind w:right="212"/>
              <w:spacing w:after="0"/>
              <w:rPr>
                <w:sz w:val="20"/>
                <w:szCs w:val="20"/>
                <w:color w:val="auto"/>
              </w:rPr>
            </w:pPr>
            <w:r>
              <w:rPr>
                <w:rFonts w:ascii="Times New Roman" w:cs="Times New Roman" w:eastAsia="Times New Roman" w:hAnsi="Times New Roman"/>
                <w:sz w:val="22"/>
                <w:szCs w:val="22"/>
                <w:color w:val="auto"/>
              </w:rPr>
              <w:t>$</w:t>
            </w:r>
          </w:p>
        </w:tc>
        <w:tc>
          <w:tcPr>
            <w:tcW w:w="116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0.31</w:t>
            </w:r>
          </w:p>
        </w:tc>
      </w:tr>
      <w:tr>
        <w:trPr>
          <w:trHeight w:val="528"/>
        </w:trPr>
        <w:tc>
          <w:tcPr>
            <w:tcW w:w="7320" w:type="dxa"/>
            <w:vAlign w:val="bottom"/>
          </w:tcPr>
          <w:p>
            <w:pPr>
              <w:spacing w:after="0"/>
              <w:rPr>
                <w:sz w:val="20"/>
                <w:szCs w:val="20"/>
                <w:color w:val="auto"/>
              </w:rPr>
            </w:pPr>
            <w:r>
              <w:rPr>
                <w:rFonts w:ascii="Times New Roman" w:cs="Times New Roman" w:eastAsia="Times New Roman" w:hAnsi="Times New Roman"/>
                <w:sz w:val="22"/>
                <w:szCs w:val="22"/>
                <w:color w:val="auto"/>
              </w:rPr>
              <w:t>Portfolio Activity:</w:t>
            </w:r>
          </w:p>
        </w:tc>
        <w:tc>
          <w:tcPr>
            <w:tcW w:w="25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70"/>
        </w:trPr>
        <w:tc>
          <w:tcPr>
            <w:tcW w:w="73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Purchases of investments</w:t>
            </w:r>
          </w:p>
        </w:tc>
        <w:tc>
          <w:tcPr>
            <w:tcW w:w="2540" w:type="dxa"/>
            <w:vAlign w:val="bottom"/>
          </w:tcPr>
          <w:p>
            <w:pPr>
              <w:jc w:val="right"/>
              <w:ind w:right="212"/>
              <w:spacing w:after="0"/>
              <w:rPr>
                <w:sz w:val="20"/>
                <w:szCs w:val="20"/>
                <w:color w:val="auto"/>
              </w:rPr>
            </w:pPr>
            <w:r>
              <w:rPr>
                <w:rFonts w:ascii="Times New Roman" w:cs="Times New Roman" w:eastAsia="Times New Roman" w:hAnsi="Times New Roman"/>
                <w:sz w:val="22"/>
                <w:szCs w:val="22"/>
                <w:color w:val="auto"/>
              </w:rPr>
              <w:t>$</w:t>
            </w:r>
          </w:p>
        </w:tc>
        <w:tc>
          <w:tcPr>
            <w:tcW w:w="116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338.3</w:t>
            </w:r>
          </w:p>
        </w:tc>
      </w:tr>
      <w:tr>
        <w:trPr>
          <w:trHeight w:val="282"/>
        </w:trPr>
        <w:tc>
          <w:tcPr>
            <w:tcW w:w="73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Sales and repayments of investments</w:t>
            </w:r>
          </w:p>
        </w:tc>
        <w:tc>
          <w:tcPr>
            <w:tcW w:w="2540" w:type="dxa"/>
            <w:vAlign w:val="bottom"/>
          </w:tcPr>
          <w:p>
            <w:pPr>
              <w:jc w:val="right"/>
              <w:ind w:right="212"/>
              <w:spacing w:after="0"/>
              <w:rPr>
                <w:sz w:val="20"/>
                <w:szCs w:val="20"/>
                <w:color w:val="auto"/>
              </w:rPr>
            </w:pPr>
            <w:r>
              <w:rPr>
                <w:rFonts w:ascii="Times New Roman" w:cs="Times New Roman" w:eastAsia="Times New Roman" w:hAnsi="Times New Roman"/>
                <w:sz w:val="22"/>
                <w:szCs w:val="22"/>
                <w:color w:val="auto"/>
              </w:rPr>
              <w:t>$</w:t>
            </w:r>
          </w:p>
        </w:tc>
        <w:tc>
          <w:tcPr>
            <w:tcW w:w="116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144.9</w:t>
            </w:r>
          </w:p>
        </w:tc>
      </w:tr>
      <w:tr>
        <w:trPr>
          <w:trHeight w:val="528"/>
        </w:trPr>
        <w:tc>
          <w:tcPr>
            <w:tcW w:w="7320" w:type="dxa"/>
            <w:vAlign w:val="bottom"/>
          </w:tcPr>
          <w:p>
            <w:pPr>
              <w:spacing w:after="0"/>
              <w:rPr>
                <w:sz w:val="20"/>
                <w:szCs w:val="20"/>
                <w:color w:val="auto"/>
              </w:rPr>
            </w:pPr>
            <w:r>
              <w:rPr>
                <w:rFonts w:ascii="Times New Roman" w:cs="Times New Roman" w:eastAsia="Times New Roman" w:hAnsi="Times New Roman"/>
                <w:sz w:val="22"/>
                <w:szCs w:val="22"/>
                <w:color w:val="auto"/>
              </w:rPr>
              <w:t>PSSL Portfolio data:</w:t>
            </w:r>
          </w:p>
        </w:tc>
        <w:tc>
          <w:tcPr>
            <w:tcW w:w="25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70"/>
        </w:trPr>
        <w:tc>
          <w:tcPr>
            <w:tcW w:w="73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PSSL investment portfolio</w:t>
            </w:r>
          </w:p>
        </w:tc>
        <w:tc>
          <w:tcPr>
            <w:tcW w:w="2540" w:type="dxa"/>
            <w:vAlign w:val="bottom"/>
          </w:tcPr>
          <w:p>
            <w:pPr>
              <w:jc w:val="right"/>
              <w:ind w:right="212"/>
              <w:spacing w:after="0"/>
              <w:rPr>
                <w:sz w:val="20"/>
                <w:szCs w:val="20"/>
                <w:color w:val="auto"/>
              </w:rPr>
            </w:pPr>
            <w:r>
              <w:rPr>
                <w:rFonts w:ascii="Times New Roman" w:cs="Times New Roman" w:eastAsia="Times New Roman" w:hAnsi="Times New Roman"/>
                <w:sz w:val="22"/>
                <w:szCs w:val="22"/>
                <w:color w:val="auto"/>
              </w:rPr>
              <w:t>$</w:t>
            </w:r>
          </w:p>
        </w:tc>
        <w:tc>
          <w:tcPr>
            <w:tcW w:w="116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869.7</w:t>
            </w:r>
          </w:p>
        </w:tc>
      </w:tr>
      <w:tr>
        <w:trPr>
          <w:trHeight w:val="270"/>
        </w:trPr>
        <w:tc>
          <w:tcPr>
            <w:tcW w:w="73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Purchases of investments</w:t>
            </w:r>
          </w:p>
        </w:tc>
        <w:tc>
          <w:tcPr>
            <w:tcW w:w="2540" w:type="dxa"/>
            <w:vAlign w:val="bottom"/>
          </w:tcPr>
          <w:p>
            <w:pPr>
              <w:jc w:val="right"/>
              <w:ind w:right="212"/>
              <w:spacing w:after="0"/>
              <w:rPr>
                <w:sz w:val="20"/>
                <w:szCs w:val="20"/>
                <w:color w:val="auto"/>
              </w:rPr>
            </w:pPr>
            <w:r>
              <w:rPr>
                <w:rFonts w:ascii="Times New Roman" w:cs="Times New Roman" w:eastAsia="Times New Roman" w:hAnsi="Times New Roman"/>
                <w:sz w:val="22"/>
                <w:szCs w:val="22"/>
                <w:color w:val="auto"/>
              </w:rPr>
              <w:t>$</w:t>
            </w:r>
          </w:p>
        </w:tc>
        <w:tc>
          <w:tcPr>
            <w:tcW w:w="116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80.1</w:t>
            </w:r>
          </w:p>
        </w:tc>
      </w:tr>
      <w:tr>
        <w:trPr>
          <w:trHeight w:val="282"/>
        </w:trPr>
        <w:tc>
          <w:tcPr>
            <w:tcW w:w="73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Sales and repayments of investments</w:t>
            </w:r>
          </w:p>
        </w:tc>
        <w:tc>
          <w:tcPr>
            <w:tcW w:w="2540" w:type="dxa"/>
            <w:vAlign w:val="bottom"/>
          </w:tcPr>
          <w:p>
            <w:pPr>
              <w:jc w:val="right"/>
              <w:ind w:right="212"/>
              <w:spacing w:after="0"/>
              <w:rPr>
                <w:sz w:val="20"/>
                <w:szCs w:val="20"/>
                <w:color w:val="auto"/>
              </w:rPr>
            </w:pPr>
            <w:r>
              <w:rPr>
                <w:rFonts w:ascii="Times New Roman" w:cs="Times New Roman" w:eastAsia="Times New Roman" w:hAnsi="Times New Roman"/>
                <w:sz w:val="22"/>
                <w:szCs w:val="22"/>
                <w:color w:val="auto"/>
              </w:rPr>
              <w:t>$</w:t>
            </w:r>
          </w:p>
        </w:tc>
        <w:tc>
          <w:tcPr>
            <w:tcW w:w="116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49.5</w:t>
            </w:r>
          </w:p>
        </w:tc>
      </w:tr>
    </w:tbl>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540" w:right="120" w:hanging="208"/>
        <w:spacing w:after="0" w:line="241" w:lineRule="auto"/>
        <w:tabs>
          <w:tab w:leader="none" w:pos="5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Includes investments in PennantPark Senior Secured Loan Fund I LLC, or PSSL, an unconsolidated joint venture, totaling $263.2 million, at fair value.</w:t>
      </w:r>
    </w:p>
    <w:p>
      <w:pPr>
        <w:spacing w:after="0" w:line="1" w:lineRule="exact"/>
        <w:rPr>
          <w:rFonts w:ascii="Times New Roman" w:cs="Times New Roman" w:eastAsia="Times New Roman" w:hAnsi="Times New Roman"/>
          <w:sz w:val="22"/>
          <w:szCs w:val="22"/>
          <w:color w:val="auto"/>
        </w:rPr>
      </w:pPr>
    </w:p>
    <w:p>
      <w:pPr>
        <w:ind w:left="540" w:right="160" w:hanging="208"/>
        <w:spacing w:after="0" w:line="230" w:lineRule="auto"/>
        <w:tabs>
          <w:tab w:leader="none" w:pos="5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is a non-GAAP financial measure. The Company believes that this number provides useful information to investors and management because it reflects the Company’s financial performance excluding the impact of the unrealized amounts on the Company's multi-currency senior secured revolving credit facility with Truist Bank and the other lenders (the "Credit Facility"). The presentation of this additional information is not meant to be considered in isolation or as a substitute for financial results prepared in accordance with GAAP.</w:t>
      </w:r>
    </w:p>
    <w:p>
      <w:pPr>
        <w:spacing w:after="0" w:line="2" w:lineRule="exact"/>
        <w:rPr>
          <w:rFonts w:ascii="Times New Roman" w:cs="Times New Roman" w:eastAsia="Times New Roman" w:hAnsi="Times New Roman"/>
          <w:sz w:val="22"/>
          <w:szCs w:val="22"/>
          <w:color w:val="auto"/>
        </w:rPr>
      </w:pPr>
    </w:p>
    <w:p>
      <w:pPr>
        <w:ind w:left="540" w:right="20" w:hanging="208"/>
        <w:spacing w:after="0" w:line="233" w:lineRule="auto"/>
        <w:tabs>
          <w:tab w:leader="none" w:pos="5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Core net investment income (“Core NII”) is a non-GAAP financial measure. The Company believes that Core NII provides useful information to investors and management because it reflects the Company's financial performance excluding one-time or non-recurring investment income and expenses. The presentation of this additional information is not meant to be considered in isolation or as a substitute for financial results prepared in accordance with GAAP. For the quarter ended March 31, 2024, there were no one-time events resulting in $0.31 of Core NII.</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CONFERENCE CALL AT 9:00 A.M. ET ON MAY 9, 2024</w:t>
      </w:r>
    </w:p>
    <w:p>
      <w:pPr>
        <w:spacing w:after="0" w:line="2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The Company will also host a conference call at 9:00 a.m. (Eastern Time) on Thursday May 9, 2024 to discuss its financial results. All interested parties are welcome to participate. You can access the conference call by dialing toll-free (888) 256-1007</w:t>
      </w:r>
    </w:p>
    <w:p>
      <w:pPr>
        <w:sectPr>
          <w:pgSz w:w="11900" w:h="16881" w:orient="portrait"/>
          <w:cols w:equalWidth="0" w:num="1">
            <w:col w:w="11240"/>
          </w:cols>
          <w:pgMar w:left="320" w:top="108" w:right="339" w:bottom="0" w:gutter="0" w:footer="0" w:header="0"/>
        </w:sectPr>
      </w:pPr>
    </w:p>
    <w:bookmarkStart w:id="4" w:name="page5"/>
    <w:bookmarkEnd w:id="4"/>
    <w:p>
      <w:pPr>
        <w:jc w:val="both"/>
        <w:spacing w:after="0" w:line="244" w:lineRule="auto"/>
        <w:rPr>
          <w:sz w:val="20"/>
          <w:szCs w:val="20"/>
          <w:color w:val="auto"/>
        </w:rPr>
      </w:pPr>
      <w:r>
        <w:rPr>
          <w:rFonts w:ascii="Times New Roman" w:cs="Times New Roman" w:eastAsia="Times New Roman" w:hAnsi="Times New Roman"/>
          <w:sz w:val="22"/>
          <w:szCs w:val="22"/>
          <w:color w:val="auto"/>
        </w:rPr>
        <w:t>approximately 5-10 minutes prior to the call. International callers should dial (929) 477-0448. All callers should reference conference ID #3708929 or PennantPark Floating Rate Capital Ltd. An archived replay will also be available on a webcast link located on the Quarterly Earnings page in the Investor section of PennantPark’s website.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PORTFOLIO AND INVESTMENT ACTIVITY</w:t>
      </w:r>
    </w:p>
    <w:p>
      <w:pPr>
        <w:spacing w:after="0" w:line="2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“We are pleased to have another quarter of solid performance. We are actively investing in this strong vintage of new core middle market loans,” said Art Penn, Chairman and CEO. “Through the growing balance sheets of PFLT and our PSSL joint venture, we are well positioned to be driving meaningfully increased income.”</w:t>
      </w:r>
    </w:p>
    <w:p>
      <w:pPr>
        <w:spacing w:after="0" w:line="17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As of March 31, 2024, our portfolio totaled $1,477.9 million, and consisted of $1,284.9 million of first lien secured debt (including $210.1 million in PSSL), $0.2 million of second lien secured debt and subordinated debt and $192.8 million of preferred and common equity (including $53.1 million in PSSL). Our debt portfolio consisted of approximately 100% variable-rate investments. As of March 31, 2024, we had one portfolio company on non-accrual, representing 0.4% and 0.3% of our overall portfolio on a cost and fair value basis, respectively. As of March 31, 2024, the portfolio had net unrealized depreciation of $11.8 million. Our overall portfolio consisted of 146 companies with an average investment size of $10.1 million and had a weighted average yield on debt investments of 12.3%.</w:t>
      </w:r>
    </w:p>
    <w:p>
      <w:pPr>
        <w:spacing w:after="0" w:line="18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As of September 30, 2023, our portfolio totaled $1,067.2 million and consisted of $906.2 million of first lien secured debt (including $210.1 million in PSSL), $0.1 million of second lien secured debt and $160.9 million of preferred and common equity (including $50.9 million in PSSL). Our debt portfolio consisted of approximately 100% variable-rate investments. As of September 30, 2023, we had three portfolio companies on non-accrual, representing 0.9% and 0.2% of our overall portfolio on a cost and fair value basis, respectively. As of September 30, 2023, the portfolio had net unrealized depreciation of $25.7 million. Our overall portfolio consisted of 131 companies with an average investment size of $8.1 million, had a weighted average yield on debt investments of 12.6%.</w:t>
      </w:r>
    </w:p>
    <w:p>
      <w:pPr>
        <w:spacing w:after="0" w:line="18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For the three months ended March 31, 2024, we invested $338.3 million in 11 new and 48 existing portfolio companies at a weighted average yield on debt investments of 11.6%. For the three months ended March 31, 2024, sales and repayments of investments totaled $144.9 million, including $77.2 million of sales to PSSL. For the six months ended March 31, 2024, we invested $640.9 million in 24 new and 64 existing portfolio companies at a weighted average yield on debt investments of 11.8%. For the six months ended March 31, 2024, sales and repayments of investments totaled $248.7 million, including $139.9 million of sales to PSSL.</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PennantPark Senior Secured Loan Fund I LLC</w:t>
      </w:r>
    </w:p>
    <w:p>
      <w:pPr>
        <w:spacing w:after="0" w:line="21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As of March 31, 2024, PSSL’s portfolio totaled $869.7 million and consisted of 106 companies with an average investment size of $8.2 million and at a weighted average yield on debt investments of 12.0%. As of September 30, 2023, PSSL’s portfolio totaled $785.9 million, consisted of 105 companies with an average investment size of $7.5 million and at a weighted average yield on debt investments of 12.1%.</w:t>
      </w:r>
    </w:p>
    <w:p>
      <w:pPr>
        <w:spacing w:after="0" w:line="18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For the three months ended March 31, 2024, PSSL invested $80.1 million (including $77.2 million purchased from the Company) in six new and four existing portfolio companies at a weighted average yield on debt investments of 11.6%. Sales and repayments of investments for the three months ended March 31, 2024 totaled $49.5 million. For the six months ended March 31, 2024, PSSL invested $155.9 million (including $139.9 million purchased from the Company) in 10 new and 11 existing portfolio companies at a weighted average yield on debt investments of 11.9%. Sales and repayments of investments for the six months ended March 31, 2024 totaled $77.2 million.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RESULTS OF OPERATIONS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Set forth below are the results of operations for the three and six months ended March 31, 2024 and 2023.</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Investment Income</w:t>
      </w:r>
    </w:p>
    <w:p>
      <w:pPr>
        <w:spacing w:after="0" w:line="21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For the three and six months ended March 31, 2024, investment income was $44.4 million and $82.3 million, respectively, which was attributable to $39.0 million and $72.2 million from first lien secured debt and $5.4 million and $10.1 million from other investments, respectively. For the three and six months ended March 31, 2023, investment income was $34.6 million and $65.9 million, respectively, which was attributable to $30.6 million and $58.2 million from first lien secured debt and $4.0 million and $7.7 million from other investments. The increase in investment income was primarily due to the increase in the size and cost yield of our debt portfolio.</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Expenses</w:t>
      </w:r>
    </w:p>
    <w:p>
      <w:pPr>
        <w:spacing w:after="0" w:line="21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For the three and six months ended March 31, 2024, expenses totaled $25.3 million and $43.8 million, respectively and were comprised of: $14.7 million and $23.6 million of debt related interest and expenses, $3.4 million and $6.4 million of base management fees, $4.8 million and $9.6 million of performance-based incentive fees, $1.8 million and $3.5 million of general and administrative expenses and $0.5 million and $0.7 million of taxes. For the three and six months ended March 31, 2023, expenses totaled $17.8 million and $35.4 million, respectively and were comprised of; $9.8 million and $19.6 million of debt</w:t>
      </w:r>
    </w:p>
    <w:p>
      <w:pPr>
        <w:sectPr>
          <w:pgSz w:w="11900" w:h="16838" w:orient="portrait"/>
          <w:cols w:equalWidth="0" w:num="1">
            <w:col w:w="11240"/>
          </w:cols>
          <w:pgMar w:left="320" w:top="112" w:right="339" w:bottom="0" w:gutter="0" w:footer="0" w:header="0"/>
        </w:sectPr>
      </w:pPr>
    </w:p>
    <w:bookmarkStart w:id="5" w:name="page6"/>
    <w:bookmarkEnd w:id="5"/>
    <w:p>
      <w:pPr>
        <w:jc w:val="both"/>
        <w:spacing w:after="0"/>
        <w:rPr>
          <w:sz w:val="20"/>
          <w:szCs w:val="20"/>
          <w:color w:val="auto"/>
        </w:rPr>
      </w:pPr>
      <w:r>
        <w:rPr>
          <w:rFonts w:ascii="Times New Roman" w:cs="Times New Roman" w:eastAsia="Times New Roman" w:hAnsi="Times New Roman"/>
          <w:sz w:val="22"/>
          <w:szCs w:val="22"/>
          <w:color w:val="auto"/>
        </w:rPr>
        <w:t>related interest and expenses, $2.9 million and $5.8 million of base management fee, $4.2 million and $7.6 million of performance-based incentive fee, $0.8 million and $1.7 million of general and administrative expenses and $0.2 million and $0.7 million of taxes. The increase in expenses was primarily due to the increase in interest expense from increased borrowings and an increase in performance-based incentive fees as a result of higher pre-incentive fee net investment income.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Net Investment Income</w:t>
      </w:r>
    </w:p>
    <w:p>
      <w:pPr>
        <w:spacing w:after="0" w:line="21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For the three and six months ended March 31, 2024, net investment income totaled $19.1 million or $0.31 per share, and $38.5 million or $0.64 per share, respectively. For the three and six months ended March 31, 2023, net investment income totaled $16.7 million or $0.35 per share, and $30.5 million or $0.65 per share, respectively. The increase in net investment income was primarily due to an increase in investment income partially offset by an increase in expenses.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Net Realized Gains or Losses</w:t>
      </w:r>
    </w:p>
    <w:p>
      <w:pPr>
        <w:spacing w:after="0" w:line="21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For the three and six months ended March 31, 2024, net realized gains (losses) totaled $4.0 million and $0.9 million, respectively. For the three and six months ended March 31, 2023, net realized gains (losses) totaled $(7.5) million and $(7.5) million, respectively. The change in net realized gains (losses) was primarily due to changes in the market conditions of our investments and the values at which they were realized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Unrealized Appreciation or Depreciation on Investments and Debt</w:t>
      </w:r>
    </w:p>
    <w:p>
      <w:pPr>
        <w:spacing w:after="0" w:line="21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For the three and six months ended March 31, 2024, we reported net change in unrealized appreciation (depreciation) on investments of $7.7 million and $13.9 million, respectively. For the three and six months ended March 31, 2023, we reported net change in unrealized appreciation (depreciation) on investments of $(4.2) million and $(20.9) million, respectively. As of March 31, 2024 and September 30, 2023, our net unrealized appreciation (depreciation) on investments totaled $(11.8) million and $(25.7) million, respectively. The net change in unrealized appreciation (depreciation) on our investments was primarily due to the operating performance of the portfolio companies within our portfolio and changes in the capital market conditions of our investments.</w:t>
      </w:r>
    </w:p>
    <w:p>
      <w:pPr>
        <w:spacing w:after="0" w:line="18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For the three and six months ended March 31, 2024, our Credit Facility had a net change in unrealized appreciation (depreciation) of less than $0.1 million and less than $(0.1) million, respectively. For the three and six months ended March 31, 2023, our Credit Facility and the 2023 Notes had a net change in unrealized appreciation (depreciation) of $1.2 million and $(0.9) million, respectively. As of March 31, 2024 and September 30, 2023, the net unrealized appreciation (depreciation) on the Credit Facility and the 2023 Notes totaled less than $0.1 million and zero, respectively. The net change in net unrealized appreciation or (depreciation) was primarily due to changes in the capital markets.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Net Change in Net Assets Resulting from Operations</w:t>
      </w:r>
    </w:p>
    <w:p>
      <w:pPr>
        <w:spacing w:after="0" w:line="21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For the three and six months ended March 31, 2024, net increase (decrease) in net assets resulting from operations totaled $31.1 million or $0.51 per share and $53.6 million, or $0.89 per share, respectively. For the three and six months ended March 31, 2023, net increase (decrease) in net assets resulting from operations totaled $7.2 million or $0.15 per share and $5.6 million, or $0.12 per share, respectively. The net increase (decrease) from operations was primarily due to operating performance of our portfolio and changes in capital market conditions of our investments along with changes in size and cost yield of our debt portfolio and costs of financing.</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LIQUIDITY AND CAPITAL RESOURCES</w:t>
      </w:r>
    </w:p>
    <w:p>
      <w:pPr>
        <w:spacing w:after="0" w:line="21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Our liquidity and capital resources are derived primarily from cash flows from operations, including income earned, proceeds from investment sales and repayments, and proceeds of securities offerings and debt financings. Our primary use of funds from operations includes investments in portfolio companies and payments of fees and other operating expenses we incur. We have used, and expect to continue to use, our debt capital, proceeds from our portfolio and proceeds from public and private offerings of securities to finance our investment objectives and operations.</w:t>
      </w:r>
    </w:p>
    <w:p>
      <w:pPr>
        <w:spacing w:after="0" w:line="17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As of March 31, 2024 and September 30, 2023, we had $168.9 million and $9.4 million in outstanding borrowings under the Credit Facility, respectively, and the weighted average interest rate was 7.7% and 7.7%, respectively. As of March 31, 2024 and September 30, 2023, we had $217.1 million and $376.6 million of unused borrowing capacity under the Credit Facility, as applicable, respectively, subject to leverage and borrowing base restrictions.</w:t>
      </w:r>
    </w:p>
    <w:p>
      <w:pPr>
        <w:spacing w:after="0" w:line="18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As of March 31, 2024 and September 30, 2023, we had cash equivalents of $125.3 million and $100.6 million, respectively, available for investing and general corporate purposes. We believe our liquidity and capital resources are sufficient to allow us to efficiently operate the business.</w:t>
      </w:r>
    </w:p>
    <w:p>
      <w:pPr>
        <w:spacing w:after="0" w:line="17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For the six months ended March 31, 2024, our operating activities used cash of $354.5 million and our financing activities provided cash of $379.2 million. Our operating activities used cash primarily due to our investment activities and our financing activities provided cash primarily due to borrowings under our Credit Facility and proceeds from the 2036 Asset-Backed Debt partially offset by the repayment of the 2023 Notes.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For the six months ended March 31, 2023, our operating activities provided cash of $15.3 million and our financing activities used cash of $16.2 million. Our operating activities provided cash primarily realized from our investment activities and our</w:t>
      </w:r>
    </w:p>
    <w:p>
      <w:pPr>
        <w:sectPr>
          <w:pgSz w:w="11900" w:h="16838" w:orient="portrait"/>
          <w:cols w:equalWidth="0" w:num="1">
            <w:col w:w="11240"/>
          </w:cols>
          <w:pgMar w:left="320" w:top="111" w:right="339" w:bottom="0" w:gutter="0" w:footer="0" w:header="0"/>
        </w:sectPr>
      </w:pPr>
    </w:p>
    <w:bookmarkStart w:id="6" w:name="page7"/>
    <w:bookmarkEnd w:id="6"/>
    <w:p>
      <w:pPr>
        <w:jc w:val="both"/>
        <w:spacing w:after="0" w:line="259" w:lineRule="auto"/>
        <w:rPr>
          <w:sz w:val="20"/>
          <w:szCs w:val="20"/>
          <w:color w:val="auto"/>
        </w:rPr>
      </w:pPr>
      <w:r>
        <w:rPr>
          <w:rFonts w:ascii="Times New Roman" w:cs="Times New Roman" w:eastAsia="Times New Roman" w:hAnsi="Times New Roman"/>
          <w:sz w:val="22"/>
          <w:szCs w:val="22"/>
          <w:color w:val="auto"/>
        </w:rPr>
        <w:t>financing activities used cash primarily due to repayments under our Credit Facility and principal repayment of our 2023 Notes partially offset by proceeds from our equity offering.</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DISTRIBUTIONS</w:t>
      </w:r>
    </w:p>
    <w:p>
      <w:pPr>
        <w:spacing w:after="0" w:line="21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During the three and six months ended March 31, 2024, we declared distributions of $0.3075 and $0.615 per share for total distributions of $18.8 million and $36.9 million, respectively. During the three and six months ended March 31, 2023, we declared distributions of $0.29 and $0.575 per share for total distributions of $14.0 million and $26.9 million, respectively. We monitor available net investment income to determine if a return of capital for tax purposes may occur for the fiscal year. To the extent our taxable earnings fall below the total amount of our distributions for any given fiscal year, stockholders will be notified of the portion of those distributions deemed to be a tax return of capital. Tax characteristics of all distributions will be reported to stockholders subject to information reporting on Form 1099-DIV after the end of each calendar year and in our periodic reports filed with the SEC.</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RECENT DEVELOPMENT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On April 9, 2024, Our Credit Facility's size was increased by $50.0 million resulting in total commitment of $436.0 million.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AVAILABLE INFORMATION</w:t>
      </w:r>
    </w:p>
    <w:p>
      <w:pPr>
        <w:spacing w:after="0" w:line="210"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 xml:space="preserve">The Company makes available on its website its Quarterly Report on Form 10-Q filed with the SEC, and stockholders may find such report on its website at </w:t>
      </w:r>
      <w:r>
        <w:rPr>
          <w:rFonts w:ascii="Times New Roman" w:cs="Times New Roman" w:eastAsia="Times New Roman" w:hAnsi="Times New Roman"/>
          <w:sz w:val="22"/>
          <w:szCs w:val="22"/>
          <w:u w:val="single" w:color="auto"/>
          <w:color w:val="auto"/>
        </w:rPr>
        <w:t>www.pennantpark.com</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00"/>
        <w:spacing w:after="0" w:line="239" w:lineRule="auto"/>
        <w:rPr>
          <w:sz w:val="20"/>
          <w:szCs w:val="20"/>
          <w:color w:val="auto"/>
        </w:rPr>
      </w:pPr>
      <w:r>
        <w:rPr>
          <w:rFonts w:ascii="Times New Roman" w:cs="Times New Roman" w:eastAsia="Times New Roman" w:hAnsi="Times New Roman"/>
          <w:sz w:val="22"/>
          <w:szCs w:val="22"/>
          <w:b w:val="1"/>
          <w:bCs w:val="1"/>
          <w:color w:val="auto"/>
        </w:rPr>
        <w:t>PENNANTPARK FLOATING RATE CAPITAL LTD. AND SUBSIDIARIES CONSOLIDATED STATEMENTS OF ASSETS AND LIABILITIES (in thousands, except per share data)</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86"/>
        </w:trPr>
        <w:tc>
          <w:tcPr>
            <w:tcW w:w="8060" w:type="dxa"/>
            <w:vAlign w:val="bottom"/>
          </w:tcPr>
          <w:p>
            <w:pPr>
              <w:ind w:left="4920"/>
              <w:spacing w:after="0"/>
              <w:rPr>
                <w:sz w:val="20"/>
                <w:szCs w:val="20"/>
                <w:color w:val="auto"/>
              </w:rPr>
            </w:pPr>
            <w:r>
              <w:rPr>
                <w:rFonts w:ascii="Times New Roman" w:cs="Times New Roman" w:eastAsia="Times New Roman" w:hAnsi="Times New Roman"/>
                <w:sz w:val="22"/>
                <w:szCs w:val="22"/>
                <w:b w:val="1"/>
                <w:bCs w:val="1"/>
                <w:color w:val="auto"/>
              </w:rPr>
              <w:t>(Unaudited)</w:t>
            </w: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2"/>
        </w:trPr>
        <w:tc>
          <w:tcPr>
            <w:tcW w:w="8060" w:type="dxa"/>
            <w:vAlign w:val="bottom"/>
          </w:tcPr>
          <w:p>
            <w:pPr>
              <w:spacing w:after="0"/>
              <w:rPr>
                <w:sz w:val="24"/>
                <w:szCs w:val="24"/>
                <w:color w:val="auto"/>
              </w:rPr>
            </w:pPr>
          </w:p>
        </w:tc>
        <w:tc>
          <w:tcPr>
            <w:tcW w:w="1460" w:type="dxa"/>
            <w:vAlign w:val="bottom"/>
            <w:gridSpan w:val="2"/>
          </w:tcPr>
          <w:p>
            <w:pPr>
              <w:ind w:left="160"/>
              <w:spacing w:after="0"/>
              <w:rPr>
                <w:sz w:val="20"/>
                <w:szCs w:val="20"/>
                <w:color w:val="auto"/>
              </w:rPr>
            </w:pPr>
            <w:r>
              <w:rPr>
                <w:rFonts w:ascii="Times New Roman" w:cs="Times New Roman" w:eastAsia="Times New Roman" w:hAnsi="Times New Roman"/>
                <w:sz w:val="22"/>
                <w:szCs w:val="22"/>
                <w:b w:val="1"/>
                <w:bCs w:val="1"/>
                <w:color w:val="auto"/>
              </w:rPr>
              <w:t>March 31,</w:t>
            </w:r>
          </w:p>
        </w:tc>
        <w:tc>
          <w:tcPr>
            <w:tcW w:w="120" w:type="dxa"/>
            <w:vAlign w:val="bottom"/>
          </w:tcPr>
          <w:p>
            <w:pPr>
              <w:spacing w:after="0"/>
              <w:rPr>
                <w:sz w:val="24"/>
                <w:szCs w:val="24"/>
                <w:color w:val="auto"/>
              </w:rPr>
            </w:pPr>
          </w:p>
        </w:tc>
        <w:tc>
          <w:tcPr>
            <w:tcW w:w="1480" w:type="dxa"/>
            <w:vAlign w:val="bottom"/>
          </w:tcPr>
          <w:p>
            <w:pPr>
              <w:jc w:val="right"/>
              <w:ind w:right="32"/>
              <w:spacing w:after="0"/>
              <w:rPr>
                <w:sz w:val="20"/>
                <w:szCs w:val="20"/>
                <w:color w:val="auto"/>
              </w:rPr>
            </w:pPr>
            <w:r>
              <w:rPr>
                <w:rFonts w:ascii="Times New Roman" w:cs="Times New Roman" w:eastAsia="Times New Roman" w:hAnsi="Times New Roman"/>
                <w:sz w:val="22"/>
                <w:szCs w:val="22"/>
                <w:b w:val="1"/>
                <w:bCs w:val="1"/>
                <w:color w:val="auto"/>
                <w:w w:val="98"/>
              </w:rPr>
              <w:t>September 30,</w:t>
            </w:r>
          </w:p>
        </w:tc>
        <w:tc>
          <w:tcPr>
            <w:tcW w:w="0" w:type="dxa"/>
            <w:vAlign w:val="bottom"/>
          </w:tcPr>
          <w:p>
            <w:pPr>
              <w:spacing w:after="0"/>
              <w:rPr>
                <w:sz w:val="1"/>
                <w:szCs w:val="1"/>
                <w:color w:val="auto"/>
              </w:rPr>
            </w:pPr>
          </w:p>
        </w:tc>
      </w:tr>
      <w:tr>
        <w:trPr>
          <w:trHeight w:val="287"/>
        </w:trPr>
        <w:tc>
          <w:tcPr>
            <w:tcW w:w="8060" w:type="dxa"/>
            <w:vAlign w:val="bottom"/>
            <w:vMerge w:val="restart"/>
          </w:tcPr>
          <w:p>
            <w:pPr>
              <w:spacing w:after="0"/>
              <w:rPr>
                <w:sz w:val="20"/>
                <w:szCs w:val="20"/>
                <w:color w:val="auto"/>
              </w:rPr>
            </w:pPr>
            <w:r>
              <w:rPr>
                <w:rFonts w:ascii="Times New Roman" w:cs="Times New Roman" w:eastAsia="Times New Roman" w:hAnsi="Times New Roman"/>
                <w:sz w:val="22"/>
                <w:szCs w:val="22"/>
                <w:b w:val="1"/>
                <w:bCs w:val="1"/>
                <w:color w:val="auto"/>
              </w:rPr>
              <w:t>Assets</w:t>
            </w:r>
          </w:p>
        </w:tc>
        <w:tc>
          <w:tcPr>
            <w:tcW w:w="126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22"/>
                <w:szCs w:val="22"/>
                <w:b w:val="1"/>
                <w:bCs w:val="1"/>
                <w:color w:val="auto"/>
              </w:rPr>
              <w:t>2024</w:t>
            </w:r>
          </w:p>
        </w:tc>
        <w:tc>
          <w:tcPr>
            <w:tcW w:w="2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22"/>
                <w:szCs w:val="22"/>
                <w:b w:val="1"/>
                <w:bCs w:val="1"/>
                <w:color w:val="auto"/>
              </w:rPr>
              <w:t>2023</w:t>
            </w:r>
          </w:p>
        </w:tc>
        <w:tc>
          <w:tcPr>
            <w:tcW w:w="0" w:type="dxa"/>
            <w:vAlign w:val="bottom"/>
          </w:tcPr>
          <w:p>
            <w:pPr>
              <w:spacing w:after="0"/>
              <w:rPr>
                <w:sz w:val="1"/>
                <w:szCs w:val="1"/>
                <w:color w:val="auto"/>
              </w:rPr>
            </w:pPr>
          </w:p>
        </w:tc>
      </w:tr>
      <w:tr>
        <w:trPr>
          <w:trHeight w:val="249"/>
        </w:trPr>
        <w:tc>
          <w:tcPr>
            <w:tcW w:w="8060" w:type="dxa"/>
            <w:vAlign w:val="bottom"/>
            <w:vMerge w:val="continue"/>
          </w:tcPr>
          <w:p>
            <w:pPr>
              <w:spacing w:after="0"/>
              <w:rPr>
                <w:sz w:val="21"/>
                <w:szCs w:val="21"/>
                <w:color w:val="auto"/>
              </w:rPr>
            </w:pPr>
          </w:p>
        </w:tc>
        <w:tc>
          <w:tcPr>
            <w:tcW w:w="1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8060" w:type="dxa"/>
            <w:vAlign w:val="bottom"/>
          </w:tcPr>
          <w:p>
            <w:pPr>
              <w:spacing w:after="0"/>
              <w:rPr>
                <w:sz w:val="20"/>
                <w:szCs w:val="20"/>
                <w:color w:val="auto"/>
              </w:rPr>
            </w:pPr>
            <w:r>
              <w:rPr>
                <w:rFonts w:ascii="Times New Roman" w:cs="Times New Roman" w:eastAsia="Times New Roman" w:hAnsi="Times New Roman"/>
                <w:sz w:val="22"/>
                <w:szCs w:val="22"/>
                <w:color w:val="auto"/>
              </w:rPr>
              <w:t>Investments at fair value</w:t>
            </w:r>
          </w:p>
        </w:tc>
        <w:tc>
          <w:tcPr>
            <w:tcW w:w="1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80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Non-controlled, non-affiliated investments (amortized cost— $1,164,243 and $768,240,</w:t>
            </w:r>
          </w:p>
        </w:tc>
        <w:tc>
          <w:tcPr>
            <w:tcW w:w="1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0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respectively)</w:t>
            </w: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   1,176,680</w:t>
            </w:r>
          </w:p>
        </w:tc>
        <w:tc>
          <w:tcPr>
            <w:tcW w:w="2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772,178</w:t>
            </w:r>
          </w:p>
        </w:tc>
        <w:tc>
          <w:tcPr>
            <w:tcW w:w="0" w:type="dxa"/>
            <w:vAlign w:val="bottom"/>
          </w:tcPr>
          <w:p>
            <w:pPr>
              <w:spacing w:after="0"/>
              <w:rPr>
                <w:sz w:val="1"/>
                <w:szCs w:val="1"/>
                <w:color w:val="auto"/>
              </w:rPr>
            </w:pPr>
          </w:p>
        </w:tc>
      </w:tr>
      <w:tr>
        <w:trPr>
          <w:trHeight w:val="243"/>
        </w:trPr>
        <w:tc>
          <w:tcPr>
            <w:tcW w:w="80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Controlled, affiliated investments (amortized cost— $325,436 and $324,639,</w:t>
            </w:r>
          </w:p>
        </w:tc>
        <w:tc>
          <w:tcPr>
            <w:tcW w:w="1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80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respectively)</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301,203</w:t>
            </w:r>
          </w:p>
        </w:tc>
        <w:tc>
          <w:tcPr>
            <w:tcW w:w="2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294,996</w:t>
            </w:r>
          </w:p>
        </w:tc>
        <w:tc>
          <w:tcPr>
            <w:tcW w:w="0" w:type="dxa"/>
            <w:vAlign w:val="bottom"/>
          </w:tcPr>
          <w:p>
            <w:pPr>
              <w:spacing w:after="0"/>
              <w:rPr>
                <w:sz w:val="1"/>
                <w:szCs w:val="1"/>
                <w:color w:val="auto"/>
              </w:rPr>
            </w:pPr>
          </w:p>
        </w:tc>
      </w:tr>
      <w:tr>
        <w:trPr>
          <w:trHeight w:val="251"/>
        </w:trPr>
        <w:tc>
          <w:tcPr>
            <w:tcW w:w="8060" w:type="dxa"/>
            <w:vAlign w:val="bottom"/>
          </w:tcPr>
          <w:p>
            <w:pPr>
              <w:spacing w:after="0" w:line="251" w:lineRule="exact"/>
              <w:rPr>
                <w:sz w:val="20"/>
                <w:szCs w:val="20"/>
                <w:color w:val="auto"/>
              </w:rPr>
            </w:pPr>
            <w:r>
              <w:rPr>
                <w:rFonts w:ascii="Times New Roman" w:cs="Times New Roman" w:eastAsia="Times New Roman" w:hAnsi="Times New Roman"/>
                <w:sz w:val="22"/>
                <w:szCs w:val="22"/>
                <w:color w:val="auto"/>
              </w:rPr>
              <w:t>Total investments (amortized cost— $1,489,679 and $1,092,878, respectively)</w:t>
            </w:r>
          </w:p>
        </w:tc>
        <w:tc>
          <w:tcPr>
            <w:tcW w:w="126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1,477,883</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1,067,174</w:t>
            </w:r>
          </w:p>
        </w:tc>
        <w:tc>
          <w:tcPr>
            <w:tcW w:w="0" w:type="dxa"/>
            <w:vAlign w:val="bottom"/>
          </w:tcPr>
          <w:p>
            <w:pPr>
              <w:spacing w:after="0"/>
              <w:rPr>
                <w:sz w:val="1"/>
                <w:szCs w:val="1"/>
                <w:color w:val="auto"/>
              </w:rPr>
            </w:pPr>
          </w:p>
        </w:tc>
      </w:tr>
      <w:tr>
        <w:trPr>
          <w:trHeight w:val="270"/>
        </w:trPr>
        <w:tc>
          <w:tcPr>
            <w:tcW w:w="8060" w:type="dxa"/>
            <w:vAlign w:val="bottom"/>
          </w:tcPr>
          <w:p>
            <w:pPr>
              <w:spacing w:after="0"/>
              <w:rPr>
                <w:sz w:val="20"/>
                <w:szCs w:val="20"/>
                <w:color w:val="auto"/>
              </w:rPr>
            </w:pPr>
            <w:r>
              <w:rPr>
                <w:rFonts w:ascii="Times New Roman" w:cs="Times New Roman" w:eastAsia="Times New Roman" w:hAnsi="Times New Roman"/>
                <w:sz w:val="22"/>
                <w:szCs w:val="22"/>
                <w:color w:val="auto"/>
              </w:rPr>
              <w:t>Cash and cash equivalents (cost— $125,246 and $100,555, respectively)</w:t>
            </w: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125,252</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100,555</w:t>
            </w:r>
          </w:p>
        </w:tc>
        <w:tc>
          <w:tcPr>
            <w:tcW w:w="0" w:type="dxa"/>
            <w:vAlign w:val="bottom"/>
          </w:tcPr>
          <w:p>
            <w:pPr>
              <w:spacing w:after="0"/>
              <w:rPr>
                <w:sz w:val="1"/>
                <w:szCs w:val="1"/>
                <w:color w:val="auto"/>
              </w:rPr>
            </w:pPr>
          </w:p>
        </w:tc>
      </w:tr>
      <w:tr>
        <w:trPr>
          <w:trHeight w:val="270"/>
        </w:trPr>
        <w:tc>
          <w:tcPr>
            <w:tcW w:w="8060" w:type="dxa"/>
            <w:vAlign w:val="bottom"/>
          </w:tcPr>
          <w:p>
            <w:pPr>
              <w:spacing w:after="0"/>
              <w:rPr>
                <w:sz w:val="20"/>
                <w:szCs w:val="20"/>
                <w:color w:val="auto"/>
              </w:rPr>
            </w:pPr>
            <w:r>
              <w:rPr>
                <w:rFonts w:ascii="Times New Roman" w:cs="Times New Roman" w:eastAsia="Times New Roman" w:hAnsi="Times New Roman"/>
                <w:sz w:val="22"/>
                <w:szCs w:val="22"/>
                <w:color w:val="auto"/>
              </w:rPr>
              <w:t>Interest receivable</w:t>
            </w: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11,888</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10,423</w:t>
            </w:r>
          </w:p>
        </w:tc>
        <w:tc>
          <w:tcPr>
            <w:tcW w:w="0" w:type="dxa"/>
            <w:vAlign w:val="bottom"/>
          </w:tcPr>
          <w:p>
            <w:pPr>
              <w:spacing w:after="0"/>
              <w:rPr>
                <w:sz w:val="1"/>
                <w:szCs w:val="1"/>
                <w:color w:val="auto"/>
              </w:rPr>
            </w:pPr>
          </w:p>
        </w:tc>
      </w:tr>
      <w:tr>
        <w:trPr>
          <w:trHeight w:val="270"/>
        </w:trPr>
        <w:tc>
          <w:tcPr>
            <w:tcW w:w="8060" w:type="dxa"/>
            <w:vAlign w:val="bottom"/>
          </w:tcPr>
          <w:p>
            <w:pPr>
              <w:spacing w:after="0"/>
              <w:rPr>
                <w:sz w:val="20"/>
                <w:szCs w:val="20"/>
                <w:color w:val="auto"/>
              </w:rPr>
            </w:pPr>
            <w:r>
              <w:rPr>
                <w:rFonts w:ascii="Times New Roman" w:cs="Times New Roman" w:eastAsia="Times New Roman" w:hAnsi="Times New Roman"/>
                <w:sz w:val="22"/>
                <w:szCs w:val="22"/>
                <w:color w:val="auto"/>
              </w:rPr>
              <w:t>Distributions receivable</w:t>
            </w: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577</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565</w:t>
            </w:r>
          </w:p>
        </w:tc>
        <w:tc>
          <w:tcPr>
            <w:tcW w:w="0" w:type="dxa"/>
            <w:vAlign w:val="bottom"/>
          </w:tcPr>
          <w:p>
            <w:pPr>
              <w:spacing w:after="0"/>
              <w:rPr>
                <w:sz w:val="1"/>
                <w:szCs w:val="1"/>
                <w:color w:val="auto"/>
              </w:rPr>
            </w:pPr>
          </w:p>
        </w:tc>
      </w:tr>
      <w:tr>
        <w:trPr>
          <w:trHeight w:val="270"/>
        </w:trPr>
        <w:tc>
          <w:tcPr>
            <w:tcW w:w="8060" w:type="dxa"/>
            <w:vAlign w:val="bottom"/>
          </w:tcPr>
          <w:p>
            <w:pPr>
              <w:spacing w:after="0"/>
              <w:rPr>
                <w:sz w:val="20"/>
                <w:szCs w:val="20"/>
                <w:color w:val="auto"/>
              </w:rPr>
            </w:pPr>
            <w:r>
              <w:rPr>
                <w:rFonts w:ascii="Times New Roman" w:cs="Times New Roman" w:eastAsia="Times New Roman" w:hAnsi="Times New Roman"/>
                <w:sz w:val="22"/>
                <w:szCs w:val="22"/>
                <w:color w:val="auto"/>
              </w:rPr>
              <w:t>Due from affiliate</w:t>
            </w: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240</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82"/>
        </w:trPr>
        <w:tc>
          <w:tcPr>
            <w:tcW w:w="8060" w:type="dxa"/>
            <w:vAlign w:val="bottom"/>
          </w:tcPr>
          <w:p>
            <w:pPr>
              <w:spacing w:after="0"/>
              <w:rPr>
                <w:sz w:val="20"/>
                <w:szCs w:val="20"/>
                <w:color w:val="auto"/>
              </w:rPr>
            </w:pPr>
            <w:r>
              <w:rPr>
                <w:rFonts w:ascii="Times New Roman" w:cs="Times New Roman" w:eastAsia="Times New Roman" w:hAnsi="Times New Roman"/>
                <w:sz w:val="22"/>
                <w:szCs w:val="22"/>
                <w:color w:val="auto"/>
              </w:rPr>
              <w:t>Prepaid expenses and other assets</w:t>
            </w: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22"/>
                <w:szCs w:val="22"/>
                <w:color w:val="auto"/>
              </w:rPr>
              <w:t>—</w:t>
            </w:r>
          </w:p>
        </w:tc>
        <w:tc>
          <w:tcPr>
            <w:tcW w:w="12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894</w:t>
            </w:r>
          </w:p>
        </w:tc>
        <w:tc>
          <w:tcPr>
            <w:tcW w:w="0" w:type="dxa"/>
            <w:vAlign w:val="bottom"/>
          </w:tcPr>
          <w:p>
            <w:pPr>
              <w:spacing w:after="0"/>
              <w:rPr>
                <w:sz w:val="1"/>
                <w:szCs w:val="1"/>
                <w:color w:val="auto"/>
              </w:rPr>
            </w:pPr>
          </w:p>
        </w:tc>
      </w:tr>
      <w:tr>
        <w:trPr>
          <w:trHeight w:val="265"/>
        </w:trPr>
        <w:tc>
          <w:tcPr>
            <w:tcW w:w="80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Total assets</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1,615,840</w:t>
            </w:r>
          </w:p>
        </w:tc>
        <w:tc>
          <w:tcPr>
            <w:tcW w:w="200" w:type="dxa"/>
            <w:vAlign w:val="bottom"/>
          </w:tcPr>
          <w:p>
            <w:pPr>
              <w:spacing w:after="0"/>
              <w:rPr>
                <w:sz w:val="23"/>
                <w:szCs w:val="23"/>
                <w:color w:val="auto"/>
              </w:rPr>
            </w:pPr>
          </w:p>
        </w:tc>
        <w:tc>
          <w:tcPr>
            <w:tcW w:w="120" w:type="dxa"/>
            <w:vAlign w:val="bottom"/>
            <w:tcBorders>
              <w:top w:val="single" w:sz="8" w:color="auto"/>
              <w:bottom w:val="single" w:sz="8" w:color="auto"/>
            </w:tcBorders>
          </w:tcPr>
          <w:p>
            <w:pPr>
              <w:spacing w:after="0"/>
              <w:rPr>
                <w:sz w:val="23"/>
                <w:szCs w:val="23"/>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1,179,611</w:t>
            </w:r>
          </w:p>
        </w:tc>
        <w:tc>
          <w:tcPr>
            <w:tcW w:w="0" w:type="dxa"/>
            <w:vAlign w:val="bottom"/>
          </w:tcPr>
          <w:p>
            <w:pPr>
              <w:spacing w:after="0"/>
              <w:rPr>
                <w:sz w:val="1"/>
                <w:szCs w:val="1"/>
                <w:color w:val="auto"/>
              </w:rPr>
            </w:pPr>
          </w:p>
        </w:tc>
      </w:tr>
      <w:tr>
        <w:trPr>
          <w:trHeight w:val="250"/>
        </w:trPr>
        <w:tc>
          <w:tcPr>
            <w:tcW w:w="8060" w:type="dxa"/>
            <w:vAlign w:val="bottom"/>
          </w:tcPr>
          <w:p>
            <w:pPr>
              <w:spacing w:after="0" w:line="249" w:lineRule="exact"/>
              <w:rPr>
                <w:sz w:val="20"/>
                <w:szCs w:val="20"/>
                <w:color w:val="auto"/>
              </w:rPr>
            </w:pPr>
            <w:r>
              <w:rPr>
                <w:rFonts w:ascii="Times New Roman" w:cs="Times New Roman" w:eastAsia="Times New Roman" w:hAnsi="Times New Roman"/>
                <w:sz w:val="22"/>
                <w:szCs w:val="22"/>
                <w:b w:val="1"/>
                <w:bCs w:val="1"/>
                <w:color w:val="auto"/>
              </w:rPr>
              <w:t>Liabilities</w:t>
            </w:r>
          </w:p>
        </w:tc>
        <w:tc>
          <w:tcPr>
            <w:tcW w:w="1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060" w:type="dxa"/>
            <w:vAlign w:val="bottom"/>
          </w:tcPr>
          <w:p>
            <w:pPr>
              <w:spacing w:after="0"/>
              <w:rPr>
                <w:sz w:val="20"/>
                <w:szCs w:val="20"/>
                <w:color w:val="auto"/>
              </w:rPr>
            </w:pPr>
            <w:r>
              <w:rPr>
                <w:rFonts w:ascii="Times New Roman" w:cs="Times New Roman" w:eastAsia="Times New Roman" w:hAnsi="Times New Roman"/>
                <w:sz w:val="22"/>
                <w:szCs w:val="22"/>
                <w:color w:val="auto"/>
              </w:rPr>
              <w:t>Credit Facility payable, at fair value (cost— $168,855 and $9,400, respectively)</w:t>
            </w: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168,878</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9,400</w:t>
            </w:r>
          </w:p>
        </w:tc>
        <w:tc>
          <w:tcPr>
            <w:tcW w:w="0" w:type="dxa"/>
            <w:vAlign w:val="bottom"/>
          </w:tcPr>
          <w:p>
            <w:pPr>
              <w:spacing w:after="0"/>
              <w:rPr>
                <w:sz w:val="1"/>
                <w:szCs w:val="1"/>
                <w:color w:val="auto"/>
              </w:rPr>
            </w:pPr>
          </w:p>
        </w:tc>
      </w:tr>
      <w:tr>
        <w:trPr>
          <w:trHeight w:val="270"/>
        </w:trPr>
        <w:tc>
          <w:tcPr>
            <w:tcW w:w="8060" w:type="dxa"/>
            <w:vAlign w:val="bottom"/>
          </w:tcPr>
          <w:p>
            <w:pPr>
              <w:spacing w:after="0"/>
              <w:rPr>
                <w:sz w:val="20"/>
                <w:szCs w:val="20"/>
                <w:color w:val="auto"/>
              </w:rPr>
            </w:pPr>
            <w:r>
              <w:rPr>
                <w:rFonts w:ascii="Times New Roman" w:cs="Times New Roman" w:eastAsia="Times New Roman" w:hAnsi="Times New Roman"/>
                <w:sz w:val="22"/>
                <w:szCs w:val="22"/>
                <w:color w:val="auto"/>
              </w:rPr>
              <w:t>2036 Asset-Backed Debt, net (par—$287,000)</w:t>
            </w: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283,816</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70"/>
        </w:trPr>
        <w:tc>
          <w:tcPr>
            <w:tcW w:w="8060" w:type="dxa"/>
            <w:vAlign w:val="bottom"/>
          </w:tcPr>
          <w:p>
            <w:pPr>
              <w:spacing w:after="0"/>
              <w:rPr>
                <w:sz w:val="20"/>
                <w:szCs w:val="20"/>
                <w:color w:val="auto"/>
              </w:rPr>
            </w:pPr>
            <w:r>
              <w:rPr>
                <w:rFonts w:ascii="Times New Roman" w:cs="Times New Roman" w:eastAsia="Times New Roman" w:hAnsi="Times New Roman"/>
                <w:sz w:val="22"/>
                <w:szCs w:val="22"/>
                <w:color w:val="auto"/>
              </w:rPr>
              <w:t>2031 Asset-Backed Debt, net (par—$226,259 and $228,000, respectively)</w:t>
            </w: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225,333</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226,759</w:t>
            </w:r>
          </w:p>
        </w:tc>
        <w:tc>
          <w:tcPr>
            <w:tcW w:w="0" w:type="dxa"/>
            <w:vAlign w:val="bottom"/>
          </w:tcPr>
          <w:p>
            <w:pPr>
              <w:spacing w:after="0"/>
              <w:rPr>
                <w:sz w:val="1"/>
                <w:szCs w:val="1"/>
                <w:color w:val="auto"/>
              </w:rPr>
            </w:pPr>
          </w:p>
        </w:tc>
      </w:tr>
      <w:tr>
        <w:trPr>
          <w:trHeight w:val="270"/>
        </w:trPr>
        <w:tc>
          <w:tcPr>
            <w:tcW w:w="8060" w:type="dxa"/>
            <w:vAlign w:val="bottom"/>
          </w:tcPr>
          <w:p>
            <w:pPr>
              <w:spacing w:after="0"/>
              <w:rPr>
                <w:sz w:val="20"/>
                <w:szCs w:val="20"/>
                <w:color w:val="auto"/>
              </w:rPr>
            </w:pPr>
            <w:r>
              <w:rPr>
                <w:rFonts w:ascii="Times New Roman" w:cs="Times New Roman" w:eastAsia="Times New Roman" w:hAnsi="Times New Roman"/>
                <w:sz w:val="22"/>
                <w:szCs w:val="22"/>
                <w:color w:val="auto"/>
              </w:rPr>
              <w:t>2026 Notes payable, net (par—$185,000)</w:t>
            </w: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183,443</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183,054</w:t>
            </w:r>
          </w:p>
        </w:tc>
        <w:tc>
          <w:tcPr>
            <w:tcW w:w="0" w:type="dxa"/>
            <w:vAlign w:val="bottom"/>
          </w:tcPr>
          <w:p>
            <w:pPr>
              <w:spacing w:after="0"/>
              <w:rPr>
                <w:sz w:val="1"/>
                <w:szCs w:val="1"/>
                <w:color w:val="auto"/>
              </w:rPr>
            </w:pPr>
          </w:p>
        </w:tc>
      </w:tr>
      <w:tr>
        <w:trPr>
          <w:trHeight w:val="270"/>
        </w:trPr>
        <w:tc>
          <w:tcPr>
            <w:tcW w:w="8060" w:type="dxa"/>
            <w:vAlign w:val="bottom"/>
          </w:tcPr>
          <w:p>
            <w:pPr>
              <w:spacing w:after="0"/>
              <w:rPr>
                <w:sz w:val="20"/>
                <w:szCs w:val="20"/>
                <w:color w:val="auto"/>
              </w:rPr>
            </w:pPr>
            <w:r>
              <w:rPr>
                <w:rFonts w:ascii="Times New Roman" w:cs="Times New Roman" w:eastAsia="Times New Roman" w:hAnsi="Times New Roman"/>
                <w:sz w:val="22"/>
                <w:szCs w:val="22"/>
                <w:color w:val="auto"/>
              </w:rPr>
              <w:t>Interest payable on debt</w:t>
            </w: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11,304</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8,615</w:t>
            </w:r>
          </w:p>
        </w:tc>
        <w:tc>
          <w:tcPr>
            <w:tcW w:w="0" w:type="dxa"/>
            <w:vAlign w:val="bottom"/>
          </w:tcPr>
          <w:p>
            <w:pPr>
              <w:spacing w:after="0"/>
              <w:rPr>
                <w:sz w:val="1"/>
                <w:szCs w:val="1"/>
                <w:color w:val="auto"/>
              </w:rPr>
            </w:pPr>
          </w:p>
        </w:tc>
      </w:tr>
      <w:tr>
        <w:trPr>
          <w:trHeight w:val="270"/>
        </w:trPr>
        <w:tc>
          <w:tcPr>
            <w:tcW w:w="8060" w:type="dxa"/>
            <w:vAlign w:val="bottom"/>
          </w:tcPr>
          <w:p>
            <w:pPr>
              <w:spacing w:after="0"/>
              <w:rPr>
                <w:sz w:val="20"/>
                <w:szCs w:val="20"/>
                <w:color w:val="auto"/>
              </w:rPr>
            </w:pPr>
            <w:r>
              <w:rPr>
                <w:rFonts w:ascii="Times New Roman" w:cs="Times New Roman" w:eastAsia="Times New Roman" w:hAnsi="Times New Roman"/>
                <w:sz w:val="22"/>
                <w:szCs w:val="22"/>
                <w:color w:val="auto"/>
              </w:rPr>
              <w:t>Distributions payable</w:t>
            </w: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6,481</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6,020</w:t>
            </w:r>
          </w:p>
        </w:tc>
        <w:tc>
          <w:tcPr>
            <w:tcW w:w="0" w:type="dxa"/>
            <w:vAlign w:val="bottom"/>
          </w:tcPr>
          <w:p>
            <w:pPr>
              <w:spacing w:after="0"/>
              <w:rPr>
                <w:sz w:val="1"/>
                <w:szCs w:val="1"/>
                <w:color w:val="auto"/>
              </w:rPr>
            </w:pPr>
          </w:p>
        </w:tc>
      </w:tr>
      <w:tr>
        <w:trPr>
          <w:trHeight w:val="270"/>
        </w:trPr>
        <w:tc>
          <w:tcPr>
            <w:tcW w:w="8060" w:type="dxa"/>
            <w:vAlign w:val="bottom"/>
          </w:tcPr>
          <w:p>
            <w:pPr>
              <w:spacing w:after="0"/>
              <w:rPr>
                <w:sz w:val="20"/>
                <w:szCs w:val="20"/>
                <w:color w:val="auto"/>
              </w:rPr>
            </w:pPr>
            <w:r>
              <w:rPr>
                <w:rFonts w:ascii="Times New Roman" w:cs="Times New Roman" w:eastAsia="Times New Roman" w:hAnsi="Times New Roman"/>
                <w:sz w:val="22"/>
                <w:szCs w:val="22"/>
                <w:color w:val="auto"/>
              </w:rPr>
              <w:t>Payable for investments purchased</w:t>
            </w: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3,917</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4,905</w:t>
            </w:r>
          </w:p>
        </w:tc>
        <w:tc>
          <w:tcPr>
            <w:tcW w:w="0" w:type="dxa"/>
            <w:vAlign w:val="bottom"/>
          </w:tcPr>
          <w:p>
            <w:pPr>
              <w:spacing w:after="0"/>
              <w:rPr>
                <w:sz w:val="1"/>
                <w:szCs w:val="1"/>
                <w:color w:val="auto"/>
              </w:rPr>
            </w:pPr>
          </w:p>
        </w:tc>
      </w:tr>
      <w:tr>
        <w:trPr>
          <w:trHeight w:val="270"/>
        </w:trPr>
        <w:tc>
          <w:tcPr>
            <w:tcW w:w="8060" w:type="dxa"/>
            <w:vAlign w:val="bottom"/>
          </w:tcPr>
          <w:p>
            <w:pPr>
              <w:spacing w:after="0"/>
              <w:rPr>
                <w:sz w:val="20"/>
                <w:szCs w:val="20"/>
                <w:color w:val="auto"/>
              </w:rPr>
            </w:pPr>
            <w:r>
              <w:rPr>
                <w:rFonts w:ascii="Times New Roman" w:cs="Times New Roman" w:eastAsia="Times New Roman" w:hAnsi="Times New Roman"/>
                <w:sz w:val="22"/>
                <w:szCs w:val="22"/>
                <w:color w:val="auto"/>
              </w:rPr>
              <w:t>Incentive fee payable</w:t>
            </w: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4,767</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4,628</w:t>
            </w:r>
          </w:p>
        </w:tc>
        <w:tc>
          <w:tcPr>
            <w:tcW w:w="0" w:type="dxa"/>
            <w:vAlign w:val="bottom"/>
          </w:tcPr>
          <w:p>
            <w:pPr>
              <w:spacing w:after="0"/>
              <w:rPr>
                <w:sz w:val="1"/>
                <w:szCs w:val="1"/>
                <w:color w:val="auto"/>
              </w:rPr>
            </w:pPr>
          </w:p>
        </w:tc>
      </w:tr>
      <w:tr>
        <w:trPr>
          <w:trHeight w:val="270"/>
        </w:trPr>
        <w:tc>
          <w:tcPr>
            <w:tcW w:w="8060" w:type="dxa"/>
            <w:vAlign w:val="bottom"/>
          </w:tcPr>
          <w:p>
            <w:pPr>
              <w:spacing w:after="0"/>
              <w:rPr>
                <w:sz w:val="20"/>
                <w:szCs w:val="20"/>
                <w:color w:val="auto"/>
              </w:rPr>
            </w:pPr>
            <w:r>
              <w:rPr>
                <w:rFonts w:ascii="Times New Roman" w:cs="Times New Roman" w:eastAsia="Times New Roman" w:hAnsi="Times New Roman"/>
                <w:sz w:val="22"/>
                <w:szCs w:val="22"/>
                <w:color w:val="auto"/>
              </w:rPr>
              <w:t>Base management fee payable</w:t>
            </w: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3,424</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2,759</w:t>
            </w:r>
          </w:p>
        </w:tc>
        <w:tc>
          <w:tcPr>
            <w:tcW w:w="0" w:type="dxa"/>
            <w:vAlign w:val="bottom"/>
          </w:tcPr>
          <w:p>
            <w:pPr>
              <w:spacing w:after="0"/>
              <w:rPr>
                <w:sz w:val="1"/>
                <w:szCs w:val="1"/>
                <w:color w:val="auto"/>
              </w:rPr>
            </w:pPr>
          </w:p>
        </w:tc>
      </w:tr>
      <w:tr>
        <w:trPr>
          <w:trHeight w:val="270"/>
        </w:trPr>
        <w:tc>
          <w:tcPr>
            <w:tcW w:w="8060" w:type="dxa"/>
            <w:vAlign w:val="bottom"/>
          </w:tcPr>
          <w:p>
            <w:pPr>
              <w:spacing w:after="0"/>
              <w:rPr>
                <w:sz w:val="20"/>
                <w:szCs w:val="20"/>
                <w:color w:val="auto"/>
              </w:rPr>
            </w:pPr>
            <w:r>
              <w:rPr>
                <w:rFonts w:ascii="Times New Roman" w:cs="Times New Roman" w:eastAsia="Times New Roman" w:hAnsi="Times New Roman"/>
                <w:sz w:val="22"/>
                <w:szCs w:val="22"/>
                <w:color w:val="auto"/>
              </w:rPr>
              <w:t>Deferred tax liability</w:t>
            </w: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1,564</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1,794</w:t>
            </w:r>
          </w:p>
        </w:tc>
        <w:tc>
          <w:tcPr>
            <w:tcW w:w="0" w:type="dxa"/>
            <w:vAlign w:val="bottom"/>
          </w:tcPr>
          <w:p>
            <w:pPr>
              <w:spacing w:after="0"/>
              <w:rPr>
                <w:sz w:val="1"/>
                <w:szCs w:val="1"/>
                <w:color w:val="auto"/>
              </w:rPr>
            </w:pPr>
          </w:p>
        </w:tc>
      </w:tr>
      <w:tr>
        <w:trPr>
          <w:trHeight w:val="270"/>
        </w:trPr>
        <w:tc>
          <w:tcPr>
            <w:tcW w:w="8060" w:type="dxa"/>
            <w:vAlign w:val="bottom"/>
          </w:tcPr>
          <w:p>
            <w:pPr>
              <w:spacing w:after="0"/>
              <w:rPr>
                <w:sz w:val="20"/>
                <w:szCs w:val="20"/>
                <w:color w:val="auto"/>
              </w:rPr>
            </w:pPr>
            <w:r>
              <w:rPr>
                <w:rFonts w:ascii="Times New Roman" w:cs="Times New Roman" w:eastAsia="Times New Roman" w:hAnsi="Times New Roman"/>
                <w:sz w:val="22"/>
                <w:szCs w:val="22"/>
                <w:color w:val="auto"/>
              </w:rPr>
              <w:t>Accounts payable and accrued expenses</w:t>
            </w: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2,098</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1,287</w:t>
            </w:r>
          </w:p>
        </w:tc>
        <w:tc>
          <w:tcPr>
            <w:tcW w:w="0" w:type="dxa"/>
            <w:vAlign w:val="bottom"/>
          </w:tcPr>
          <w:p>
            <w:pPr>
              <w:spacing w:after="0"/>
              <w:rPr>
                <w:sz w:val="1"/>
                <w:szCs w:val="1"/>
                <w:color w:val="auto"/>
              </w:rPr>
            </w:pPr>
          </w:p>
        </w:tc>
      </w:tr>
      <w:tr>
        <w:trPr>
          <w:trHeight w:val="270"/>
        </w:trPr>
        <w:tc>
          <w:tcPr>
            <w:tcW w:w="8060" w:type="dxa"/>
            <w:vAlign w:val="bottom"/>
          </w:tcPr>
          <w:p>
            <w:pPr>
              <w:spacing w:after="0"/>
              <w:rPr>
                <w:sz w:val="20"/>
                <w:szCs w:val="20"/>
                <w:color w:val="auto"/>
              </w:rPr>
            </w:pPr>
            <w:r>
              <w:rPr>
                <w:rFonts w:ascii="Times New Roman" w:cs="Times New Roman" w:eastAsia="Times New Roman" w:hAnsi="Times New Roman"/>
                <w:sz w:val="22"/>
                <w:szCs w:val="22"/>
                <w:color w:val="auto"/>
              </w:rPr>
              <w:t>Due to affiliates</w:t>
            </w: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104</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566</w:t>
            </w:r>
          </w:p>
        </w:tc>
        <w:tc>
          <w:tcPr>
            <w:tcW w:w="0" w:type="dxa"/>
            <w:vAlign w:val="bottom"/>
          </w:tcPr>
          <w:p>
            <w:pPr>
              <w:spacing w:after="0"/>
              <w:rPr>
                <w:sz w:val="1"/>
                <w:szCs w:val="1"/>
                <w:color w:val="auto"/>
              </w:rPr>
            </w:pPr>
          </w:p>
        </w:tc>
      </w:tr>
      <w:tr>
        <w:trPr>
          <w:trHeight w:val="282"/>
        </w:trPr>
        <w:tc>
          <w:tcPr>
            <w:tcW w:w="8060" w:type="dxa"/>
            <w:vAlign w:val="bottom"/>
          </w:tcPr>
          <w:p>
            <w:pPr>
              <w:spacing w:after="0"/>
              <w:rPr>
                <w:sz w:val="20"/>
                <w:szCs w:val="20"/>
                <w:color w:val="auto"/>
              </w:rPr>
            </w:pPr>
            <w:r>
              <w:rPr>
                <w:rFonts w:ascii="Times New Roman" w:cs="Times New Roman" w:eastAsia="Times New Roman" w:hAnsi="Times New Roman"/>
                <w:sz w:val="22"/>
                <w:szCs w:val="22"/>
                <w:color w:val="auto"/>
              </w:rPr>
              <w:t>2023 Notes payable, at fair value (par—$0 and $76,219, respectively)</w:t>
            </w: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22"/>
                <w:szCs w:val="22"/>
                <w:color w:val="auto"/>
              </w:rPr>
              <w:t>—</w:t>
            </w:r>
          </w:p>
        </w:tc>
        <w:tc>
          <w:tcPr>
            <w:tcW w:w="12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76,219</w:t>
            </w:r>
          </w:p>
        </w:tc>
        <w:tc>
          <w:tcPr>
            <w:tcW w:w="0" w:type="dxa"/>
            <w:vAlign w:val="bottom"/>
          </w:tcPr>
          <w:p>
            <w:pPr>
              <w:spacing w:after="0"/>
              <w:rPr>
                <w:sz w:val="1"/>
                <w:szCs w:val="1"/>
                <w:color w:val="auto"/>
              </w:rPr>
            </w:pPr>
          </w:p>
        </w:tc>
      </w:tr>
      <w:tr>
        <w:trPr>
          <w:trHeight w:val="265"/>
        </w:trPr>
        <w:tc>
          <w:tcPr>
            <w:tcW w:w="80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Total liabilities</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895,129</w:t>
            </w:r>
          </w:p>
        </w:tc>
        <w:tc>
          <w:tcPr>
            <w:tcW w:w="200" w:type="dxa"/>
            <w:vAlign w:val="bottom"/>
          </w:tcPr>
          <w:p>
            <w:pPr>
              <w:spacing w:after="0"/>
              <w:rPr>
                <w:sz w:val="23"/>
                <w:szCs w:val="23"/>
                <w:color w:val="auto"/>
              </w:rPr>
            </w:pPr>
          </w:p>
        </w:tc>
        <w:tc>
          <w:tcPr>
            <w:tcW w:w="120" w:type="dxa"/>
            <w:vAlign w:val="bottom"/>
            <w:tcBorders>
              <w:top w:val="single" w:sz="8" w:color="auto"/>
              <w:bottom w:val="single" w:sz="8" w:color="auto"/>
            </w:tcBorders>
          </w:tcPr>
          <w:p>
            <w:pPr>
              <w:spacing w:after="0"/>
              <w:rPr>
                <w:sz w:val="23"/>
                <w:szCs w:val="23"/>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526,006</w:t>
            </w:r>
          </w:p>
        </w:tc>
        <w:tc>
          <w:tcPr>
            <w:tcW w:w="0" w:type="dxa"/>
            <w:vAlign w:val="bottom"/>
          </w:tcPr>
          <w:p>
            <w:pPr>
              <w:spacing w:after="0"/>
              <w:rPr>
                <w:sz w:val="1"/>
                <w:szCs w:val="1"/>
                <w:color w:val="auto"/>
              </w:rPr>
            </w:pPr>
          </w:p>
        </w:tc>
      </w:tr>
      <w:tr>
        <w:trPr>
          <w:trHeight w:val="246"/>
        </w:trPr>
        <w:tc>
          <w:tcPr>
            <w:tcW w:w="8060" w:type="dxa"/>
            <w:vAlign w:val="bottom"/>
          </w:tcPr>
          <w:p>
            <w:pPr>
              <w:spacing w:after="0" w:line="245" w:lineRule="exact"/>
              <w:rPr>
                <w:sz w:val="20"/>
                <w:szCs w:val="20"/>
                <w:color w:val="auto"/>
              </w:rPr>
            </w:pPr>
            <w:r>
              <w:rPr>
                <w:rFonts w:ascii="Times New Roman" w:cs="Times New Roman" w:eastAsia="Times New Roman" w:hAnsi="Times New Roman"/>
                <w:sz w:val="22"/>
                <w:szCs w:val="22"/>
                <w:color w:val="auto"/>
              </w:rPr>
              <w:t>Commitments and contingencies</w:t>
            </w:r>
          </w:p>
        </w:tc>
        <w:tc>
          <w:tcPr>
            <w:tcW w:w="1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806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Net assets</w:t>
            </w:r>
          </w:p>
        </w:tc>
        <w:tc>
          <w:tcPr>
            <w:tcW w:w="1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2"/>
        </w:trPr>
        <w:tc>
          <w:tcPr>
            <w:tcW w:w="8060" w:type="dxa"/>
            <w:vAlign w:val="bottom"/>
          </w:tcPr>
          <w:p>
            <w:pPr>
              <w:spacing w:after="0"/>
              <w:rPr>
                <w:sz w:val="20"/>
                <w:szCs w:val="20"/>
                <w:color w:val="auto"/>
              </w:rPr>
            </w:pPr>
            <w:r>
              <w:rPr>
                <w:rFonts w:ascii="Times New Roman" w:cs="Times New Roman" w:eastAsia="Times New Roman" w:hAnsi="Times New Roman"/>
                <w:sz w:val="22"/>
                <w:szCs w:val="22"/>
                <w:color w:val="auto"/>
              </w:rPr>
              <w:t>Common stock, 63,228,138 and 58,734,702 shares issued and outstanding, respectively</w:t>
            </w: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63</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59</w:t>
            </w:r>
          </w:p>
        </w:tc>
        <w:tc>
          <w:tcPr>
            <w:tcW w:w="0" w:type="dxa"/>
            <w:vAlign w:val="bottom"/>
          </w:tcPr>
          <w:p>
            <w:pPr>
              <w:spacing w:after="0"/>
              <w:rPr>
                <w:sz w:val="1"/>
                <w:szCs w:val="1"/>
                <w:color w:val="auto"/>
              </w:rPr>
            </w:pPr>
          </w:p>
        </w:tc>
      </w:tr>
    </w:tbl>
    <w:p>
      <w:pPr>
        <w:sectPr>
          <w:pgSz w:w="11900" w:h="16838" w:orient="portrait"/>
          <w:cols w:equalWidth="0" w:num="1">
            <w:col w:w="11240"/>
          </w:cols>
          <w:pgMar w:left="320" w:top="111" w:right="339" w:bottom="0" w:gutter="0" w:footer="0" w:header="0"/>
        </w:sectPr>
      </w:pPr>
    </w:p>
    <w:bookmarkStart w:id="7" w:name="page8"/>
    <w:bookmarkEnd w:id="7"/>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71"/>
        </w:trPr>
        <w:tc>
          <w:tcPr>
            <w:tcW w:w="80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Par value $0.001 per share and 100,000,000 shares authorized</w:t>
            </w:r>
          </w:p>
        </w:tc>
        <w:tc>
          <w:tcPr>
            <w:tcW w:w="2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270"/>
        </w:trPr>
        <w:tc>
          <w:tcPr>
            <w:tcW w:w="8060" w:type="dxa"/>
            <w:vAlign w:val="bottom"/>
          </w:tcPr>
          <w:p>
            <w:pPr>
              <w:spacing w:after="0"/>
              <w:rPr>
                <w:sz w:val="20"/>
                <w:szCs w:val="20"/>
                <w:color w:val="auto"/>
              </w:rPr>
            </w:pPr>
            <w:r>
              <w:rPr>
                <w:rFonts w:ascii="Times New Roman" w:cs="Times New Roman" w:eastAsia="Times New Roman" w:hAnsi="Times New Roman"/>
                <w:sz w:val="22"/>
                <w:szCs w:val="22"/>
                <w:color w:val="auto"/>
              </w:rPr>
              <w:t>Paid-in capital in excess of par value</w:t>
            </w:r>
          </w:p>
        </w:tc>
        <w:tc>
          <w:tcPr>
            <w:tcW w:w="2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815,587</w:t>
            </w:r>
          </w:p>
        </w:tc>
        <w:tc>
          <w:tcPr>
            <w:tcW w:w="2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765,187</w:t>
            </w:r>
          </w:p>
        </w:tc>
        <w:tc>
          <w:tcPr>
            <w:tcW w:w="80" w:type="dxa"/>
            <w:vAlign w:val="bottom"/>
          </w:tcPr>
          <w:p>
            <w:pPr>
              <w:spacing w:after="0"/>
              <w:rPr>
                <w:sz w:val="23"/>
                <w:szCs w:val="23"/>
                <w:color w:val="auto"/>
              </w:rPr>
            </w:pPr>
          </w:p>
        </w:tc>
      </w:tr>
      <w:tr>
        <w:trPr>
          <w:trHeight w:val="282"/>
        </w:trPr>
        <w:tc>
          <w:tcPr>
            <w:tcW w:w="8060" w:type="dxa"/>
            <w:vAlign w:val="bottom"/>
          </w:tcPr>
          <w:p>
            <w:pPr>
              <w:spacing w:after="0"/>
              <w:rPr>
                <w:sz w:val="20"/>
                <w:szCs w:val="20"/>
                <w:color w:val="auto"/>
              </w:rPr>
            </w:pPr>
            <w:r>
              <w:rPr>
                <w:rFonts w:ascii="Times New Roman" w:cs="Times New Roman" w:eastAsia="Times New Roman" w:hAnsi="Times New Roman"/>
                <w:sz w:val="22"/>
                <w:szCs w:val="22"/>
                <w:color w:val="auto"/>
              </w:rPr>
              <w:t>Accumulated deficit</w:t>
            </w:r>
          </w:p>
        </w:tc>
        <w:tc>
          <w:tcPr>
            <w:tcW w:w="260" w:type="dxa"/>
            <w:vAlign w:val="bottom"/>
          </w:tcPr>
          <w:p>
            <w:pPr>
              <w:spacing w:after="0"/>
              <w:rPr>
                <w:sz w:val="24"/>
                <w:szCs w:val="24"/>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22"/>
                <w:szCs w:val="22"/>
                <w:color w:val="auto"/>
              </w:rPr>
              <w:t>(94,939)</w:t>
            </w:r>
          </w:p>
        </w:tc>
        <w:tc>
          <w:tcPr>
            <w:tcW w:w="420" w:type="dxa"/>
            <w:vAlign w:val="bottom"/>
          </w:tcPr>
          <w:p>
            <w:pPr>
              <w:spacing w:after="0"/>
              <w:rPr>
                <w:sz w:val="24"/>
                <w:szCs w:val="24"/>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(111,641)</w:t>
            </w:r>
          </w:p>
        </w:tc>
      </w:tr>
      <w:tr>
        <w:trPr>
          <w:trHeight w:val="265"/>
        </w:trPr>
        <w:tc>
          <w:tcPr>
            <w:tcW w:w="806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Total net assets</w:t>
            </w:r>
          </w:p>
        </w:tc>
        <w:tc>
          <w:tcPr>
            <w:tcW w:w="26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22"/>
                <w:szCs w:val="22"/>
                <w:color w:val="auto"/>
                <w:w w:val="9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720,711</w:t>
            </w:r>
          </w:p>
        </w:tc>
        <w:tc>
          <w:tcPr>
            <w:tcW w:w="200" w:type="dxa"/>
            <w:vAlign w:val="bottom"/>
          </w:tcPr>
          <w:p>
            <w:pPr>
              <w:spacing w:after="0"/>
              <w:rPr>
                <w:sz w:val="23"/>
                <w:szCs w:val="23"/>
                <w:color w:val="auto"/>
              </w:rPr>
            </w:pPr>
          </w:p>
        </w:tc>
        <w:tc>
          <w:tcPr>
            <w:tcW w:w="420" w:type="dxa"/>
            <w:vAlign w:val="bottom"/>
            <w:tcBorders>
              <w:top w:val="single" w:sz="8" w:color="auto"/>
              <w:bottom w:val="single" w:sz="8" w:color="auto"/>
            </w:tcBorders>
          </w:tcPr>
          <w:p>
            <w:pPr>
              <w:jc w:val="right"/>
              <w:ind w:right="192"/>
              <w:spacing w:after="0"/>
              <w:rPr>
                <w:sz w:val="20"/>
                <w:szCs w:val="20"/>
                <w:color w:val="auto"/>
              </w:rPr>
            </w:pPr>
            <w:r>
              <w:rPr>
                <w:rFonts w:ascii="Times New Roman" w:cs="Times New Roman" w:eastAsia="Times New Roman" w:hAnsi="Times New Roman"/>
                <w:sz w:val="22"/>
                <w:szCs w:val="22"/>
                <w:color w:val="auto"/>
                <w:w w:val="90"/>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653,605</w:t>
            </w:r>
          </w:p>
        </w:tc>
        <w:tc>
          <w:tcPr>
            <w:tcW w:w="80" w:type="dxa"/>
            <w:vAlign w:val="bottom"/>
          </w:tcPr>
          <w:p>
            <w:pPr>
              <w:spacing w:after="0"/>
              <w:rPr>
                <w:sz w:val="23"/>
                <w:szCs w:val="23"/>
                <w:color w:val="auto"/>
              </w:rPr>
            </w:pPr>
          </w:p>
        </w:tc>
      </w:tr>
      <w:tr>
        <w:trPr>
          <w:trHeight w:val="264"/>
        </w:trPr>
        <w:tc>
          <w:tcPr>
            <w:tcW w:w="806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Total liabilities and net assets</w:t>
            </w:r>
          </w:p>
        </w:tc>
        <w:tc>
          <w:tcPr>
            <w:tcW w:w="2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22"/>
                <w:szCs w:val="22"/>
                <w:color w:val="auto"/>
                <w:w w:val="9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1,615,840</w:t>
            </w:r>
          </w:p>
        </w:tc>
        <w:tc>
          <w:tcPr>
            <w:tcW w:w="200" w:type="dxa"/>
            <w:vAlign w:val="bottom"/>
          </w:tcPr>
          <w:p>
            <w:pPr>
              <w:spacing w:after="0"/>
              <w:rPr>
                <w:sz w:val="22"/>
                <w:szCs w:val="22"/>
                <w:color w:val="auto"/>
              </w:rPr>
            </w:pPr>
          </w:p>
        </w:tc>
        <w:tc>
          <w:tcPr>
            <w:tcW w:w="42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22"/>
                <w:szCs w:val="22"/>
                <w:color w:val="auto"/>
                <w:w w:val="90"/>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1,179,611</w:t>
            </w:r>
          </w:p>
        </w:tc>
        <w:tc>
          <w:tcPr>
            <w:tcW w:w="80" w:type="dxa"/>
            <w:vAlign w:val="bottom"/>
          </w:tcPr>
          <w:p>
            <w:pPr>
              <w:spacing w:after="0"/>
              <w:rPr>
                <w:sz w:val="22"/>
                <w:szCs w:val="22"/>
                <w:color w:val="auto"/>
              </w:rPr>
            </w:pPr>
          </w:p>
        </w:tc>
      </w:tr>
      <w:tr>
        <w:trPr>
          <w:trHeight w:val="20"/>
        </w:trPr>
        <w:tc>
          <w:tcPr>
            <w:tcW w:w="80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63"/>
        </w:trPr>
        <w:tc>
          <w:tcPr>
            <w:tcW w:w="806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Net asset value per share</w:t>
            </w:r>
          </w:p>
        </w:tc>
        <w:tc>
          <w:tcPr>
            <w:tcW w:w="2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22"/>
                <w:szCs w:val="22"/>
                <w:color w:val="auto"/>
                <w:w w:val="9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11.40</w:t>
            </w:r>
          </w:p>
        </w:tc>
        <w:tc>
          <w:tcPr>
            <w:tcW w:w="200" w:type="dxa"/>
            <w:vAlign w:val="bottom"/>
          </w:tcPr>
          <w:p>
            <w:pPr>
              <w:spacing w:after="0"/>
              <w:rPr>
                <w:sz w:val="22"/>
                <w:szCs w:val="22"/>
                <w:color w:val="auto"/>
              </w:rPr>
            </w:pPr>
          </w:p>
        </w:tc>
        <w:tc>
          <w:tcPr>
            <w:tcW w:w="42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22"/>
                <w:szCs w:val="22"/>
                <w:color w:val="auto"/>
                <w:w w:val="90"/>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11.13</w:t>
            </w:r>
          </w:p>
        </w:tc>
        <w:tc>
          <w:tcPr>
            <w:tcW w:w="80" w:type="dxa"/>
            <w:vAlign w:val="bottom"/>
          </w:tcPr>
          <w:p>
            <w:pPr>
              <w:spacing w:after="0"/>
              <w:rPr>
                <w:sz w:val="22"/>
                <w:szCs w:val="22"/>
                <w:color w:val="auto"/>
              </w:rPr>
            </w:pPr>
          </w:p>
        </w:tc>
      </w:tr>
      <w:tr>
        <w:trPr>
          <w:trHeight w:val="21"/>
        </w:trPr>
        <w:tc>
          <w:tcPr>
            <w:tcW w:w="80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b w:val="1"/>
          <w:bCs w:val="1"/>
          <w:color w:val="auto"/>
        </w:rPr>
        <w:t>PENNANTPARK FLOATING RATE CAPITAL LTD. AND SUBSIDIARIES</w:t>
      </w:r>
    </w:p>
    <w:p>
      <w:pPr>
        <w:spacing w:after="0" w:line="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b w:val="1"/>
          <w:bCs w:val="1"/>
          <w:color w:val="auto"/>
        </w:rPr>
        <w:t>CONSOLIDATED STATEMENTS OF OPERATIONS</w:t>
      </w:r>
    </w:p>
    <w:p>
      <w:pPr>
        <w:jc w:val="center"/>
        <w:ind w:right="80"/>
        <w:spacing w:after="0" w:line="230" w:lineRule="auto"/>
        <w:rPr>
          <w:sz w:val="20"/>
          <w:szCs w:val="20"/>
          <w:color w:val="auto"/>
        </w:rPr>
      </w:pPr>
      <w:r>
        <w:rPr>
          <w:rFonts w:ascii="Times New Roman" w:cs="Times New Roman" w:eastAsia="Times New Roman" w:hAnsi="Times New Roman"/>
          <w:sz w:val="22"/>
          <w:szCs w:val="22"/>
          <w:b w:val="1"/>
          <w:bCs w:val="1"/>
          <w:color w:val="auto"/>
        </w:rPr>
        <w:t>(in thousands, except per share data)</w:t>
      </w:r>
    </w:p>
    <w:p>
      <w:pPr>
        <w:spacing w:after="0" w:line="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200" w:lineRule="exact"/>
        <w:rPr>
          <w:sz w:val="20"/>
          <w:szCs w:val="20"/>
          <w:color w:val="auto"/>
        </w:rPr>
      </w:pPr>
    </w:p>
    <w:p>
      <w:pPr>
        <w:spacing w:after="0" w:line="265"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72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900" w:type="dxa"/>
            <w:vAlign w:val="bottom"/>
            <w:gridSpan w:val="5"/>
          </w:tcPr>
          <w:p>
            <w:pPr>
              <w:jc w:val="center"/>
              <w:ind w:right="340"/>
              <w:spacing w:after="0"/>
              <w:rPr>
                <w:sz w:val="20"/>
                <w:szCs w:val="20"/>
                <w:color w:val="auto"/>
              </w:rPr>
            </w:pPr>
            <w:r>
              <w:rPr>
                <w:rFonts w:ascii="Times New Roman" w:cs="Times New Roman" w:eastAsia="Times New Roman" w:hAnsi="Times New Roman"/>
                <w:sz w:val="22"/>
                <w:szCs w:val="22"/>
                <w:b w:val="1"/>
                <w:bCs w:val="1"/>
                <w:color w:val="auto"/>
                <w:w w:val="98"/>
              </w:rPr>
              <w:t>Three Months</w:t>
            </w: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900" w:type="dxa"/>
            <w:vAlign w:val="bottom"/>
            <w:gridSpan w:val="5"/>
          </w:tcPr>
          <w:p>
            <w:pPr>
              <w:jc w:val="center"/>
              <w:ind w:right="340"/>
              <w:spacing w:after="0" w:line="243" w:lineRule="exact"/>
              <w:rPr>
                <w:sz w:val="20"/>
                <w:szCs w:val="20"/>
                <w:color w:val="auto"/>
              </w:rPr>
            </w:pPr>
            <w:r>
              <w:rPr>
                <w:rFonts w:ascii="Times New Roman" w:cs="Times New Roman" w:eastAsia="Times New Roman" w:hAnsi="Times New Roman"/>
                <w:sz w:val="22"/>
                <w:szCs w:val="22"/>
                <w:b w:val="1"/>
                <w:bCs w:val="1"/>
                <w:color w:val="auto"/>
                <w:w w:val="98"/>
              </w:rPr>
              <w:t>Ended</w:t>
            </w:r>
          </w:p>
        </w:tc>
        <w:tc>
          <w:tcPr>
            <w:tcW w:w="1880" w:type="dxa"/>
            <w:vAlign w:val="bottom"/>
            <w:gridSpan w:val="6"/>
          </w:tcPr>
          <w:p>
            <w:pPr>
              <w:jc w:val="right"/>
              <w:ind w:right="140"/>
              <w:spacing w:after="0" w:line="243" w:lineRule="exact"/>
              <w:rPr>
                <w:sz w:val="20"/>
                <w:szCs w:val="20"/>
                <w:color w:val="auto"/>
              </w:rPr>
            </w:pPr>
            <w:r>
              <w:rPr>
                <w:rFonts w:ascii="Times New Roman" w:cs="Times New Roman" w:eastAsia="Times New Roman" w:hAnsi="Times New Roman"/>
                <w:sz w:val="22"/>
                <w:szCs w:val="22"/>
                <w:b w:val="1"/>
                <w:bCs w:val="1"/>
                <w:color w:val="auto"/>
              </w:rPr>
              <w:t>Six months Ended</w:t>
            </w:r>
          </w:p>
        </w:tc>
        <w:tc>
          <w:tcPr>
            <w:tcW w:w="0" w:type="dxa"/>
            <w:vAlign w:val="bottom"/>
          </w:tcPr>
          <w:p>
            <w:pPr>
              <w:spacing w:after="0"/>
              <w:rPr>
                <w:sz w:val="1"/>
                <w:szCs w:val="1"/>
                <w:color w:val="auto"/>
              </w:rPr>
            </w:pPr>
          </w:p>
        </w:tc>
      </w:tr>
      <w:tr>
        <w:trPr>
          <w:trHeight w:val="287"/>
        </w:trPr>
        <w:tc>
          <w:tcPr>
            <w:tcW w:w="7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00" w:type="dxa"/>
            <w:vAlign w:val="bottom"/>
            <w:gridSpan w:val="5"/>
          </w:tcPr>
          <w:p>
            <w:pPr>
              <w:jc w:val="center"/>
              <w:ind w:right="360"/>
              <w:spacing w:after="0"/>
              <w:rPr>
                <w:sz w:val="20"/>
                <w:szCs w:val="20"/>
                <w:color w:val="auto"/>
              </w:rPr>
            </w:pPr>
            <w:r>
              <w:rPr>
                <w:rFonts w:ascii="Times New Roman" w:cs="Times New Roman" w:eastAsia="Times New Roman" w:hAnsi="Times New Roman"/>
                <w:sz w:val="22"/>
                <w:szCs w:val="22"/>
                <w:b w:val="1"/>
                <w:bCs w:val="1"/>
                <w:color w:val="auto"/>
                <w:w w:val="97"/>
              </w:rPr>
              <w:t>March 31,</w:t>
            </w:r>
          </w:p>
        </w:tc>
        <w:tc>
          <w:tcPr>
            <w:tcW w:w="140" w:type="dxa"/>
            <w:vAlign w:val="bottom"/>
          </w:tcPr>
          <w:p>
            <w:pPr>
              <w:spacing w:after="0"/>
              <w:rPr>
                <w:sz w:val="24"/>
                <w:szCs w:val="24"/>
                <w:color w:val="auto"/>
              </w:rPr>
            </w:pPr>
          </w:p>
        </w:tc>
        <w:tc>
          <w:tcPr>
            <w:tcW w:w="1740" w:type="dxa"/>
            <w:vAlign w:val="bottom"/>
            <w:gridSpan w:val="5"/>
          </w:tcPr>
          <w:p>
            <w:pPr>
              <w:jc w:val="right"/>
              <w:ind w:right="500"/>
              <w:spacing w:after="0"/>
              <w:rPr>
                <w:sz w:val="20"/>
                <w:szCs w:val="20"/>
                <w:color w:val="auto"/>
              </w:rPr>
            </w:pPr>
            <w:r>
              <w:rPr>
                <w:rFonts w:ascii="Times New Roman" w:cs="Times New Roman" w:eastAsia="Times New Roman" w:hAnsi="Times New Roman"/>
                <w:sz w:val="22"/>
                <w:szCs w:val="22"/>
                <w:b w:val="1"/>
                <w:bCs w:val="1"/>
                <w:color w:val="auto"/>
              </w:rPr>
              <w:t>March 31,</w:t>
            </w:r>
          </w:p>
        </w:tc>
        <w:tc>
          <w:tcPr>
            <w:tcW w:w="0" w:type="dxa"/>
            <w:vAlign w:val="bottom"/>
          </w:tcPr>
          <w:p>
            <w:pPr>
              <w:spacing w:after="0"/>
              <w:rPr>
                <w:sz w:val="1"/>
                <w:szCs w:val="1"/>
                <w:color w:val="auto"/>
              </w:rPr>
            </w:pPr>
          </w:p>
        </w:tc>
      </w:tr>
      <w:tr>
        <w:trPr>
          <w:trHeight w:val="264"/>
        </w:trPr>
        <w:tc>
          <w:tcPr>
            <w:tcW w:w="7260" w:type="dxa"/>
            <w:vAlign w:val="bottom"/>
            <w:vMerge w:val="restart"/>
          </w:tcPr>
          <w:p>
            <w:pPr>
              <w:spacing w:after="0"/>
              <w:rPr>
                <w:sz w:val="20"/>
                <w:szCs w:val="20"/>
                <w:color w:val="auto"/>
              </w:rPr>
            </w:pPr>
            <w:r>
              <w:rPr>
                <w:rFonts w:ascii="Times New Roman" w:cs="Times New Roman" w:eastAsia="Times New Roman" w:hAnsi="Times New Roman"/>
                <w:sz w:val="22"/>
                <w:szCs w:val="22"/>
                <w:b w:val="1"/>
                <w:bCs w:val="1"/>
                <w:color w:val="auto"/>
              </w:rPr>
              <w:t>Investment income:</w:t>
            </w:r>
          </w:p>
        </w:tc>
        <w:tc>
          <w:tcPr>
            <w:tcW w:w="16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b w:val="1"/>
                <w:bCs w:val="1"/>
                <w:color w:val="auto"/>
              </w:rPr>
              <w:t>2024</w:t>
            </w:r>
          </w:p>
        </w:tc>
        <w:tc>
          <w:tcPr>
            <w:tcW w:w="160" w:type="dxa"/>
            <w:vAlign w:val="bottom"/>
            <w:tcBorders>
              <w:top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22"/>
                <w:szCs w:val="22"/>
                <w:b w:val="1"/>
                <w:bCs w:val="1"/>
                <w:color w:val="auto"/>
              </w:rPr>
              <w:t>2023</w:t>
            </w:r>
          </w:p>
        </w:tc>
        <w:tc>
          <w:tcPr>
            <w:tcW w:w="180" w:type="dxa"/>
            <w:vAlign w:val="bottom"/>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22"/>
                <w:szCs w:val="22"/>
                <w:b w:val="1"/>
                <w:bCs w:val="1"/>
                <w:color w:val="auto"/>
                <w:w w:val="99"/>
              </w:rPr>
              <w:t>2024</w:t>
            </w:r>
          </w:p>
        </w:tc>
        <w:tc>
          <w:tcPr>
            <w:tcW w:w="200" w:type="dxa"/>
            <w:vAlign w:val="bottom"/>
            <w:tcBorders>
              <w:top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22"/>
                <w:szCs w:val="22"/>
                <w:b w:val="1"/>
                <w:bCs w:val="1"/>
                <w:color w:val="auto"/>
              </w:rPr>
              <w:t>2023</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7260" w:type="dxa"/>
            <w:vAlign w:val="bottom"/>
            <w:vMerge w:val="continue"/>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7260" w:type="dxa"/>
            <w:vAlign w:val="bottom"/>
          </w:tcPr>
          <w:p>
            <w:pPr>
              <w:spacing w:after="0"/>
              <w:rPr>
                <w:sz w:val="20"/>
                <w:szCs w:val="20"/>
                <w:color w:val="auto"/>
              </w:rPr>
            </w:pPr>
            <w:r>
              <w:rPr>
                <w:rFonts w:ascii="Times New Roman" w:cs="Times New Roman" w:eastAsia="Times New Roman" w:hAnsi="Times New Roman"/>
                <w:sz w:val="22"/>
                <w:szCs w:val="22"/>
                <w:color w:val="auto"/>
              </w:rPr>
              <w:t>From non-controlled, non-affiliated investments:</w:t>
            </w:r>
          </w:p>
        </w:tc>
        <w:tc>
          <w:tcPr>
            <w:tcW w:w="1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2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Interest</w:t>
            </w:r>
          </w:p>
        </w:tc>
        <w:tc>
          <w:tcPr>
            <w:tcW w:w="16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30,470</w:t>
            </w:r>
          </w:p>
        </w:tc>
        <w:tc>
          <w:tcPr>
            <w:tcW w:w="16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22,717</w:t>
            </w:r>
          </w:p>
        </w:tc>
        <w:tc>
          <w:tcPr>
            <w:tcW w:w="18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9"/>
              </w:rPr>
              <w:t>54,238</w:t>
            </w:r>
          </w:p>
        </w:tc>
        <w:tc>
          <w:tcPr>
            <w:tcW w:w="2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43,452</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2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Dividend</w:t>
            </w:r>
          </w:p>
        </w:tc>
        <w:tc>
          <w:tcPr>
            <w:tcW w:w="16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577</w:t>
            </w: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635</w:t>
            </w: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1,085</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1,212</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2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Other income</w:t>
            </w:r>
          </w:p>
        </w:tc>
        <w:tc>
          <w:tcPr>
            <w:tcW w:w="16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1,268</w:t>
            </w: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586</w:t>
            </w: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3,031</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727</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260" w:type="dxa"/>
            <w:vAlign w:val="bottom"/>
          </w:tcPr>
          <w:p>
            <w:pPr>
              <w:spacing w:after="0"/>
              <w:rPr>
                <w:sz w:val="20"/>
                <w:szCs w:val="20"/>
                <w:color w:val="auto"/>
              </w:rPr>
            </w:pPr>
            <w:r>
              <w:rPr>
                <w:rFonts w:ascii="Times New Roman" w:cs="Times New Roman" w:eastAsia="Times New Roman" w:hAnsi="Times New Roman"/>
                <w:sz w:val="22"/>
                <w:szCs w:val="22"/>
                <w:color w:val="auto"/>
              </w:rPr>
              <w:t>From controlled, affiliated investments:</w:t>
            </w:r>
          </w:p>
        </w:tc>
        <w:tc>
          <w:tcPr>
            <w:tcW w:w="1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2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Interest</w:t>
            </w:r>
          </w:p>
        </w:tc>
        <w:tc>
          <w:tcPr>
            <w:tcW w:w="16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8,320</w:t>
            </w: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7,641</w:t>
            </w: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9"/>
              </w:rPr>
              <w:t>16,754</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14,550</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2"/>
        </w:trPr>
        <w:tc>
          <w:tcPr>
            <w:tcW w:w="72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Dividend</w:t>
            </w: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3,719</w:t>
            </w:r>
          </w:p>
        </w:tc>
        <w:tc>
          <w:tcPr>
            <w:tcW w:w="1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2,975</w:t>
            </w:r>
          </w:p>
        </w:tc>
        <w:tc>
          <w:tcPr>
            <w:tcW w:w="1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7,219</w:t>
            </w:r>
          </w:p>
        </w:tc>
        <w:tc>
          <w:tcPr>
            <w:tcW w:w="2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5,950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7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Total investment income</w:t>
            </w:r>
          </w:p>
        </w:tc>
        <w:tc>
          <w:tcPr>
            <w:tcW w:w="16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44,354</w:t>
            </w:r>
          </w:p>
        </w:tc>
        <w:tc>
          <w:tcPr>
            <w:tcW w:w="1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34,554</w:t>
            </w:r>
          </w:p>
        </w:tc>
        <w:tc>
          <w:tcPr>
            <w:tcW w:w="18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9"/>
              </w:rPr>
              <w:t>82,327</w:t>
            </w:r>
          </w:p>
        </w:tc>
        <w:tc>
          <w:tcPr>
            <w:tcW w:w="2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65,891</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7260" w:type="dxa"/>
            <w:vAlign w:val="bottom"/>
          </w:tcPr>
          <w:p>
            <w:pPr>
              <w:spacing w:after="0" w:line="249" w:lineRule="exact"/>
              <w:rPr>
                <w:sz w:val="20"/>
                <w:szCs w:val="20"/>
                <w:color w:val="auto"/>
              </w:rPr>
            </w:pPr>
            <w:r>
              <w:rPr>
                <w:rFonts w:ascii="Times New Roman" w:cs="Times New Roman" w:eastAsia="Times New Roman" w:hAnsi="Times New Roman"/>
                <w:sz w:val="22"/>
                <w:szCs w:val="22"/>
                <w:b w:val="1"/>
                <w:bCs w:val="1"/>
                <w:color w:val="auto"/>
              </w:rPr>
              <w:t>Expenses:</w:t>
            </w:r>
          </w:p>
        </w:tc>
        <w:tc>
          <w:tcPr>
            <w:tcW w:w="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2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Interest and expenses on debt</w:t>
            </w:r>
          </w:p>
        </w:tc>
        <w:tc>
          <w:tcPr>
            <w:tcW w:w="16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14,688</w:t>
            </w: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9,752</w:t>
            </w: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9"/>
              </w:rPr>
              <w:t>23,630</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19,610</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2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Performance-based incentive fee</w:t>
            </w:r>
          </w:p>
        </w:tc>
        <w:tc>
          <w:tcPr>
            <w:tcW w:w="16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4,767</w:t>
            </w: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4,186</w:t>
            </w: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9,630</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7,619</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2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Base management fee</w:t>
            </w:r>
          </w:p>
        </w:tc>
        <w:tc>
          <w:tcPr>
            <w:tcW w:w="16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3,424</w:t>
            </w: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2,873</w:t>
            </w: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6,375</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5,804</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2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General and administrative expenses</w:t>
            </w:r>
          </w:p>
        </w:tc>
        <w:tc>
          <w:tcPr>
            <w:tcW w:w="16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1,255</w:t>
            </w: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705</w:t>
            </w: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2,243</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1,410</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2"/>
        </w:trPr>
        <w:tc>
          <w:tcPr>
            <w:tcW w:w="72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Administrative services expenses</w:t>
            </w: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585</w:t>
            </w:r>
          </w:p>
        </w:tc>
        <w:tc>
          <w:tcPr>
            <w:tcW w:w="1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144</w:t>
            </w:r>
          </w:p>
        </w:tc>
        <w:tc>
          <w:tcPr>
            <w:tcW w:w="1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1,211</w:t>
            </w:r>
          </w:p>
        </w:tc>
        <w:tc>
          <w:tcPr>
            <w:tcW w:w="2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288</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7260" w:type="dxa"/>
            <w:vAlign w:val="bottom"/>
          </w:tcPr>
          <w:p>
            <w:pPr>
              <w:ind w:left="200"/>
              <w:spacing w:after="0" w:line="251" w:lineRule="exact"/>
              <w:rPr>
                <w:sz w:val="20"/>
                <w:szCs w:val="20"/>
                <w:color w:val="auto"/>
              </w:rPr>
            </w:pPr>
            <w:r>
              <w:rPr>
                <w:rFonts w:ascii="Times New Roman" w:cs="Times New Roman" w:eastAsia="Times New Roman" w:hAnsi="Times New Roman"/>
                <w:sz w:val="22"/>
                <w:szCs w:val="22"/>
                <w:b w:val="1"/>
                <w:bCs w:val="1"/>
                <w:color w:val="auto"/>
              </w:rPr>
              <w:t>Expenses before provision for taxes</w:t>
            </w:r>
          </w:p>
        </w:tc>
        <w:tc>
          <w:tcPr>
            <w:tcW w:w="160" w:type="dxa"/>
            <w:vAlign w:val="bottom"/>
          </w:tcPr>
          <w:p>
            <w:pPr>
              <w:spacing w:after="0"/>
              <w:rPr>
                <w:sz w:val="21"/>
                <w:szCs w:val="21"/>
                <w:color w:val="auto"/>
              </w:rPr>
            </w:pPr>
          </w:p>
        </w:tc>
        <w:tc>
          <w:tcPr>
            <w:tcW w:w="68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24,719</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17,660</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w w:val="99"/>
              </w:rPr>
              <w:t>43,089</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34,731</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72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Provision for taxes on net investment income</w:t>
            </w: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547</w:t>
            </w:r>
          </w:p>
        </w:tc>
        <w:tc>
          <w:tcPr>
            <w:tcW w:w="1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150</w:t>
            </w:r>
          </w:p>
        </w:tc>
        <w:tc>
          <w:tcPr>
            <w:tcW w:w="1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701</w:t>
            </w:r>
          </w:p>
        </w:tc>
        <w:tc>
          <w:tcPr>
            <w:tcW w:w="2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684</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7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Total expenses</w:t>
            </w:r>
          </w:p>
        </w:tc>
        <w:tc>
          <w:tcPr>
            <w:tcW w:w="16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25,266</w:t>
            </w:r>
          </w:p>
        </w:tc>
        <w:tc>
          <w:tcPr>
            <w:tcW w:w="1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17,810</w:t>
            </w:r>
          </w:p>
        </w:tc>
        <w:tc>
          <w:tcPr>
            <w:tcW w:w="18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9"/>
              </w:rPr>
              <w:t>43,790</w:t>
            </w:r>
          </w:p>
        </w:tc>
        <w:tc>
          <w:tcPr>
            <w:tcW w:w="2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35,415</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7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Net investment income</w:t>
            </w:r>
          </w:p>
        </w:tc>
        <w:tc>
          <w:tcPr>
            <w:tcW w:w="1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19,088</w:t>
            </w:r>
          </w:p>
        </w:tc>
        <w:tc>
          <w:tcPr>
            <w:tcW w:w="1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16,744</w:t>
            </w:r>
          </w:p>
        </w:tc>
        <w:tc>
          <w:tcPr>
            <w:tcW w:w="1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9"/>
              </w:rPr>
              <w:t>38,537</w:t>
            </w:r>
          </w:p>
        </w:tc>
        <w:tc>
          <w:tcPr>
            <w:tcW w:w="2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30,476</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260" w:type="dxa"/>
            <w:vAlign w:val="bottom"/>
          </w:tcPr>
          <w:p>
            <w:pPr>
              <w:spacing w:after="0" w:line="249" w:lineRule="exact"/>
              <w:rPr>
                <w:sz w:val="20"/>
                <w:szCs w:val="20"/>
                <w:color w:val="auto"/>
              </w:rPr>
            </w:pPr>
            <w:r>
              <w:rPr>
                <w:rFonts w:ascii="Times New Roman" w:cs="Times New Roman" w:eastAsia="Times New Roman" w:hAnsi="Times New Roman"/>
                <w:sz w:val="22"/>
                <w:szCs w:val="22"/>
                <w:b w:val="1"/>
                <w:bCs w:val="1"/>
                <w:color w:val="auto"/>
              </w:rPr>
              <w:t>Realized and unrealized gain (loss) on investments and debt:</w:t>
            </w:r>
          </w:p>
        </w:tc>
        <w:tc>
          <w:tcPr>
            <w:tcW w:w="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260" w:type="dxa"/>
            <w:vAlign w:val="bottom"/>
          </w:tcPr>
          <w:p>
            <w:pPr>
              <w:spacing w:after="0"/>
              <w:rPr>
                <w:sz w:val="20"/>
                <w:szCs w:val="20"/>
                <w:color w:val="auto"/>
              </w:rPr>
            </w:pPr>
            <w:r>
              <w:rPr>
                <w:rFonts w:ascii="Times New Roman" w:cs="Times New Roman" w:eastAsia="Times New Roman" w:hAnsi="Times New Roman"/>
                <w:sz w:val="22"/>
                <w:szCs w:val="22"/>
                <w:color w:val="auto"/>
              </w:rPr>
              <w:t>Net realized gain (loss) on:</w:t>
            </w:r>
          </w:p>
        </w:tc>
        <w:tc>
          <w:tcPr>
            <w:tcW w:w="1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2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Non-controlled, non-affiliated investments</w:t>
            </w:r>
          </w:p>
        </w:tc>
        <w:tc>
          <w:tcPr>
            <w:tcW w:w="16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4,010</w:t>
            </w: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22"/>
                <w:szCs w:val="22"/>
                <w:color w:val="auto"/>
              </w:rPr>
              <w:t>(7,518)</w:t>
            </w:r>
          </w:p>
        </w:tc>
        <w:tc>
          <w:tcPr>
            <w:tcW w:w="14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921</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(7,455)</w:t>
            </w:r>
          </w:p>
        </w:tc>
        <w:tc>
          <w:tcPr>
            <w:tcW w:w="0" w:type="dxa"/>
            <w:vAlign w:val="bottom"/>
          </w:tcPr>
          <w:p>
            <w:pPr>
              <w:spacing w:after="0"/>
              <w:rPr>
                <w:sz w:val="1"/>
                <w:szCs w:val="1"/>
                <w:color w:val="auto"/>
              </w:rPr>
            </w:pPr>
          </w:p>
        </w:tc>
      </w:tr>
      <w:tr>
        <w:trPr>
          <w:trHeight w:val="270"/>
        </w:trPr>
        <w:tc>
          <w:tcPr>
            <w:tcW w:w="72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Non-controlled and controlled, affiliated investments</w:t>
            </w:r>
          </w:p>
        </w:tc>
        <w:tc>
          <w:tcPr>
            <w:tcW w:w="160" w:type="dxa"/>
            <w:vAlign w:val="bottom"/>
          </w:tcPr>
          <w:p>
            <w:pPr>
              <w:spacing w:after="0"/>
              <w:rPr>
                <w:sz w:val="23"/>
                <w:szCs w:val="23"/>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22"/>
                <w:szCs w:val="22"/>
                <w:color w:val="auto"/>
              </w:rPr>
              <w:t>—</w:t>
            </w:r>
          </w:p>
        </w:tc>
        <w:tc>
          <w:tcPr>
            <w:tcW w:w="180" w:type="dxa"/>
            <w:vAlign w:val="bottom"/>
          </w:tcPr>
          <w:p>
            <w:pPr>
              <w:spacing w:after="0"/>
              <w:rPr>
                <w:sz w:val="23"/>
                <w:szCs w:val="23"/>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22"/>
                <w:szCs w:val="22"/>
                <w:color w:val="auto"/>
              </w:rPr>
              <w:t>—</w:t>
            </w:r>
          </w:p>
        </w:tc>
        <w:tc>
          <w:tcPr>
            <w:tcW w:w="140" w:type="dxa"/>
            <w:vAlign w:val="bottom"/>
          </w:tcPr>
          <w:p>
            <w:pPr>
              <w:spacing w:after="0"/>
              <w:rPr>
                <w:sz w:val="23"/>
                <w:szCs w:val="23"/>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22"/>
                <w:szCs w:val="22"/>
                <w:color w:val="auto"/>
              </w:rPr>
              <w:t>—</w:t>
            </w:r>
          </w:p>
        </w:tc>
        <w:tc>
          <w:tcPr>
            <w:tcW w:w="140" w:type="dxa"/>
            <w:vAlign w:val="bottom"/>
          </w:tcPr>
          <w:p>
            <w:pPr>
              <w:spacing w:after="0"/>
              <w:rPr>
                <w:sz w:val="23"/>
                <w:szCs w:val="23"/>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82"/>
        </w:trPr>
        <w:tc>
          <w:tcPr>
            <w:tcW w:w="72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Provision for taxes on realized gain on investments</w:t>
            </w:r>
          </w:p>
        </w:tc>
        <w:tc>
          <w:tcPr>
            <w:tcW w:w="160" w:type="dxa"/>
            <w:vAlign w:val="bottom"/>
          </w:tcPr>
          <w:p>
            <w:pPr>
              <w:spacing w:after="0"/>
              <w:rPr>
                <w:sz w:val="24"/>
                <w:szCs w:val="24"/>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22"/>
                <w:szCs w:val="22"/>
                <w:color w:val="auto"/>
              </w:rPr>
              <w:t>—</w:t>
            </w:r>
          </w:p>
        </w:tc>
        <w:tc>
          <w:tcPr>
            <w:tcW w:w="180" w:type="dxa"/>
            <w:vAlign w:val="bottom"/>
          </w:tcPr>
          <w:p>
            <w:pPr>
              <w:spacing w:after="0"/>
              <w:rPr>
                <w:sz w:val="24"/>
                <w:szCs w:val="24"/>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22"/>
                <w:szCs w:val="22"/>
                <w:color w:val="auto"/>
              </w:rPr>
              <w:t>(300)</w:t>
            </w:r>
          </w:p>
        </w:tc>
        <w:tc>
          <w:tcPr>
            <w:tcW w:w="140" w:type="dxa"/>
            <w:vAlign w:val="bottom"/>
          </w:tcPr>
          <w:p>
            <w:pPr>
              <w:spacing w:after="0"/>
              <w:rPr>
                <w:sz w:val="24"/>
                <w:szCs w:val="24"/>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22"/>
                <w:szCs w:val="22"/>
                <w:color w:val="auto"/>
              </w:rPr>
              <w:t>—</w:t>
            </w:r>
          </w:p>
        </w:tc>
        <w:tc>
          <w:tcPr>
            <w:tcW w:w="14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(300 )</w:t>
            </w:r>
          </w:p>
        </w:tc>
        <w:tc>
          <w:tcPr>
            <w:tcW w:w="0" w:type="dxa"/>
            <w:vAlign w:val="bottom"/>
          </w:tcPr>
          <w:p>
            <w:pPr>
              <w:spacing w:after="0"/>
              <w:rPr>
                <w:sz w:val="1"/>
                <w:szCs w:val="1"/>
                <w:color w:val="auto"/>
              </w:rPr>
            </w:pPr>
          </w:p>
        </w:tc>
      </w:tr>
      <w:tr>
        <w:trPr>
          <w:trHeight w:val="251"/>
        </w:trPr>
        <w:tc>
          <w:tcPr>
            <w:tcW w:w="7260" w:type="dxa"/>
            <w:vAlign w:val="bottom"/>
          </w:tcPr>
          <w:p>
            <w:pPr>
              <w:ind w:left="200"/>
              <w:spacing w:after="0" w:line="251" w:lineRule="exact"/>
              <w:rPr>
                <w:sz w:val="20"/>
                <w:szCs w:val="20"/>
                <w:color w:val="auto"/>
              </w:rPr>
            </w:pPr>
            <w:r>
              <w:rPr>
                <w:rFonts w:ascii="Times New Roman" w:cs="Times New Roman" w:eastAsia="Times New Roman" w:hAnsi="Times New Roman"/>
                <w:sz w:val="22"/>
                <w:szCs w:val="22"/>
                <w:b w:val="1"/>
                <w:bCs w:val="1"/>
                <w:color w:val="auto"/>
              </w:rPr>
              <w:t>Net realized gain (loss) on investments</w:t>
            </w:r>
          </w:p>
        </w:tc>
        <w:tc>
          <w:tcPr>
            <w:tcW w:w="16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jc w:val="right"/>
              <w:spacing w:after="0" w:line="251" w:lineRule="exact"/>
              <w:rPr>
                <w:sz w:val="20"/>
                <w:szCs w:val="20"/>
                <w:color w:val="auto"/>
              </w:rPr>
            </w:pPr>
            <w:r>
              <w:rPr>
                <w:rFonts w:ascii="Times New Roman" w:cs="Times New Roman" w:eastAsia="Times New Roman" w:hAnsi="Times New Roman"/>
                <w:sz w:val="22"/>
                <w:szCs w:val="22"/>
                <w:color w:val="auto"/>
              </w:rPr>
              <w:t>4,010</w:t>
            </w:r>
          </w:p>
        </w:tc>
        <w:tc>
          <w:tcPr>
            <w:tcW w:w="16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spacing w:after="0" w:line="251" w:lineRule="exact"/>
              <w:rPr>
                <w:sz w:val="20"/>
                <w:szCs w:val="20"/>
                <w:color w:val="auto"/>
              </w:rPr>
            </w:pPr>
            <w:r>
              <w:rPr>
                <w:rFonts w:ascii="Times New Roman" w:cs="Times New Roman" w:eastAsia="Times New Roman" w:hAnsi="Times New Roman"/>
                <w:sz w:val="22"/>
                <w:szCs w:val="22"/>
                <w:color w:val="auto"/>
              </w:rPr>
              <w:t>(7,818)</w:t>
            </w:r>
          </w:p>
        </w:tc>
        <w:tc>
          <w:tcPr>
            <w:tcW w:w="18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jc w:val="right"/>
              <w:spacing w:after="0" w:line="251" w:lineRule="exact"/>
              <w:rPr>
                <w:sz w:val="20"/>
                <w:szCs w:val="20"/>
                <w:color w:val="auto"/>
              </w:rPr>
            </w:pPr>
            <w:r>
              <w:rPr>
                <w:rFonts w:ascii="Times New Roman" w:cs="Times New Roman" w:eastAsia="Times New Roman" w:hAnsi="Times New Roman"/>
                <w:sz w:val="22"/>
                <w:szCs w:val="22"/>
                <w:color w:val="auto"/>
              </w:rPr>
              <w:t>921</w:t>
            </w:r>
          </w:p>
        </w:tc>
        <w:tc>
          <w:tcPr>
            <w:tcW w:w="2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spacing w:after="0" w:line="251" w:lineRule="exact"/>
              <w:rPr>
                <w:sz w:val="20"/>
                <w:szCs w:val="20"/>
                <w:color w:val="auto"/>
              </w:rPr>
            </w:pPr>
            <w:r>
              <w:rPr>
                <w:rFonts w:ascii="Times New Roman" w:cs="Times New Roman" w:eastAsia="Times New Roman" w:hAnsi="Times New Roman"/>
                <w:sz w:val="22"/>
                <w:szCs w:val="22"/>
                <w:color w:val="auto"/>
              </w:rPr>
              <w:t>(7,755)</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260" w:type="dxa"/>
            <w:vAlign w:val="bottom"/>
          </w:tcPr>
          <w:p>
            <w:pPr>
              <w:spacing w:after="0"/>
              <w:rPr>
                <w:sz w:val="20"/>
                <w:szCs w:val="20"/>
                <w:color w:val="auto"/>
              </w:rPr>
            </w:pPr>
            <w:r>
              <w:rPr>
                <w:rFonts w:ascii="Times New Roman" w:cs="Times New Roman" w:eastAsia="Times New Roman" w:hAnsi="Times New Roman"/>
                <w:sz w:val="22"/>
                <w:szCs w:val="22"/>
                <w:color w:val="auto"/>
              </w:rPr>
              <w:t>Net change in unrealized appreciation (depreciation) on:</w:t>
            </w:r>
          </w:p>
        </w:tc>
        <w:tc>
          <w:tcPr>
            <w:tcW w:w="1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2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Non-controlled, non-affiliated investments</w:t>
            </w:r>
          </w:p>
        </w:tc>
        <w:tc>
          <w:tcPr>
            <w:tcW w:w="16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3,278</w:t>
            </w: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22"/>
                <w:szCs w:val="22"/>
                <w:color w:val="auto"/>
              </w:rPr>
              <w:t>(2,561)</w:t>
            </w:r>
          </w:p>
        </w:tc>
        <w:tc>
          <w:tcPr>
            <w:tcW w:w="14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8,506</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(15,254)</w:t>
            </w:r>
          </w:p>
        </w:tc>
        <w:tc>
          <w:tcPr>
            <w:tcW w:w="0" w:type="dxa"/>
            <w:vAlign w:val="bottom"/>
          </w:tcPr>
          <w:p>
            <w:pPr>
              <w:spacing w:after="0"/>
              <w:rPr>
                <w:sz w:val="1"/>
                <w:szCs w:val="1"/>
                <w:color w:val="auto"/>
              </w:rPr>
            </w:pPr>
          </w:p>
        </w:tc>
      </w:tr>
      <w:tr>
        <w:trPr>
          <w:trHeight w:val="270"/>
        </w:trPr>
        <w:tc>
          <w:tcPr>
            <w:tcW w:w="72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Controlled and non-controlled, affiliated investments</w:t>
            </w:r>
          </w:p>
        </w:tc>
        <w:tc>
          <w:tcPr>
            <w:tcW w:w="16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4,466</w:t>
            </w: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22"/>
                <w:szCs w:val="22"/>
                <w:color w:val="auto"/>
              </w:rPr>
              <w:t>(1,618)</w:t>
            </w:r>
          </w:p>
        </w:tc>
        <w:tc>
          <w:tcPr>
            <w:tcW w:w="14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5,408</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(5,682)</w:t>
            </w:r>
          </w:p>
        </w:tc>
        <w:tc>
          <w:tcPr>
            <w:tcW w:w="0" w:type="dxa"/>
            <w:vAlign w:val="bottom"/>
          </w:tcPr>
          <w:p>
            <w:pPr>
              <w:spacing w:after="0"/>
              <w:rPr>
                <w:sz w:val="1"/>
                <w:szCs w:val="1"/>
                <w:color w:val="auto"/>
              </w:rPr>
            </w:pPr>
          </w:p>
        </w:tc>
      </w:tr>
      <w:tr>
        <w:trPr>
          <w:trHeight w:val="270"/>
        </w:trPr>
        <w:tc>
          <w:tcPr>
            <w:tcW w:w="72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Provision for taxes on unrealized appreciation (depreciation) on investments</w:t>
            </w:r>
          </w:p>
        </w:tc>
        <w:tc>
          <w:tcPr>
            <w:tcW w:w="16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230</w:t>
            </w: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3,654</w:t>
            </w: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230</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2,929</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2"/>
        </w:trPr>
        <w:tc>
          <w:tcPr>
            <w:tcW w:w="72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Debt (appreciation) depreciation</w:t>
            </w:r>
          </w:p>
        </w:tc>
        <w:tc>
          <w:tcPr>
            <w:tcW w:w="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39</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22"/>
                <w:szCs w:val="22"/>
                <w:color w:val="auto"/>
              </w:rPr>
              <w:t>(1,158)</w:t>
            </w:r>
          </w:p>
        </w:tc>
        <w:tc>
          <w:tcPr>
            <w:tcW w:w="14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22"/>
                <w:szCs w:val="22"/>
                <w:color w:val="auto"/>
              </w:rPr>
              <w:t>(23 )</w:t>
            </w:r>
          </w:p>
        </w:tc>
        <w:tc>
          <w:tcPr>
            <w:tcW w:w="1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909</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7260" w:type="dxa"/>
            <w:vAlign w:val="bottom"/>
          </w:tcPr>
          <w:p>
            <w:pPr>
              <w:ind w:left="200"/>
              <w:spacing w:after="0" w:line="206" w:lineRule="exact"/>
              <w:rPr>
                <w:sz w:val="20"/>
                <w:szCs w:val="20"/>
                <w:color w:val="auto"/>
              </w:rPr>
            </w:pPr>
            <w:r>
              <w:rPr>
                <w:rFonts w:ascii="Times New Roman" w:cs="Times New Roman" w:eastAsia="Times New Roman" w:hAnsi="Times New Roman"/>
                <w:sz w:val="22"/>
                <w:szCs w:val="22"/>
                <w:b w:val="1"/>
                <w:bCs w:val="1"/>
                <w:color w:val="auto"/>
              </w:rPr>
              <w:t>Net change in unrealized appreciation (depreciation) on investments and</w:t>
            </w:r>
          </w:p>
        </w:tc>
        <w:tc>
          <w:tcPr>
            <w:tcW w:w="16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6"/>
        </w:trPr>
        <w:tc>
          <w:tcPr>
            <w:tcW w:w="7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debt</w:t>
            </w:r>
          </w:p>
        </w:tc>
        <w:tc>
          <w:tcPr>
            <w:tcW w:w="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8,013</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22"/>
                <w:szCs w:val="22"/>
                <w:color w:val="auto"/>
              </w:rPr>
              <w:t>(1,683)</w:t>
            </w: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9"/>
              </w:rPr>
              <w:t>14,121</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(17,098)</w:t>
            </w:r>
          </w:p>
        </w:tc>
        <w:tc>
          <w:tcPr>
            <w:tcW w:w="0" w:type="dxa"/>
            <w:vAlign w:val="bottom"/>
          </w:tcPr>
          <w:p>
            <w:pPr>
              <w:spacing w:after="0"/>
              <w:rPr>
                <w:sz w:val="1"/>
                <w:szCs w:val="1"/>
                <w:color w:val="auto"/>
              </w:rPr>
            </w:pPr>
          </w:p>
        </w:tc>
      </w:tr>
      <w:tr>
        <w:trPr>
          <w:trHeight w:val="265"/>
        </w:trPr>
        <w:tc>
          <w:tcPr>
            <w:tcW w:w="726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Net realized and unrealized gain (loss) from investments and debt</w:t>
            </w:r>
          </w:p>
        </w:tc>
        <w:tc>
          <w:tcPr>
            <w:tcW w:w="160" w:type="dxa"/>
            <w:vAlign w:val="bottom"/>
            <w:tcBorders>
              <w:top w:val="single" w:sz="8" w:color="auto"/>
              <w:bottom w:val="single" w:sz="8" w:color="auto"/>
            </w:tcBorders>
          </w:tcPr>
          <w:p>
            <w:pPr>
              <w:spacing w:after="0"/>
              <w:rPr>
                <w:sz w:val="23"/>
                <w:szCs w:val="23"/>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12,023</w:t>
            </w:r>
          </w:p>
        </w:tc>
        <w:tc>
          <w:tcPr>
            <w:tcW w:w="160" w:type="dxa"/>
            <w:vAlign w:val="bottom"/>
          </w:tcPr>
          <w:p>
            <w:pPr>
              <w:spacing w:after="0"/>
              <w:rPr>
                <w:sz w:val="23"/>
                <w:szCs w:val="23"/>
                <w:color w:val="auto"/>
              </w:rPr>
            </w:pPr>
          </w:p>
        </w:tc>
        <w:tc>
          <w:tcPr>
            <w:tcW w:w="180" w:type="dxa"/>
            <w:vAlign w:val="bottom"/>
            <w:tcBorders>
              <w:top w:val="single" w:sz="8" w:color="auto"/>
              <w:bottom w:val="single" w:sz="8" w:color="auto"/>
            </w:tcBorders>
          </w:tcPr>
          <w:p>
            <w:pPr>
              <w:spacing w:after="0"/>
              <w:rPr>
                <w:sz w:val="23"/>
                <w:szCs w:val="23"/>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(9,501)</w:t>
            </w:r>
          </w:p>
        </w:tc>
        <w:tc>
          <w:tcPr>
            <w:tcW w:w="180" w:type="dxa"/>
            <w:vAlign w:val="bottom"/>
          </w:tcPr>
          <w:p>
            <w:pPr>
              <w:spacing w:after="0"/>
              <w:rPr>
                <w:sz w:val="23"/>
                <w:szCs w:val="23"/>
                <w:color w:val="auto"/>
              </w:rPr>
            </w:pPr>
          </w:p>
        </w:tc>
        <w:tc>
          <w:tcPr>
            <w:tcW w:w="140" w:type="dxa"/>
            <w:vAlign w:val="bottom"/>
            <w:tcBorders>
              <w:top w:val="single" w:sz="8" w:color="auto"/>
              <w:bottom w:val="single" w:sz="8" w:color="auto"/>
            </w:tcBorders>
          </w:tcPr>
          <w:p>
            <w:pPr>
              <w:spacing w:after="0"/>
              <w:rPr>
                <w:sz w:val="23"/>
                <w:szCs w:val="23"/>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9"/>
              </w:rPr>
              <w:t>15,042</w:t>
            </w:r>
          </w:p>
        </w:tc>
        <w:tc>
          <w:tcPr>
            <w:tcW w:w="200" w:type="dxa"/>
            <w:vAlign w:val="bottom"/>
          </w:tcPr>
          <w:p>
            <w:pPr>
              <w:spacing w:after="0"/>
              <w:rPr>
                <w:sz w:val="23"/>
                <w:szCs w:val="23"/>
                <w:color w:val="auto"/>
              </w:rPr>
            </w:pPr>
          </w:p>
        </w:tc>
        <w:tc>
          <w:tcPr>
            <w:tcW w:w="140" w:type="dxa"/>
            <w:vAlign w:val="bottom"/>
            <w:tcBorders>
              <w:top w:val="single" w:sz="8" w:color="auto"/>
              <w:bottom w:val="single" w:sz="8" w:color="auto"/>
            </w:tcBorders>
          </w:tcPr>
          <w:p>
            <w:pPr>
              <w:spacing w:after="0"/>
              <w:rPr>
                <w:sz w:val="23"/>
                <w:szCs w:val="23"/>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0"/>
              </w:rPr>
              <w:t>(24,853)</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726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Net increase (decrease) in net assets resulting from operations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31,111</w:t>
            </w:r>
          </w:p>
        </w:tc>
        <w:tc>
          <w:tcPr>
            <w:tcW w:w="16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7,243</w:t>
            </w:r>
          </w:p>
        </w:tc>
        <w:tc>
          <w:tcPr>
            <w:tcW w:w="18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u w:val="single" w:color="auto"/>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9"/>
              </w:rPr>
              <w:t>53,579</w:t>
            </w:r>
          </w:p>
        </w:tc>
        <w:tc>
          <w:tcPr>
            <w:tcW w:w="2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5,623</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7260" w:type="dxa"/>
            <w:vAlign w:val="bottom"/>
            <w:vMerge w:val="restart"/>
          </w:tcPr>
          <w:p>
            <w:pPr>
              <w:spacing w:after="0" w:line="232" w:lineRule="exact"/>
              <w:rPr>
                <w:sz w:val="20"/>
                <w:szCs w:val="20"/>
                <w:color w:val="auto"/>
              </w:rPr>
            </w:pPr>
            <w:r>
              <w:rPr>
                <w:rFonts w:ascii="Times New Roman" w:cs="Times New Roman" w:eastAsia="Times New Roman" w:hAnsi="Times New Roman"/>
                <w:sz w:val="22"/>
                <w:szCs w:val="22"/>
                <w:b w:val="1"/>
                <w:bCs w:val="1"/>
                <w:color w:val="auto"/>
              </w:rPr>
              <w:t>Net increase (decrease) in net assets resulting from operations per common</w:t>
            </w: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7260" w:type="dxa"/>
            <w:vAlign w:val="bottom"/>
            <w:vMerge w:val="continue"/>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w:t>
            </w:r>
            <w:r>
              <w:rPr>
                <w:rFonts w:ascii="Times New Roman" w:cs="Times New Roman" w:eastAsia="Times New Roman" w:hAnsi="Times New Roman"/>
                <w:sz w:val="22"/>
                <w:szCs w:val="22"/>
                <w:u w:val="single" w:color="auto"/>
                <w:color w:val="auto"/>
              </w:rPr>
              <w:t>51</w:t>
            </w:r>
          </w:p>
        </w:tc>
        <w:tc>
          <w:tcPr>
            <w:tcW w:w="160" w:type="dxa"/>
            <w:vAlign w:val="bottom"/>
          </w:tcPr>
          <w:p>
            <w:pPr>
              <w:spacing w:after="0"/>
              <w:rPr>
                <w:sz w:val="16"/>
                <w:szCs w:val="16"/>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w:t>
            </w:r>
            <w:r>
              <w:rPr>
                <w:rFonts w:ascii="Times New Roman" w:cs="Times New Roman" w:eastAsia="Times New Roman" w:hAnsi="Times New Roman"/>
                <w:sz w:val="22"/>
                <w:szCs w:val="22"/>
                <w:u w:val="single" w:color="auto"/>
                <w:color w:val="auto"/>
              </w:rPr>
              <w:t>15</w:t>
            </w:r>
          </w:p>
        </w:tc>
        <w:tc>
          <w:tcPr>
            <w:tcW w:w="18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0.89</w:t>
            </w:r>
          </w:p>
        </w:tc>
        <w:tc>
          <w:tcPr>
            <w:tcW w:w="20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w:t>
            </w:r>
            <w:r>
              <w:rPr>
                <w:rFonts w:ascii="Times New Roman" w:cs="Times New Roman" w:eastAsia="Times New Roman" w:hAnsi="Times New Roman"/>
                <w:sz w:val="22"/>
                <w:szCs w:val="22"/>
                <w:u w:val="single" w:color="auto"/>
                <w:color w:val="auto"/>
              </w:rPr>
              <w:t>12</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6"/>
        </w:trPr>
        <w:tc>
          <w:tcPr>
            <w:tcW w:w="726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share</w:t>
            </w:r>
          </w:p>
        </w:tc>
        <w:tc>
          <w:tcPr>
            <w:tcW w:w="160" w:type="dxa"/>
            <w:vAlign w:val="bottom"/>
            <w:tcBorders>
              <w:bottom w:val="single" w:sz="8" w:color="auto"/>
            </w:tcBorders>
            <w:vMerge w:val="continue"/>
          </w:tcPr>
          <w:p>
            <w:pPr>
              <w:spacing w:after="0"/>
              <w:rPr>
                <w:sz w:val="22"/>
                <w:szCs w:val="22"/>
                <w:color w:val="auto"/>
              </w:rPr>
            </w:pPr>
          </w:p>
        </w:tc>
        <w:tc>
          <w:tcPr>
            <w:tcW w:w="680" w:type="dxa"/>
            <w:vAlign w:val="bottom"/>
            <w:tcBorders>
              <w:bottom w:val="single" w:sz="8" w:color="auto"/>
            </w:tcBorders>
            <w:vMerge w:val="continue"/>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Borders>
              <w:bottom w:val="single" w:sz="8" w:color="auto"/>
            </w:tcBorders>
            <w:vMerge w:val="continue"/>
          </w:tcPr>
          <w:p>
            <w:pPr>
              <w:spacing w:after="0"/>
              <w:rPr>
                <w:sz w:val="22"/>
                <w:szCs w:val="22"/>
                <w:color w:val="auto"/>
              </w:rPr>
            </w:pPr>
          </w:p>
        </w:tc>
        <w:tc>
          <w:tcPr>
            <w:tcW w:w="700" w:type="dxa"/>
            <w:vAlign w:val="bottom"/>
            <w:tcBorders>
              <w:bottom w:val="single" w:sz="8" w:color="auto"/>
            </w:tcBorders>
            <w:vMerge w:val="continue"/>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Borders>
              <w:bottom w:val="single" w:sz="8" w:color="auto"/>
            </w:tcBorders>
            <w:vMerge w:val="continue"/>
          </w:tcPr>
          <w:p>
            <w:pPr>
              <w:spacing w:after="0"/>
              <w:rPr>
                <w:sz w:val="22"/>
                <w:szCs w:val="22"/>
                <w:color w:val="auto"/>
              </w:rPr>
            </w:pPr>
          </w:p>
        </w:tc>
        <w:tc>
          <w:tcPr>
            <w:tcW w:w="620" w:type="dxa"/>
            <w:vAlign w:val="bottom"/>
            <w:tcBorders>
              <w:bottom w:val="single" w:sz="8" w:color="auto"/>
            </w:tcBorders>
            <w:vMerge w:val="continue"/>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Borders>
              <w:bottom w:val="single" w:sz="8" w:color="auto"/>
            </w:tcBorders>
            <w:vMerge w:val="continue"/>
          </w:tcPr>
          <w:p>
            <w:pPr>
              <w:spacing w:after="0"/>
              <w:rPr>
                <w:sz w:val="22"/>
                <w:szCs w:val="22"/>
                <w:color w:val="auto"/>
              </w:rPr>
            </w:pPr>
          </w:p>
        </w:tc>
        <w:tc>
          <w:tcPr>
            <w:tcW w:w="70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2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Net investment income per common share</w:t>
            </w: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7260" w:type="dxa"/>
            <w:vAlign w:val="bottom"/>
            <w:vMerge w:val="continue"/>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0.</w:t>
            </w:r>
            <w:r>
              <w:rPr>
                <w:rFonts w:ascii="Times New Roman" w:cs="Times New Roman" w:eastAsia="Times New Roman" w:hAnsi="Times New Roman"/>
                <w:sz w:val="22"/>
                <w:szCs w:val="22"/>
                <w:u w:val="single" w:color="auto"/>
                <w:color w:val="auto"/>
              </w:rPr>
              <w:t>31</w:t>
            </w:r>
          </w:p>
        </w:tc>
        <w:tc>
          <w:tcPr>
            <w:tcW w:w="16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0.</w:t>
            </w:r>
            <w:r>
              <w:rPr>
                <w:rFonts w:ascii="Times New Roman" w:cs="Times New Roman" w:eastAsia="Times New Roman" w:hAnsi="Times New Roman"/>
                <w:sz w:val="22"/>
                <w:szCs w:val="22"/>
                <w:u w:val="single" w:color="auto"/>
                <w:color w:val="auto"/>
              </w:rPr>
              <w:t>35</w:t>
            </w:r>
          </w:p>
        </w:tc>
        <w:tc>
          <w:tcPr>
            <w:tcW w:w="18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0.64</w:t>
            </w:r>
          </w:p>
        </w:tc>
        <w:tc>
          <w:tcPr>
            <w:tcW w:w="2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0.</w:t>
            </w:r>
            <w:r>
              <w:rPr>
                <w:rFonts w:ascii="Times New Roman" w:cs="Times New Roman" w:eastAsia="Times New Roman" w:hAnsi="Times New Roman"/>
                <w:sz w:val="22"/>
                <w:szCs w:val="22"/>
                <w:u w:val="single" w:color="auto"/>
                <w:color w:val="auto"/>
              </w:rPr>
              <w:t>65</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7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11" w:right="359" w:bottom="0" w:gutter="0" w:footer="0" w:header="0"/>
        </w:sect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ABOUT PENNANTPARK FLOATING RATE CAPITAL LTD.</w:t>
      </w:r>
    </w:p>
    <w:p>
      <w:pPr>
        <w:sectPr>
          <w:pgSz w:w="11900" w:h="16838" w:orient="portrait"/>
          <w:cols w:equalWidth="0" w:num="1">
            <w:col w:w="11220"/>
          </w:cols>
          <w:pgMar w:left="320" w:top="111" w:right="359" w:bottom="0" w:gutter="0" w:footer="0" w:header="0"/>
          <w:type w:val="continuous"/>
        </w:sectPr>
      </w:pPr>
    </w:p>
    <w:bookmarkStart w:id="8" w:name="page9"/>
    <w:bookmarkEnd w:id="8"/>
    <w:p>
      <w:pPr>
        <w:jc w:val="both"/>
        <w:spacing w:after="0"/>
        <w:rPr>
          <w:sz w:val="20"/>
          <w:szCs w:val="20"/>
          <w:color w:val="auto"/>
        </w:rPr>
      </w:pPr>
      <w:r>
        <w:rPr>
          <w:rFonts w:ascii="Times New Roman" w:cs="Times New Roman" w:eastAsia="Times New Roman" w:hAnsi="Times New Roman"/>
          <w:sz w:val="22"/>
          <w:szCs w:val="22"/>
          <w:color w:val="auto"/>
        </w:rPr>
        <w:t>PennantPark Floating Rate Capital Ltd. is a business development company which primarily invests in U.S. middle-market companies in the form of floating rate senior secured loans, including first lien secured debt, second lien secured debt and subordinated debt. From time to time, the Company may also invest in equity investments. PennantPark Floating Rate Capital Ltd. is managed by PennantPark Investment Advisers, LLC.</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PENNANTPARK INVESTMENT ADVISERS, LLC</w:t>
      </w:r>
    </w:p>
    <w:p>
      <w:pPr>
        <w:spacing w:after="0" w:line="21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PennantPark Investment Advisers, LLC is a leading middle-market credit platform, managing $7.2 billion of investable capital, including available leverage. Since its inception in 2007, PennantPark Investment Advisers, LLC has provided investors access to middle-market credit by offering private equity firms and their portfolio companies as well as other middle-market borrowers a comprehensive range of creative and flexible financing solutions. PennantPark Investment Advisers, LLC is headquartered in Miami and has offices in New York, Chicago, Houston, Los Angeles, and Amsterdam.</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FORWARD-LOOKING STATEMENTS AND OTHER</w:t>
      </w:r>
    </w:p>
    <w:p>
      <w:pPr>
        <w:spacing w:after="0" w:line="21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1"/>
          <w:szCs w:val="21"/>
          <w:color w:val="auto"/>
        </w:rPr>
        <w:t>This press release may contain “forward-looking statements” within the meaning of the Private Securities Litigation Reform Act of 1995. You should understand that under Section 27A(b)(2)(B) of the Securities Act of 1933, as amended, and Section 21E(b)</w:t>
      </w:r>
    </w:p>
    <w:p>
      <w:pPr>
        <w:spacing w:after="0" w:line="1"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(2)(B) of the Securities Exchange Act of 1934, as amended, or the Exchange Act, the “safe harbor” provisions of the Private Securities Litigation Reform Act of 1995 do not apply to forward-looking statements made in periodic reports we file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8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We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our historical experience and our present expectations.</w:t>
      </w:r>
    </w:p>
    <w:p>
      <w:pPr>
        <w:spacing w:after="0" w:line="18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information contained herein is based on current tax laws, which may change in the future. The Company cannot be held responsible for any direct or incidental loss resulting from applying any of the information provided in this publication or from any other source mentioned. The information provided in this material does not constitute any specific legal, tax or accounting advice. Please consult with qualified professionals for this type of advice.</w:t>
      </w:r>
    </w:p>
    <w:p>
      <w:pPr>
        <w:spacing w:after="0" w:line="194" w:lineRule="exact"/>
        <w:rPr>
          <w:sz w:val="20"/>
          <w:szCs w:val="20"/>
          <w:color w:val="auto"/>
        </w:rPr>
      </w:pPr>
    </w:p>
    <w:p>
      <w:pPr>
        <w:ind w:left="20"/>
        <w:spacing w:after="0"/>
        <w:tabs>
          <w:tab w:leader="none" w:pos="2680" w:val="left"/>
        </w:tabs>
        <w:rPr>
          <w:sz w:val="20"/>
          <w:szCs w:val="20"/>
          <w:color w:val="auto"/>
        </w:rPr>
      </w:pPr>
      <w:r>
        <w:rPr>
          <w:rFonts w:ascii="Times New Roman" w:cs="Times New Roman" w:eastAsia="Times New Roman" w:hAnsi="Times New Roman"/>
          <w:sz w:val="22"/>
          <w:szCs w:val="22"/>
          <w:color w:val="auto"/>
        </w:rPr>
        <w:t>CONTACT:</w:t>
      </w:r>
      <w:r>
        <w:rPr>
          <w:sz w:val="20"/>
          <w:szCs w:val="20"/>
          <w:color w:val="auto"/>
        </w:rPr>
        <w:tab/>
      </w:r>
      <w:r>
        <w:rPr>
          <w:rFonts w:ascii="Times New Roman" w:cs="Times New Roman" w:eastAsia="Times New Roman" w:hAnsi="Times New Roman"/>
          <w:sz w:val="22"/>
          <w:szCs w:val="22"/>
          <w:color w:val="auto"/>
        </w:rPr>
        <w:t>Richard T. Allorto, Jr.</w:t>
      </w:r>
    </w:p>
    <w:p>
      <w:pPr>
        <w:spacing w:after="0" w:line="29"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PennantPark Floating Rate Capital Ltd.</w:t>
      </w:r>
    </w:p>
    <w:p>
      <w:pPr>
        <w:spacing w:after="0" w:line="17" w:lineRule="exact"/>
        <w:rPr>
          <w:sz w:val="20"/>
          <w:szCs w:val="20"/>
          <w:color w:val="auto"/>
        </w:rPr>
      </w:pPr>
    </w:p>
    <w:p>
      <w:pPr>
        <w:ind w:left="2700" w:right="6540" w:firstLine="8"/>
        <w:spacing w:after="0" w:line="296" w:lineRule="auto"/>
        <w:tabs>
          <w:tab w:leader="none" w:pos="3222"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905-1000 </w:t>
      </w:r>
      <w:r>
        <w:rPr>
          <w:rFonts w:ascii="Times New Roman" w:cs="Times New Roman" w:eastAsia="Times New Roman" w:hAnsi="Times New Roman"/>
          <w:sz w:val="21"/>
          <w:szCs w:val="21"/>
          <w:u w:val="single" w:color="auto"/>
          <w:color w:val="auto"/>
        </w:rPr>
        <w:t>www.pennantpark.com</w:t>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21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2024-05-08T15:21:08Z</dcterms:created>
  <dcterms:modified xsi:type="dcterms:W3CDTF">2024-05-08T15:21:08Z</dcterms:modified>
</cp:coreProperties>
</file>